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107315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139065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8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820" w:right="1580" w:hanging="3799"/>
        <w:spacing w:after="0" w:line="365" w:lineRule="auto"/>
        <w:tabs>
          <w:tab w:leader="none" w:pos="49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4040" w:right="1600" w:hanging="4019"/>
        <w:spacing w:after="0" w:line="375" w:lineRule="auto"/>
        <w:tabs>
          <w:tab w:leader="none" w:pos="473"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 to 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001-42364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CeriBell, Inc.</w:t>
      </w:r>
    </w:p>
    <w:p>
      <w:pPr>
        <w:sectPr>
          <w:pgSz w:w="11900" w:h="16838" w:orient="portrait"/>
          <w:cols w:equalWidth="0" w:num="1">
            <w:col w:w="11240"/>
          </w:cols>
          <w:pgMar w:left="320" w:top="225" w:right="339" w:bottom="1440" w:gutter="0" w:footer="0" w:header="0"/>
        </w:sectPr>
      </w:pPr>
    </w:p>
    <w:p>
      <w:pPr>
        <w:spacing w:after="0" w:line="5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1"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3"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198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1"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360 N. Pastoria Avenue</w:t>
      </w:r>
    </w:p>
    <w:p>
      <w:pPr>
        <w:spacing w:after="0" w:line="12" w:lineRule="exact"/>
        <w:rPr>
          <w:sz w:val="24"/>
          <w:szCs w:val="24"/>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Sunnyvale, CA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6"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47-1785452</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22"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94085</w:t>
      </w:r>
    </w:p>
    <w:p>
      <w:pPr>
        <w:spacing w:after="0" w:line="27" w:lineRule="exact"/>
        <w:rPr>
          <w:sz w:val="24"/>
          <w:szCs w:val="24"/>
          <w:color w:val="auto"/>
        </w:rPr>
      </w:pPr>
    </w:p>
    <w:p>
      <w:pPr>
        <w:sectPr>
          <w:pgSz w:w="11900" w:h="16838" w:orient="portrait"/>
          <w:cols w:equalWidth="0" w:num="2">
            <w:col w:w="7700" w:space="240"/>
            <w:col w:w="3300"/>
          </w:cols>
          <w:pgMar w:left="320" w:top="225" w:right="339" w:bottom="1440" w:gutter="0" w:footer="0" w:header="0"/>
          <w:type w:val="continuous"/>
        </w:sectPr>
      </w:pPr>
    </w:p>
    <w:p>
      <w:pPr>
        <w:ind w:left="176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48"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(800) 436-0826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7"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5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 $0.001 par value per share</w:t>
            </w:r>
          </w:p>
        </w:tc>
        <w:tc>
          <w:tcPr>
            <w:tcW w:w="12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CBLL</w:t>
            </w:r>
          </w:p>
        </w:tc>
        <w:tc>
          <w:tcPr>
            <w:tcW w:w="120" w:type="dxa"/>
            <w:vAlign w:val="bottom"/>
          </w:tcPr>
          <w:p>
            <w:pPr>
              <w:spacing w:after="0"/>
              <w:rPr>
                <w:sz w:val="15"/>
                <w:szCs w:val="15"/>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bl>
    <w:p>
      <w:pPr>
        <w:spacing w:after="0" w:line="14" w:lineRule="exact"/>
        <w:rPr>
          <w:sz w:val="24"/>
          <w:szCs w:val="24"/>
          <w:color w:val="auto"/>
        </w:rPr>
      </w:pPr>
    </w:p>
    <w:p>
      <w:pPr>
        <w:ind w:firstLine="50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 w:lineRule="exact"/>
        <w:rPr>
          <w:sz w:val="24"/>
          <w:szCs w:val="24"/>
          <w:color w:val="auto"/>
        </w:rPr>
      </w:pPr>
    </w:p>
    <w:p>
      <w:pPr>
        <w:ind w:right="18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jc w:val="both"/>
        <w:ind w:right="200" w:firstLine="50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6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7" w:lineRule="exact"/>
        <w:rPr>
          <w:sz w:val="24"/>
          <w:szCs w:val="24"/>
          <w:color w:val="auto"/>
        </w:rPr>
      </w:pPr>
    </w:p>
    <w:p>
      <w:pPr>
        <w:ind w:right="6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520"/>
        <w:spacing w:after="0" w:line="184" w:lineRule="exact"/>
        <w:tabs>
          <w:tab w:leader="none" w:pos="8060" w:val="left"/>
          <w:tab w:leader="none" w:pos="870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349"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6"/>
          <w:szCs w:val="16"/>
          <w:color w:val="auto"/>
        </w:rPr>
        <w:t>As of May 7, 2026, the registrant had 37,942,700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736600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85"/>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6"/>
          </w:tcPr>
          <w:p>
            <w:pPr>
              <w:spacing w:after="0"/>
              <w:rPr>
                <w:sz w:val="20"/>
                <w:szCs w:val="20"/>
                <w:color w:val="auto"/>
              </w:rPr>
            </w:pPr>
            <w:r>
              <w:rPr>
                <w:rFonts w:ascii="Times New Roman" w:cs="Times New Roman" w:eastAsia="Times New Roman" w:hAnsi="Times New Roman"/>
                <w:sz w:val="18"/>
                <w:szCs w:val="18"/>
                <w:color w:val="0563C1"/>
              </w:rPr>
              <w:t>FINANCIAL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36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6"/>
          </w:tcPr>
          <w:p>
            <w:pPr>
              <w:spacing w:after="0"/>
              <w:rPr>
                <w:sz w:val="20"/>
                <w:szCs w:val="20"/>
                <w:color w:val="auto"/>
              </w:rPr>
            </w:pPr>
            <w:r>
              <w:rPr>
                <w:rFonts w:ascii="Times New Roman" w:cs="Times New Roman" w:eastAsia="Times New Roman" w:hAnsi="Times New Roman"/>
                <w:sz w:val="18"/>
                <w:szCs w:val="18"/>
                <w:color w:val="0563C1"/>
              </w:rPr>
              <w:t>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42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563C1"/>
              </w:rPr>
              <w:t>Condensed Balance Sheets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420" w:type="dxa"/>
            <w:vAlign w:val="bottom"/>
            <w:tcBorders>
              <w:left w:val="single" w:sz="8" w:color="0563C1"/>
            </w:tcBorders>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563C1"/>
              </w:rPr>
              <w:t>Condensed Statements of Operations and Comprehensive Loss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420" w:type="dxa"/>
            <w:vAlign w:val="bottom"/>
            <w:tcBorders>
              <w:left w:val="single" w:sz="8" w:color="0563C1"/>
            </w:tcBorders>
            <w:gridSpan w:val="2"/>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940" w:type="dxa"/>
            <w:vAlign w:val="bottom"/>
            <w:shd w:val="clear" w:color="auto" w:fill="0563C1"/>
          </w:tcPr>
          <w:p>
            <w:pPr>
              <w:spacing w:after="0" w:line="20" w:lineRule="exact"/>
              <w:rPr>
                <w:sz w:val="1"/>
                <w:szCs w:val="1"/>
                <w:color w:val="auto"/>
              </w:rPr>
            </w:pPr>
          </w:p>
        </w:tc>
        <w:tc>
          <w:tcPr>
            <w:tcW w:w="180" w:type="dxa"/>
            <w:vAlign w:val="bottom"/>
            <w:tcBorders>
              <w:left w:val="single" w:sz="8" w:color="0563C1"/>
            </w:tcBorders>
            <w:shd w:val="clear" w:color="auto" w:fill="0563C1"/>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563C1"/>
              </w:rPr>
              <w:t>Condensed Statements of Stockholders’ Equity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tcBorders>
              <w:left w:val="single" w:sz="8" w:color="0563C1"/>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563C1"/>
            </w:tcBorders>
            <w:shd w:val="clear" w:color="auto" w:fill="0000EE"/>
          </w:tcPr>
          <w:p>
            <w:pPr>
              <w:spacing w:after="0" w:line="20" w:lineRule="exact"/>
              <w:rPr>
                <w:sz w:val="1"/>
                <w:szCs w:val="1"/>
                <w:color w:val="auto"/>
              </w:rPr>
            </w:pPr>
          </w:p>
        </w:tc>
        <w:tc>
          <w:tcPr>
            <w:tcW w:w="420" w:type="dxa"/>
            <w:vAlign w:val="bottom"/>
            <w:tcBorders>
              <w:left w:val="single" w:sz="8" w:color="0563C1"/>
            </w:tcBorders>
            <w:gridSpan w:val="2"/>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563C1"/>
              </w:rPr>
              <w:t>Condensed Statements of Cash Flows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420" w:type="dxa"/>
            <w:vAlign w:val="bottom"/>
            <w:tcBorders>
              <w:left w:val="single" w:sz="8" w:color="0563C1"/>
            </w:tcBorders>
            <w:gridSpan w:val="2"/>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563C1"/>
              </w:rPr>
              <w:t>Notes to Condensed Financial Statements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420" w:type="dxa"/>
            <w:vAlign w:val="bottom"/>
            <w:tcBorders>
              <w:left w:val="single" w:sz="8" w:color="0563C1"/>
            </w:tcBorders>
            <w:gridSpan w:val="2"/>
            <w:shd w:val="clear" w:color="auto" w:fill="0563C1"/>
          </w:tcPr>
          <w:p>
            <w:pPr>
              <w:spacing w:after="0" w:line="20" w:lineRule="exact"/>
              <w:rPr>
                <w:sz w:val="1"/>
                <w:szCs w:val="1"/>
                <w:color w:val="auto"/>
              </w:rPr>
            </w:pPr>
          </w:p>
        </w:tc>
        <w:tc>
          <w:tcPr>
            <w:tcW w:w="680" w:type="dxa"/>
            <w:vAlign w:val="bottom"/>
            <w:gridSpan w:val="3"/>
            <w:shd w:val="clear" w:color="auto" w:fill="0563C1"/>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563C1"/>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420" w:type="dxa"/>
            <w:vAlign w:val="bottom"/>
            <w:tcBorders>
              <w:left w:val="single" w:sz="8" w:color="0563C1"/>
            </w:tcBorders>
            <w:gridSpan w:val="2"/>
            <w:shd w:val="clear" w:color="auto" w:fill="0563C1"/>
          </w:tcPr>
          <w:p>
            <w:pPr>
              <w:spacing w:after="0" w:line="20" w:lineRule="exact"/>
              <w:rPr>
                <w:sz w:val="1"/>
                <w:szCs w:val="1"/>
                <w:color w:val="auto"/>
              </w:rPr>
            </w:pPr>
          </w:p>
        </w:tc>
        <w:tc>
          <w:tcPr>
            <w:tcW w:w="2020" w:type="dxa"/>
            <w:vAlign w:val="bottom"/>
            <w:gridSpan w:val="5"/>
            <w:shd w:val="clear" w:color="auto" w:fill="0563C1"/>
          </w:tcPr>
          <w:p>
            <w:pPr>
              <w:spacing w:after="0" w:line="20" w:lineRule="exact"/>
              <w:rPr>
                <w:sz w:val="1"/>
                <w:szCs w:val="1"/>
                <w:color w:val="auto"/>
              </w:rPr>
            </w:pPr>
          </w:p>
        </w:tc>
        <w:tc>
          <w:tcPr>
            <w:tcW w:w="2120" w:type="dxa"/>
            <w:vAlign w:val="bottom"/>
            <w:tcBorders>
              <w:left w:val="single" w:sz="8" w:color="0563C1"/>
            </w:tcBorders>
            <w:gridSpan w:val="2"/>
            <w:shd w:val="clear" w:color="auto" w:fill="0563C1"/>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563C1"/>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420" w:type="dxa"/>
            <w:vAlign w:val="bottom"/>
            <w:tcBorders>
              <w:left w:val="single" w:sz="8" w:color="0563C1"/>
            </w:tcBorders>
            <w:gridSpan w:val="2"/>
            <w:shd w:val="clear" w:color="auto" w:fill="0563C1"/>
          </w:tcPr>
          <w:p>
            <w:pPr>
              <w:spacing w:after="0" w:line="20" w:lineRule="exact"/>
              <w:rPr>
                <w:sz w:val="1"/>
                <w:szCs w:val="1"/>
                <w:color w:val="auto"/>
              </w:rPr>
            </w:pPr>
          </w:p>
        </w:tc>
        <w:tc>
          <w:tcPr>
            <w:tcW w:w="2020" w:type="dxa"/>
            <w:vAlign w:val="bottom"/>
            <w:gridSpan w:val="5"/>
            <w:shd w:val="clear" w:color="auto" w:fill="0563C1"/>
          </w:tcPr>
          <w:p>
            <w:pPr>
              <w:spacing w:after="0" w:line="20" w:lineRule="exact"/>
              <w:rPr>
                <w:sz w:val="1"/>
                <w:szCs w:val="1"/>
                <w:color w:val="auto"/>
              </w:rPr>
            </w:pPr>
          </w:p>
        </w:tc>
        <w:tc>
          <w:tcPr>
            <w:tcW w:w="4960" w:type="dxa"/>
            <w:vAlign w:val="bottom"/>
            <w:tcBorders>
              <w:left w:val="single" w:sz="8" w:color="0563C1"/>
            </w:tcBorders>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563C1"/>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vMerge w:val="continue"/>
          </w:tcPr>
          <w:p>
            <w:pPr>
              <w:spacing w:after="0"/>
              <w:rPr>
                <w:sz w:val="24"/>
                <w:szCs w:val="24"/>
                <w:color w:val="auto"/>
              </w:rPr>
            </w:pPr>
          </w:p>
        </w:tc>
        <w:tc>
          <w:tcPr>
            <w:tcW w:w="9300" w:type="dxa"/>
            <w:vAlign w:val="bottom"/>
            <w:gridSpan w:val="16"/>
          </w:tcPr>
          <w:p>
            <w:pPr>
              <w:spacing w:after="0"/>
              <w:rPr>
                <w:sz w:val="20"/>
                <w:szCs w:val="20"/>
                <w:color w:val="auto"/>
              </w:rPr>
            </w:pPr>
            <w:r>
              <w:rPr>
                <w:rFonts w:ascii="Times New Roman" w:cs="Times New Roman" w:eastAsia="Times New Roman" w:hAnsi="Times New Roman"/>
                <w:sz w:val="18"/>
                <w:szCs w:val="18"/>
                <w:color w:val="0563C1"/>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600" w:type="dxa"/>
            <w:vAlign w:val="bottom"/>
            <w:tcBorders>
              <w:left w:val="single" w:sz="8" w:color="0563C1"/>
              <w:right w:val="single" w:sz="8" w:color="0563C1"/>
            </w:tcBorders>
            <w:gridSpan w:val="2"/>
            <w:shd w:val="clear" w:color="auto" w:fill="0563C1"/>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6"/>
          </w:tcPr>
          <w:p>
            <w:pPr>
              <w:spacing w:after="0"/>
              <w:rPr>
                <w:sz w:val="20"/>
                <w:szCs w:val="20"/>
                <w:color w:val="auto"/>
              </w:rPr>
            </w:pPr>
            <w:r>
              <w:rPr>
                <w:rFonts w:ascii="Times New Roman" w:cs="Times New Roman" w:eastAsia="Times New Roman" w:hAnsi="Times New Roman"/>
                <w:sz w:val="18"/>
                <w:szCs w:val="18"/>
                <w:color w:val="0563C1"/>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1020" w:type="dxa"/>
            <w:vAlign w:val="bottom"/>
            <w:tcBorders>
              <w:left w:val="single" w:sz="8" w:color="0563C1"/>
            </w:tcBorders>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563C1"/>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563C1"/>
              </w:rPr>
              <w:t>Unregistered Sales of Equity Securities and Use of Proceeds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540" w:type="dxa"/>
            <w:vAlign w:val="bottom"/>
            <w:gridSpan w:val="2"/>
            <w:shd w:val="clear" w:color="auto" w:fill="0563C1"/>
          </w:tcPr>
          <w:p>
            <w:pPr>
              <w:spacing w:after="0" w:line="20" w:lineRule="exact"/>
              <w:rPr>
                <w:sz w:val="1"/>
                <w:szCs w:val="1"/>
                <w:color w:val="auto"/>
              </w:rPr>
            </w:pPr>
          </w:p>
        </w:tc>
        <w:tc>
          <w:tcPr>
            <w:tcW w:w="1020" w:type="dxa"/>
            <w:vAlign w:val="bottom"/>
            <w:tcBorders>
              <w:left w:val="single" w:sz="8" w:color="0563C1"/>
            </w:tcBorders>
            <w:gridSpan w:val="4"/>
            <w:shd w:val="clear" w:color="auto" w:fill="0563C1"/>
          </w:tcPr>
          <w:p>
            <w:pPr>
              <w:spacing w:after="0" w:line="20" w:lineRule="exact"/>
              <w:rPr>
                <w:sz w:val="1"/>
                <w:szCs w:val="1"/>
                <w:color w:val="auto"/>
              </w:rPr>
            </w:pPr>
          </w:p>
        </w:tc>
        <w:tc>
          <w:tcPr>
            <w:tcW w:w="2020" w:type="dxa"/>
            <w:vAlign w:val="bottom"/>
            <w:gridSpan w:val="5"/>
            <w:shd w:val="clear" w:color="auto" w:fill="0563C1"/>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563C1"/>
              </w:rPr>
              <w:t>Defaults Upon Senior Securities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540" w:type="dxa"/>
            <w:vAlign w:val="bottom"/>
            <w:gridSpan w:val="2"/>
            <w:shd w:val="clear" w:color="auto" w:fill="0563C1"/>
          </w:tcPr>
          <w:p>
            <w:pPr>
              <w:spacing w:after="0" w:line="20" w:lineRule="exact"/>
              <w:rPr>
                <w:sz w:val="1"/>
                <w:szCs w:val="1"/>
                <w:color w:val="auto"/>
              </w:rPr>
            </w:pPr>
          </w:p>
        </w:tc>
        <w:tc>
          <w:tcPr>
            <w:tcW w:w="1020" w:type="dxa"/>
            <w:vAlign w:val="bottom"/>
            <w:tcBorders>
              <w:left w:val="single" w:sz="8" w:color="0563C1"/>
            </w:tcBorders>
            <w:gridSpan w:val="4"/>
            <w:shd w:val="clear" w:color="auto" w:fill="0563C1"/>
          </w:tcPr>
          <w:p>
            <w:pPr>
              <w:spacing w:after="0" w:line="20" w:lineRule="exact"/>
              <w:rPr>
                <w:sz w:val="1"/>
                <w:szCs w:val="1"/>
                <w:color w:val="auto"/>
              </w:rPr>
            </w:pPr>
          </w:p>
        </w:tc>
        <w:tc>
          <w:tcPr>
            <w:tcW w:w="698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563C1"/>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540" w:type="dxa"/>
            <w:vAlign w:val="bottom"/>
            <w:gridSpan w:val="2"/>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7540" w:type="dxa"/>
            <w:vAlign w:val="bottom"/>
            <w:gridSpan w:val="1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563C1"/>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540" w:type="dxa"/>
            <w:vAlign w:val="bottom"/>
            <w:gridSpan w:val="2"/>
            <w:shd w:val="clear" w:color="auto" w:fill="0563C1"/>
          </w:tcPr>
          <w:p>
            <w:pPr>
              <w:spacing w:after="0" w:line="20" w:lineRule="exact"/>
              <w:rPr>
                <w:sz w:val="1"/>
                <w:szCs w:val="1"/>
                <w:color w:val="auto"/>
              </w:rPr>
            </w:pPr>
          </w:p>
        </w:tc>
        <w:tc>
          <w:tcPr>
            <w:tcW w:w="8000" w:type="dxa"/>
            <w:vAlign w:val="bottom"/>
            <w:gridSpan w:val="1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563C1"/>
              </w:rPr>
              <w:t>Exhibits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540" w:type="dxa"/>
            <w:vAlign w:val="bottom"/>
            <w:gridSpan w:val="1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563C1"/>
              </w:rPr>
              <w:t>Signatures</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about us and our industry that involve substantial risks and uncertainties. All statements other than statements of historical facts contained in this Quarterly Report on Form 10-Q, including statements regarding our strategy, future financial condition, future operations, projected costs, prospects, plans, objectives of management, and expected market growth, are forward-looking statements. In some cases, you can identify forward-looking statements by words such as “may,” “will,” “shall,” “should,” “expects,” “plans,” “anticipates,” “could,” “intends,” “target,” “projects,” “contemplates,” “believes,” “estimates,” “predicts,” “potential,” “goal,” “objective,” “seeks,” “likely,” “ongoing,” “assumes,” “forecast,” “guidance,” “hope,”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84"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concerning orders for our products and utilization by existing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market size for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competitive technological advantages;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and release new features for the Ceribell System;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expand into new indications;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intentions to pursue adjacent and international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improving our product and technology, including our AI-powered algorithm;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and marketing capabilities and strategies;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and products and technology;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and the capabilities of, our component manufacturers and suppliers;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time during which we will be an emerging growth company under the Jumpstart Our Business Startups Act (the “JOBS Act”);</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expenses, future revenue, capital requirements, our needs for additional financing, and our ability to obtain additional capital;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caution you that the foregoing list does not contain all of the forward-looking statements made in this Quarterly Report on Form 10-Q.</w:t>
      </w:r>
    </w:p>
    <w:p>
      <w:pPr>
        <w:spacing w:after="0" w:line="22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We have based the forward-looking statements contained in this Quarterly Report on Form 10-Q primarily on our current expectations, estimates, forecasts, and projections about future events and trends that we believe may affect our business, financial condition, results of operations, and prospects. Although we believe that we have a reasonable basis for each forward-looking statement contained in this Quarterly Report on Form 10-Q, we cannot guarantee that the future results, levels of activity, performance, or events and circumstances reflected in the forward-looking statements will be achieved or occur at all.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19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reference in this Quarterly Report on Form 10-Q and have filed as exhibits to this Quarterly Report on Form 10-Q, completely and with the understanding that our actual future results may be materially different from what we expect. We qualify all of the forward-looking statements in this Quarterly Report on Form 10-Q by these cautionary statements.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CeriBell,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r>
      <w:tr>
        <w:trPr>
          <w:trHeight w:val="203"/>
        </w:trPr>
        <w:tc>
          <w:tcPr>
            <w:tcW w:w="7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7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66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45,252</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40,476</w:t>
            </w:r>
          </w:p>
        </w:tc>
      </w:tr>
      <w:tr>
        <w:trPr>
          <w:trHeight w:val="203"/>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Marketable securities</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95,932</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118,785</w:t>
            </w:r>
          </w:p>
        </w:tc>
      </w:tr>
      <w:tr>
        <w:trPr>
          <w:trHeight w:val="203"/>
        </w:trPr>
        <w:tc>
          <w:tcPr>
            <w:tcW w:w="7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Accounts receivable, net</w:t>
            </w:r>
          </w:p>
        </w:tc>
        <w:tc>
          <w:tcPr>
            <w:tcW w:w="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15,712</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15,053</w:t>
            </w:r>
          </w:p>
        </w:tc>
      </w:tr>
      <w:tr>
        <w:trPr>
          <w:trHeight w:val="203"/>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Inventory</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6,902</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7,288</w:t>
            </w:r>
          </w:p>
        </w:tc>
      </w:tr>
      <w:tr>
        <w:trPr>
          <w:trHeight w:val="203"/>
        </w:trPr>
        <w:tc>
          <w:tcPr>
            <w:tcW w:w="7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Contract costs, current</w:t>
            </w:r>
          </w:p>
        </w:tc>
        <w:tc>
          <w:tcPr>
            <w:tcW w:w="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2,231</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2,210</w:t>
            </w:r>
          </w:p>
        </w:tc>
      </w:tr>
      <w:tr>
        <w:trPr>
          <w:trHeight w:val="203"/>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2,882</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2,906</w:t>
            </w:r>
          </w:p>
        </w:tc>
      </w:tr>
      <w:tr>
        <w:trPr>
          <w:trHeight w:val="196"/>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168,911</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186,718</w:t>
            </w:r>
          </w:p>
        </w:tc>
      </w:tr>
      <w:tr>
        <w:trPr>
          <w:trHeight w:val="203"/>
        </w:trPr>
        <w:tc>
          <w:tcPr>
            <w:tcW w:w="736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1,926</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2,030</w:t>
            </w:r>
          </w:p>
        </w:tc>
      </w:tr>
      <w:tr>
        <w:trPr>
          <w:trHeight w:val="203"/>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2,041</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2,296</w:t>
            </w:r>
          </w:p>
        </w:tc>
      </w:tr>
      <w:tr>
        <w:trPr>
          <w:trHeight w:val="203"/>
        </w:trPr>
        <w:tc>
          <w:tcPr>
            <w:tcW w:w="7360" w:type="dxa"/>
            <w:vAlign w:val="bottom"/>
          </w:tcPr>
          <w:p>
            <w:pPr>
              <w:spacing w:after="0"/>
              <w:rPr>
                <w:sz w:val="20"/>
                <w:szCs w:val="20"/>
                <w:color w:val="auto"/>
              </w:rPr>
            </w:pPr>
            <w:r>
              <w:rPr>
                <w:rFonts w:ascii="Times New Roman" w:cs="Times New Roman" w:eastAsia="Times New Roman" w:hAnsi="Times New Roman"/>
                <w:sz w:val="16"/>
                <w:szCs w:val="16"/>
                <w:color w:val="auto"/>
              </w:rPr>
              <w:t>Contract costs, long-term</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1,742</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1,847</w:t>
            </w:r>
          </w:p>
        </w:tc>
      </w:tr>
      <w:tr>
        <w:trPr>
          <w:trHeight w:val="203"/>
        </w:trPr>
        <w:tc>
          <w:tcPr>
            <w:tcW w:w="7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3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3,458</w:t>
            </w:r>
          </w:p>
        </w:tc>
        <w:tc>
          <w:tcPr>
            <w:tcW w:w="1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2,912</w:t>
            </w:r>
          </w:p>
        </w:tc>
      </w:tr>
      <w:tr>
        <w:trPr>
          <w:trHeight w:val="196"/>
        </w:trPr>
        <w:tc>
          <w:tcPr>
            <w:tcW w:w="7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6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1380" w:type="dxa"/>
            <w:vAlign w:val="bottom"/>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178,078</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1440" w:type="dxa"/>
            <w:vAlign w:val="bottom"/>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195,803</w:t>
            </w:r>
          </w:p>
        </w:tc>
      </w:tr>
      <w:tr>
        <w:trPr>
          <w:trHeight w:val="196"/>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8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spacing w:after="0"/>
              <w:rPr>
                <w:sz w:val="17"/>
                <w:szCs w:val="17"/>
                <w:color w:val="auto"/>
              </w:rPr>
            </w:pPr>
          </w:p>
        </w:tc>
      </w:tr>
      <w:tr>
        <w:trPr>
          <w:trHeight w:val="203"/>
        </w:trPr>
        <w:tc>
          <w:tcPr>
            <w:tcW w:w="7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7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66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1,981</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2,838</w:t>
            </w:r>
          </w:p>
        </w:tc>
      </w:tr>
      <w:tr>
        <w:trPr>
          <w:trHeight w:val="203"/>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liabilities</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12,561</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14,328</w:t>
            </w:r>
          </w:p>
        </w:tc>
      </w:tr>
      <w:tr>
        <w:trPr>
          <w:trHeight w:val="203"/>
        </w:trPr>
        <w:tc>
          <w:tcPr>
            <w:tcW w:w="7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Contract liabilities, current</w:t>
            </w:r>
          </w:p>
        </w:tc>
        <w:tc>
          <w:tcPr>
            <w:tcW w:w="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88</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101</w:t>
            </w:r>
          </w:p>
        </w:tc>
      </w:tr>
      <w:tr>
        <w:trPr>
          <w:trHeight w:val="203"/>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liability, current</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1,141</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1,105</w:t>
            </w:r>
          </w:p>
        </w:tc>
      </w:tr>
      <w:tr>
        <w:trPr>
          <w:trHeight w:val="203"/>
        </w:trPr>
        <w:tc>
          <w:tcPr>
            <w:tcW w:w="73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413</w:t>
            </w:r>
          </w:p>
        </w:tc>
        <w:tc>
          <w:tcPr>
            <w:tcW w:w="1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818</w:t>
            </w:r>
          </w:p>
        </w:tc>
      </w:tr>
      <w:tr>
        <w:trPr>
          <w:trHeight w:val="196"/>
        </w:trPr>
        <w:tc>
          <w:tcPr>
            <w:tcW w:w="7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3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16,184</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19,190</w:t>
            </w:r>
          </w:p>
        </w:tc>
      </w:tr>
      <w:tr>
        <w:trPr>
          <w:trHeight w:val="196"/>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Long-term liabilities</w:t>
            </w:r>
          </w:p>
        </w:tc>
        <w:tc>
          <w:tcPr>
            <w:tcW w:w="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r>
      <w:tr>
        <w:trPr>
          <w:trHeight w:val="203"/>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Notes payable, long-term</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19,917</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19,811</w:t>
            </w:r>
          </w:p>
        </w:tc>
      </w:tr>
      <w:tr>
        <w:trPr>
          <w:trHeight w:val="203"/>
        </w:trPr>
        <w:tc>
          <w:tcPr>
            <w:tcW w:w="7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Other liabilities, long-term</w:t>
            </w:r>
          </w:p>
        </w:tc>
        <w:tc>
          <w:tcPr>
            <w:tcW w:w="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106</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106</w:t>
            </w:r>
          </w:p>
        </w:tc>
      </w:tr>
      <w:tr>
        <w:trPr>
          <w:trHeight w:val="203"/>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liability, long-term</w:t>
            </w:r>
          </w:p>
        </w:tc>
        <w:tc>
          <w:tcPr>
            <w:tcW w:w="3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1,058</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1,360</w:t>
            </w:r>
          </w:p>
        </w:tc>
      </w:tr>
      <w:tr>
        <w:trPr>
          <w:trHeight w:val="196"/>
        </w:trPr>
        <w:tc>
          <w:tcPr>
            <w:tcW w:w="7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long-term liabilities</w:t>
            </w:r>
          </w:p>
        </w:tc>
        <w:tc>
          <w:tcPr>
            <w:tcW w:w="3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21,081</w:t>
            </w:r>
          </w:p>
        </w:tc>
        <w:tc>
          <w:tcPr>
            <w:tcW w:w="1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21,277</w:t>
            </w:r>
          </w:p>
        </w:tc>
      </w:tr>
      <w:tr>
        <w:trPr>
          <w:trHeight w:val="196"/>
        </w:trPr>
        <w:tc>
          <w:tcPr>
            <w:tcW w:w="7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6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1380" w:type="dxa"/>
            <w:vAlign w:val="bottom"/>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37,265</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1440" w:type="dxa"/>
            <w:vAlign w:val="bottom"/>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40,467</w:t>
            </w:r>
          </w:p>
        </w:tc>
      </w:tr>
      <w:tr>
        <w:trPr>
          <w:trHeight w:val="196"/>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 xml:space="preserve">Commitments and contingencies </w:t>
            </w:r>
            <w:r>
              <w:rPr>
                <w:rFonts w:ascii="Times New Roman" w:cs="Times New Roman" w:eastAsia="Times New Roman" w:hAnsi="Times New Roman"/>
                <w:sz w:val="16"/>
                <w:szCs w:val="16"/>
                <w:color w:val="auto"/>
              </w:rPr>
              <w:t>(Note 7)</w:t>
            </w:r>
          </w:p>
        </w:tc>
        <w:tc>
          <w:tcPr>
            <w:tcW w:w="38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spacing w:after="0"/>
              <w:rPr>
                <w:sz w:val="17"/>
                <w:szCs w:val="17"/>
                <w:color w:val="auto"/>
              </w:rPr>
            </w:pPr>
          </w:p>
        </w:tc>
      </w:tr>
      <w:tr>
        <w:trPr>
          <w:trHeight w:val="203"/>
        </w:trPr>
        <w:tc>
          <w:tcPr>
            <w:tcW w:w="7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Preferred stock, $0.001 par value;</w:t>
            </w:r>
          </w:p>
        </w:tc>
        <w:tc>
          <w:tcPr>
            <w:tcW w:w="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r>
      <w:tr>
        <w:trPr>
          <w:trHeight w:val="203"/>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Authorized shares: 10,000,000 as of March 31, 2026 and December 31, 2025, respectively</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7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Issued and outstanding shares: none as of March 31, 2026 and December 31, 2025, respectively</w:t>
            </w:r>
          </w:p>
        </w:tc>
        <w:tc>
          <w:tcPr>
            <w:tcW w:w="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Common stock, $0.001 par value;</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7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Authorized shares: 500,000,000 as of March 31, 2026 and December 31, 2025, respectively</w:t>
            </w:r>
          </w:p>
        </w:tc>
        <w:tc>
          <w:tcPr>
            <w:tcW w:w="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r>
      <w:tr>
        <w:trPr>
          <w:trHeight w:val="189"/>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Issued and outstanding shares: 37,859,680 and 37,485,124 as of March 31, 2026 and December 31, 2025,</w:t>
            </w: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13"/>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respectively</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38</w:t>
            </w:r>
          </w:p>
        </w:tc>
      </w:tr>
      <w:tr>
        <w:trPr>
          <w:trHeight w:val="206"/>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380,850</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375,495</w:t>
            </w:r>
          </w:p>
        </w:tc>
      </w:tr>
      <w:tr>
        <w:trPr>
          <w:trHeight w:val="203"/>
        </w:trPr>
        <w:tc>
          <w:tcPr>
            <w:tcW w:w="7360" w:type="dxa"/>
            <w:vAlign w:val="bottom"/>
          </w:tcPr>
          <w:p>
            <w:pPr>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18</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159</w:t>
            </w:r>
          </w:p>
        </w:tc>
      </w:tr>
      <w:tr>
        <w:trPr>
          <w:trHeight w:val="203"/>
        </w:trPr>
        <w:tc>
          <w:tcPr>
            <w:tcW w:w="7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3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(240,093)</w:t>
            </w:r>
          </w:p>
        </w:tc>
        <w:tc>
          <w:tcPr>
            <w:tcW w:w="1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(220,356)</w:t>
            </w:r>
          </w:p>
        </w:tc>
      </w:tr>
      <w:tr>
        <w:trPr>
          <w:trHeight w:val="196"/>
        </w:trPr>
        <w:tc>
          <w:tcPr>
            <w:tcW w:w="7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3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140,813</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155,336</w:t>
            </w:r>
          </w:p>
        </w:tc>
      </w:tr>
      <w:tr>
        <w:trPr>
          <w:trHeight w:val="196"/>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38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178,078</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14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195,803</w:t>
            </w:r>
          </w:p>
        </w:tc>
      </w:tr>
      <w:tr>
        <w:trPr>
          <w:trHeight w:val="20"/>
        </w:trPr>
        <w:tc>
          <w:tcPr>
            <w:tcW w:w="736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-3813810</wp:posOffset>
            </wp:positionV>
            <wp:extent cx="1111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-2767965</wp:posOffset>
            </wp:positionV>
            <wp:extent cx="1111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-1971040</wp:posOffset>
            </wp:positionV>
            <wp:extent cx="1111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-281940</wp:posOffset>
            </wp:positionV>
            <wp:extent cx="1111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CeriBell,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4"/>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7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revenue</w:t>
            </w:r>
          </w:p>
        </w:tc>
        <w:tc>
          <w:tcPr>
            <w:tcW w:w="5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20,190</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15,608</w:t>
            </w:r>
          </w:p>
        </w:tc>
      </w:tr>
      <w:tr>
        <w:trPr>
          <w:trHeight w:val="216"/>
        </w:trPr>
        <w:tc>
          <w:tcPr>
            <w:tcW w:w="75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Subscription revenue</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6,304</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4,883</w:t>
            </w:r>
          </w:p>
        </w:tc>
      </w:tr>
      <w:tr>
        <w:trPr>
          <w:trHeight w:val="209"/>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26,494</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20,491</w:t>
            </w:r>
          </w:p>
        </w:tc>
      </w:tr>
      <w:tr>
        <w:trPr>
          <w:trHeight w:val="209"/>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cost of goods sold</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3,068</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2,360</w:t>
            </w:r>
          </w:p>
        </w:tc>
      </w:tr>
      <w:tr>
        <w:trPr>
          <w:trHeight w:val="216"/>
        </w:trPr>
        <w:tc>
          <w:tcPr>
            <w:tcW w:w="75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Subscription cost of revenue</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304</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124</w:t>
            </w:r>
          </w:p>
        </w:tc>
      </w:tr>
      <w:tr>
        <w:trPr>
          <w:trHeight w:val="209"/>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cost of revenue</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3,372</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2,484</w:t>
            </w:r>
          </w:p>
        </w:tc>
      </w:tr>
      <w:tr>
        <w:trPr>
          <w:trHeight w:val="209"/>
        </w:trPr>
        <w:tc>
          <w:tcPr>
            <w:tcW w:w="7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23,122</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18,007</w:t>
            </w:r>
          </w:p>
        </w:tc>
      </w:tr>
      <w:tr>
        <w:trPr>
          <w:trHeight w:val="210"/>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6,161</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4,246</w:t>
            </w: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22,390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18,033</w:t>
            </w:r>
          </w:p>
        </w:tc>
      </w:tr>
      <w:tr>
        <w:trPr>
          <w:trHeight w:val="216"/>
        </w:trPr>
        <w:tc>
          <w:tcPr>
            <w:tcW w:w="75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15,316</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9,935</w:t>
            </w:r>
          </w:p>
        </w:tc>
      </w:tr>
      <w:tr>
        <w:trPr>
          <w:trHeight w:val="210"/>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43,867</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32,214</w:t>
            </w:r>
          </w:p>
        </w:tc>
      </w:tr>
      <w:tr>
        <w:trPr>
          <w:trHeight w:val="209"/>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(20,745)</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(14,207)</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r>
      <w:tr>
        <w:trPr>
          <w:trHeight w:val="216"/>
        </w:trPr>
        <w:tc>
          <w:tcPr>
            <w:tcW w:w="7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1,442</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1,901</w:t>
            </w:r>
          </w:p>
        </w:tc>
      </w:tr>
      <w:tr>
        <w:trPr>
          <w:trHeight w:val="210"/>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provision for income taxes</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(19,737)</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(12,777)</w:t>
            </w:r>
          </w:p>
        </w:tc>
      </w:tr>
      <w:tr>
        <w:trPr>
          <w:trHeight w:val="216"/>
        </w:trPr>
        <w:tc>
          <w:tcPr>
            <w:tcW w:w="7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 expense</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5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(19,737)</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(12,777)</w:t>
            </w:r>
          </w:p>
        </w:tc>
      </w:tr>
      <w:tr>
        <w:trPr>
          <w:trHeight w:val="210"/>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 per share attributable to common stockholders:</w:t>
            </w:r>
          </w:p>
        </w:tc>
        <w:tc>
          <w:tcPr>
            <w:tcW w:w="18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(0.36)</w:t>
            </w:r>
          </w:p>
        </w:tc>
      </w:tr>
      <w:tr>
        <w:trPr>
          <w:trHeight w:val="187"/>
        </w:trPr>
        <w:tc>
          <w:tcPr>
            <w:tcW w:w="756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Weighted-average shares used in computing net loss per share attributable to common</w:t>
            </w:r>
          </w:p>
        </w:tc>
        <w:tc>
          <w:tcPr>
            <w:tcW w:w="1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r>
      <w:tr>
        <w:trPr>
          <w:trHeight w:val="238"/>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37,663,285</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35,881,029</w:t>
            </w:r>
          </w:p>
        </w:tc>
      </w:tr>
      <w:tr>
        <w:trPr>
          <w:trHeight w:val="210"/>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180" w:type="dxa"/>
            <w:vAlign w:val="bottom"/>
            <w:shd w:val="clear" w:color="auto" w:fill="CAEEFB"/>
          </w:tcPr>
          <w:p>
            <w:pPr>
              <w:spacing w:after="0"/>
              <w:rPr>
                <w:sz w:val="18"/>
                <w:szCs w:val="18"/>
                <w:color w:val="auto"/>
              </w:rPr>
            </w:pPr>
          </w:p>
        </w:tc>
        <w:tc>
          <w:tcPr>
            <w:tcW w:w="360" w:type="dxa"/>
            <w:vAlign w:val="bottom"/>
            <w:shd w:val="clear" w:color="auto" w:fill="CAEEFB"/>
          </w:tcPr>
          <w:p>
            <w:pPr>
              <w:spacing w:after="0"/>
              <w:rPr>
                <w:sz w:val="18"/>
                <w:szCs w:val="18"/>
                <w:color w:val="auto"/>
              </w:rPr>
            </w:pPr>
          </w:p>
        </w:tc>
        <w:tc>
          <w:tcPr>
            <w:tcW w:w="1300" w:type="dxa"/>
            <w:vAlign w:val="bottom"/>
            <w:shd w:val="clear" w:color="auto" w:fill="CAEEFB"/>
          </w:tcPr>
          <w:p>
            <w:pPr>
              <w:spacing w:after="0"/>
              <w:rPr>
                <w:sz w:val="18"/>
                <w:szCs w:val="18"/>
                <w:color w:val="auto"/>
              </w:rPr>
            </w:pPr>
          </w:p>
        </w:tc>
        <w:tc>
          <w:tcPr>
            <w:tcW w:w="180" w:type="dxa"/>
            <w:vAlign w:val="bottom"/>
            <w:shd w:val="clear" w:color="auto" w:fill="CAEEFB"/>
          </w:tcPr>
          <w:p>
            <w:pPr>
              <w:spacing w:after="0"/>
              <w:rPr>
                <w:sz w:val="18"/>
                <w:szCs w:val="18"/>
                <w:color w:val="auto"/>
              </w:rPr>
            </w:pPr>
          </w:p>
        </w:tc>
        <w:tc>
          <w:tcPr>
            <w:tcW w:w="360" w:type="dxa"/>
            <w:vAlign w:val="bottom"/>
            <w:shd w:val="clear" w:color="auto" w:fill="CAEEFB"/>
          </w:tcPr>
          <w:p>
            <w:pPr>
              <w:spacing w:after="0"/>
              <w:rPr>
                <w:sz w:val="18"/>
                <w:szCs w:val="18"/>
                <w:color w:val="auto"/>
              </w:rPr>
            </w:pPr>
          </w:p>
        </w:tc>
        <w:tc>
          <w:tcPr>
            <w:tcW w:w="1300" w:type="dxa"/>
            <w:vAlign w:val="bottom"/>
            <w:shd w:val="clear" w:color="auto" w:fill="CAEEFB"/>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Net unrealized loss on marketable securities</w:t>
            </w:r>
          </w:p>
        </w:tc>
        <w:tc>
          <w:tcPr>
            <w:tcW w:w="18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7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r>
        <w:trPr>
          <w:trHeight w:val="229"/>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(19,878)</w:t>
            </w: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(12,783)</w:t>
            </w:r>
          </w:p>
        </w:tc>
      </w:tr>
      <w:tr>
        <w:trPr>
          <w:trHeight w:val="20"/>
        </w:trPr>
        <w:tc>
          <w:tcPr>
            <w:tcW w:w="75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-3565525</wp:posOffset>
            </wp:positionV>
            <wp:extent cx="1111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-2999740</wp:posOffset>
            </wp:positionV>
            <wp:extent cx="1111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-2708275</wp:posOffset>
            </wp:positionV>
            <wp:extent cx="1111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-2150745</wp:posOffset>
            </wp:positionV>
            <wp:extent cx="1111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-1585595</wp:posOffset>
            </wp:positionV>
            <wp:extent cx="1111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-1302385</wp:posOffset>
            </wp:positionV>
            <wp:extent cx="1111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CeriBell,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3460" w:type="dxa"/>
            <w:vAlign w:val="bottom"/>
          </w:tcPr>
          <w:p>
            <w:pPr>
              <w:spacing w:after="0"/>
              <w:rPr>
                <w:sz w:val="13"/>
                <w:szCs w:val="13"/>
                <w:color w:val="auto"/>
              </w:rPr>
            </w:pPr>
          </w:p>
        </w:tc>
        <w:tc>
          <w:tcPr>
            <w:tcW w:w="2220" w:type="dxa"/>
            <w:vAlign w:val="bottom"/>
            <w:gridSpan w:val="3"/>
            <w:vMerge w:val="restart"/>
          </w:tcPr>
          <w:p>
            <w:pPr>
              <w:ind w:left="7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center"/>
              <w:ind w:right="209"/>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jc w:val="center"/>
              <w:ind w:right="150"/>
              <w:spacing w:after="0"/>
              <w:rPr>
                <w:sz w:val="20"/>
                <w:szCs w:val="20"/>
                <w:color w:val="auto"/>
              </w:rPr>
            </w:pPr>
            <w:r>
              <w:rPr>
                <w:rFonts w:ascii="Times New Roman" w:cs="Times New Roman" w:eastAsia="Times New Roman" w:hAnsi="Times New Roman"/>
                <w:sz w:val="12"/>
                <w:szCs w:val="12"/>
                <w:b w:val="1"/>
                <w:bCs w:val="1"/>
                <w:color w:val="auto"/>
                <w:w w:val="98"/>
              </w:rPr>
              <w:t>Accumulated Other</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vMerge w:val="restart"/>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right="18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2220" w:type="dxa"/>
            <w:vAlign w:val="bottom"/>
            <w:tcBorders>
              <w:bottom w:val="single" w:sz="8" w:color="auto"/>
            </w:tcBorders>
            <w:gridSpan w:val="3"/>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209"/>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jc w:val="center"/>
              <w:ind w:right="130"/>
              <w:spacing w:after="0"/>
              <w:rPr>
                <w:sz w:val="20"/>
                <w:szCs w:val="20"/>
                <w:color w:val="auto"/>
              </w:rPr>
            </w:pPr>
            <w:r>
              <w:rPr>
                <w:rFonts w:ascii="Times New Roman" w:cs="Times New Roman" w:eastAsia="Times New Roman" w:hAnsi="Times New Roman"/>
                <w:sz w:val="12"/>
                <w:szCs w:val="12"/>
                <w:b w:val="1"/>
                <w:bCs w:val="1"/>
                <w:color w:val="auto"/>
                <w:w w:val="97"/>
              </w:rPr>
              <w:t>Comprehensive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149"/>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1200" w:type="dxa"/>
            <w:vAlign w:val="bottom"/>
            <w:tcBorders>
              <w:bottom w:val="single" w:sz="8" w:color="auto"/>
            </w:tcBorders>
          </w:tcPr>
          <w:p>
            <w:pPr>
              <w:jc w:val="right"/>
              <w:ind w:right="409"/>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2"/>
                <w:szCs w:val="12"/>
                <w:color w:val="auto"/>
              </w:rPr>
            </w:pPr>
          </w:p>
        </w:tc>
        <w:tc>
          <w:tcPr>
            <w:tcW w:w="900" w:type="dxa"/>
            <w:vAlign w:val="bottom"/>
            <w:tcBorders>
              <w:bottom w:val="single" w:sz="8" w:color="auto"/>
            </w:tcBorders>
          </w:tcPr>
          <w:p>
            <w:pPr>
              <w:ind w:left="260"/>
              <w:spacing w:after="0" w:line="142" w:lineRule="exact"/>
              <w:rPr>
                <w:sz w:val="20"/>
                <w:szCs w:val="20"/>
                <w:color w:val="auto"/>
              </w:rPr>
            </w:pPr>
            <w:r>
              <w:rPr>
                <w:rFonts w:ascii="Times New Roman" w:cs="Times New Roman" w:eastAsia="Times New Roman" w:hAnsi="Times New Roman"/>
                <w:sz w:val="13"/>
                <w:szCs w:val="13"/>
                <w:b w:val="1"/>
                <w:bCs w:val="1"/>
                <w:color w:val="auto"/>
              </w:rPr>
              <w:t>Par Value</w:t>
            </w:r>
          </w:p>
        </w:tc>
        <w:tc>
          <w:tcPr>
            <w:tcW w:w="3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189"/>
              <w:spacing w:after="0" w:line="142"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2"/>
                <w:szCs w:val="12"/>
                <w:b w:val="1"/>
                <w:bCs w:val="1"/>
                <w:color w:val="auto"/>
                <w:w w:val="96"/>
              </w:rPr>
              <w:t>Income (Loss)</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89"/>
              <w:spacing w:after="0" w:line="142"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149"/>
              <w:spacing w:after="0" w:line="142"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42"/>
        </w:trPr>
        <w:tc>
          <w:tcPr>
            <w:tcW w:w="34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December 31, 2025</w:t>
            </w:r>
          </w:p>
        </w:tc>
        <w:tc>
          <w:tcPr>
            <w:tcW w:w="1200" w:type="dxa"/>
            <w:vAlign w:val="bottom"/>
            <w:shd w:val="clear" w:color="auto" w:fill="CFF0FC"/>
          </w:tcPr>
          <w:p>
            <w:pPr>
              <w:jc w:val="right"/>
              <w:ind w:right="69"/>
              <w:spacing w:after="0" w:line="142" w:lineRule="exact"/>
              <w:rPr>
                <w:sz w:val="20"/>
                <w:szCs w:val="20"/>
                <w:color w:val="auto"/>
              </w:rPr>
            </w:pPr>
            <w:r>
              <w:rPr>
                <w:rFonts w:ascii="Times New Roman" w:cs="Times New Roman" w:eastAsia="Times New Roman" w:hAnsi="Times New Roman"/>
                <w:sz w:val="14"/>
                <w:szCs w:val="14"/>
                <w:b w:val="1"/>
                <w:bCs w:val="1"/>
                <w:color w:val="auto"/>
              </w:rPr>
              <w:t>37,485,124</w:t>
            </w: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40" w:type="dxa"/>
            <w:vAlign w:val="bottom"/>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38</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49"/>
              <w:spacing w:after="0" w:line="142" w:lineRule="exact"/>
              <w:rPr>
                <w:sz w:val="20"/>
                <w:szCs w:val="20"/>
                <w:color w:val="auto"/>
              </w:rPr>
            </w:pPr>
            <w:r>
              <w:rPr>
                <w:rFonts w:ascii="Times New Roman" w:cs="Times New Roman" w:eastAsia="Times New Roman" w:hAnsi="Times New Roman"/>
                <w:sz w:val="14"/>
                <w:szCs w:val="14"/>
                <w:b w:val="1"/>
                <w:bCs w:val="1"/>
                <w:color w:val="auto"/>
              </w:rPr>
              <w:t>375,495</w:t>
            </w:r>
          </w:p>
        </w:tc>
        <w:tc>
          <w:tcPr>
            <w:tcW w:w="1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shd w:val="clear" w:color="auto" w:fill="CFF0FC"/>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159</w:t>
            </w:r>
          </w:p>
        </w:tc>
        <w:tc>
          <w:tcPr>
            <w:tcW w:w="2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(220,356)</w:t>
            </w:r>
          </w:p>
        </w:tc>
        <w:tc>
          <w:tcPr>
            <w:tcW w:w="20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shd w:val="clear" w:color="auto" w:fill="CFF0FC"/>
          </w:tcPr>
          <w:p>
            <w:pPr>
              <w:jc w:val="right"/>
              <w:ind w:right="49"/>
              <w:spacing w:after="0" w:line="142" w:lineRule="exact"/>
              <w:rPr>
                <w:sz w:val="20"/>
                <w:szCs w:val="20"/>
                <w:color w:val="auto"/>
              </w:rPr>
            </w:pPr>
            <w:r>
              <w:rPr>
                <w:rFonts w:ascii="Times New Roman" w:cs="Times New Roman" w:eastAsia="Times New Roman" w:hAnsi="Times New Roman"/>
                <w:sz w:val="14"/>
                <w:szCs w:val="14"/>
                <w:b w:val="1"/>
                <w:bCs w:val="1"/>
                <w:color w:val="auto"/>
              </w:rPr>
              <w:t>155,336</w:t>
            </w:r>
          </w:p>
        </w:tc>
        <w:tc>
          <w:tcPr>
            <w:tcW w:w="0" w:type="dxa"/>
            <w:vAlign w:val="bottom"/>
          </w:tcPr>
          <w:p>
            <w:pPr>
              <w:spacing w:after="0"/>
              <w:rPr>
                <w:sz w:val="1"/>
                <w:szCs w:val="1"/>
                <w:color w:val="auto"/>
              </w:rPr>
            </w:pPr>
          </w:p>
        </w:tc>
      </w:tr>
      <w:tr>
        <w:trPr>
          <w:trHeight w:val="142"/>
        </w:trPr>
        <w:tc>
          <w:tcPr>
            <w:tcW w:w="346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Issuance of restricted stock awards</w:t>
            </w:r>
          </w:p>
        </w:tc>
        <w:tc>
          <w:tcPr>
            <w:tcW w:w="1200" w:type="dxa"/>
            <w:vAlign w:val="bottom"/>
            <w:tcBorders>
              <w:top w:val="single" w:sz="8" w:color="auto"/>
            </w:tcBorders>
          </w:tcPr>
          <w:p>
            <w:pPr>
              <w:jc w:val="right"/>
              <w:ind w:right="69"/>
              <w:spacing w:after="0" w:line="142" w:lineRule="exact"/>
              <w:rPr>
                <w:sz w:val="20"/>
                <w:szCs w:val="20"/>
                <w:color w:val="auto"/>
              </w:rPr>
            </w:pPr>
            <w:r>
              <w:rPr>
                <w:rFonts w:ascii="Times New Roman" w:cs="Times New Roman" w:eastAsia="Times New Roman" w:hAnsi="Times New Roman"/>
                <w:sz w:val="14"/>
                <w:szCs w:val="14"/>
                <w:color w:val="auto"/>
              </w:rPr>
              <w:t>96,073</w:t>
            </w:r>
          </w:p>
        </w:tc>
        <w:tc>
          <w:tcPr>
            <w:tcW w:w="120" w:type="dxa"/>
            <w:vAlign w:val="bottom"/>
            <w:tcBorders>
              <w:top w:val="single" w:sz="8" w:color="CFF0FC"/>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ind w:right="5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4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w:t>
            </w:r>
          </w:p>
        </w:tc>
        <w:tc>
          <w:tcPr>
            <w:tcW w:w="1200" w:type="dxa"/>
            <w:vAlign w:val="bottom"/>
            <w:shd w:val="clear" w:color="auto" w:fill="CFF0FC"/>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278,483</w:t>
            </w: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4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1,632</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20" w:type="dxa"/>
            <w:vAlign w:val="bottom"/>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1,632</w:t>
            </w:r>
          </w:p>
        </w:tc>
        <w:tc>
          <w:tcPr>
            <w:tcW w:w="0" w:type="dxa"/>
            <w:vAlign w:val="bottom"/>
          </w:tcPr>
          <w:p>
            <w:pPr>
              <w:spacing w:after="0"/>
              <w:rPr>
                <w:sz w:val="1"/>
                <w:szCs w:val="1"/>
                <w:color w:val="auto"/>
              </w:rPr>
            </w:pPr>
          </w:p>
        </w:tc>
      </w:tr>
      <w:tr>
        <w:trPr>
          <w:trHeight w:val="148"/>
        </w:trPr>
        <w:tc>
          <w:tcPr>
            <w:tcW w:w="3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200" w:type="dxa"/>
            <w:vAlign w:val="bottom"/>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3,723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3,723</w:t>
            </w:r>
          </w:p>
        </w:tc>
        <w:tc>
          <w:tcPr>
            <w:tcW w:w="0" w:type="dxa"/>
            <w:vAlign w:val="bottom"/>
          </w:tcPr>
          <w:p>
            <w:pPr>
              <w:spacing w:after="0"/>
              <w:rPr>
                <w:sz w:val="1"/>
                <w:szCs w:val="1"/>
                <w:color w:val="auto"/>
              </w:rPr>
            </w:pPr>
          </w:p>
        </w:tc>
      </w:tr>
      <w:tr>
        <w:trPr>
          <w:trHeight w:val="148"/>
        </w:trPr>
        <w:tc>
          <w:tcPr>
            <w:tcW w:w="34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200" w:type="dxa"/>
            <w:vAlign w:val="bottom"/>
            <w:shd w:val="clear" w:color="auto" w:fill="CFF0FC"/>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4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20" w:type="dxa"/>
            <w:vAlign w:val="bottom"/>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(19,737)</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(19,737)</w:t>
            </w:r>
          </w:p>
        </w:tc>
        <w:tc>
          <w:tcPr>
            <w:tcW w:w="0" w:type="dxa"/>
            <w:vAlign w:val="bottom"/>
          </w:tcPr>
          <w:p>
            <w:pPr>
              <w:spacing w:after="0"/>
              <w:rPr>
                <w:sz w:val="1"/>
                <w:szCs w:val="1"/>
                <w:color w:val="auto"/>
              </w:rPr>
            </w:pPr>
          </w:p>
        </w:tc>
      </w:tr>
      <w:tr>
        <w:trPr>
          <w:trHeight w:val="148"/>
        </w:trPr>
        <w:tc>
          <w:tcPr>
            <w:tcW w:w="3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loss</w:t>
            </w:r>
          </w:p>
        </w:tc>
        <w:tc>
          <w:tcPr>
            <w:tcW w:w="1200" w:type="dxa"/>
            <w:vAlign w:val="bottom"/>
            <w:tcBorders>
              <w:bottom w:val="single" w:sz="8" w:color="auto"/>
            </w:tcBorders>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(141)</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(141)</w:t>
            </w:r>
          </w:p>
        </w:tc>
        <w:tc>
          <w:tcPr>
            <w:tcW w:w="0" w:type="dxa"/>
            <w:vAlign w:val="bottom"/>
          </w:tcPr>
          <w:p>
            <w:pPr>
              <w:spacing w:after="0"/>
              <w:rPr>
                <w:sz w:val="1"/>
                <w:szCs w:val="1"/>
                <w:color w:val="auto"/>
              </w:rPr>
            </w:pPr>
          </w:p>
        </w:tc>
      </w:tr>
      <w:tr>
        <w:trPr>
          <w:trHeight w:val="142"/>
        </w:trPr>
        <w:tc>
          <w:tcPr>
            <w:tcW w:w="34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March 31, 2026</w:t>
            </w:r>
          </w:p>
        </w:tc>
        <w:tc>
          <w:tcPr>
            <w:tcW w:w="1200" w:type="dxa"/>
            <w:vAlign w:val="bottom"/>
            <w:shd w:val="clear" w:color="auto" w:fill="CFF0FC"/>
          </w:tcPr>
          <w:p>
            <w:pPr>
              <w:jc w:val="right"/>
              <w:ind w:right="69"/>
              <w:spacing w:after="0" w:line="142" w:lineRule="exact"/>
              <w:rPr>
                <w:sz w:val="20"/>
                <w:szCs w:val="20"/>
                <w:color w:val="auto"/>
              </w:rPr>
            </w:pPr>
            <w:r>
              <w:rPr>
                <w:rFonts w:ascii="Times New Roman" w:cs="Times New Roman" w:eastAsia="Times New Roman" w:hAnsi="Times New Roman"/>
                <w:sz w:val="14"/>
                <w:szCs w:val="14"/>
                <w:b w:val="1"/>
                <w:bCs w:val="1"/>
                <w:color w:val="auto"/>
              </w:rPr>
              <w:t>37,859,680</w:t>
            </w: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40" w:type="dxa"/>
            <w:vAlign w:val="bottom"/>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38</w:t>
            </w:r>
          </w:p>
        </w:tc>
        <w:tc>
          <w:tcPr>
            <w:tcW w:w="2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shd w:val="clear" w:color="auto" w:fill="CFF0FC"/>
          </w:tcPr>
          <w:p>
            <w:pPr>
              <w:jc w:val="right"/>
              <w:ind w:right="49"/>
              <w:spacing w:after="0" w:line="142" w:lineRule="exact"/>
              <w:rPr>
                <w:sz w:val="20"/>
                <w:szCs w:val="20"/>
                <w:color w:val="auto"/>
              </w:rPr>
            </w:pPr>
            <w:r>
              <w:rPr>
                <w:rFonts w:ascii="Times New Roman" w:cs="Times New Roman" w:eastAsia="Times New Roman" w:hAnsi="Times New Roman"/>
                <w:sz w:val="14"/>
                <w:szCs w:val="14"/>
                <w:b w:val="1"/>
                <w:bCs w:val="1"/>
                <w:color w:val="auto"/>
              </w:rPr>
              <w:t>380,850</w:t>
            </w:r>
          </w:p>
        </w:tc>
        <w:tc>
          <w:tcPr>
            <w:tcW w:w="1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shd w:val="clear" w:color="auto" w:fill="CFF0FC"/>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18</w:t>
            </w:r>
          </w:p>
        </w:tc>
        <w:tc>
          <w:tcPr>
            <w:tcW w:w="2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(240,093)</w:t>
            </w:r>
          </w:p>
        </w:tc>
        <w:tc>
          <w:tcPr>
            <w:tcW w:w="20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shd w:val="clear" w:color="auto" w:fill="CFF0FC"/>
          </w:tcPr>
          <w:p>
            <w:pPr>
              <w:jc w:val="right"/>
              <w:ind w:right="49"/>
              <w:spacing w:after="0" w:line="142" w:lineRule="exact"/>
              <w:rPr>
                <w:sz w:val="20"/>
                <w:szCs w:val="20"/>
                <w:color w:val="auto"/>
              </w:rPr>
            </w:pPr>
            <w:r>
              <w:rPr>
                <w:rFonts w:ascii="Times New Roman" w:cs="Times New Roman" w:eastAsia="Times New Roman" w:hAnsi="Times New Roman"/>
                <w:sz w:val="14"/>
                <w:szCs w:val="14"/>
                <w:b w:val="1"/>
                <w:bCs w:val="1"/>
                <w:color w:val="auto"/>
              </w:rPr>
              <w:t>140,813</w:t>
            </w:r>
          </w:p>
        </w:tc>
        <w:tc>
          <w:tcPr>
            <w:tcW w:w="0" w:type="dxa"/>
            <w:vAlign w:val="bottom"/>
          </w:tcPr>
          <w:p>
            <w:pPr>
              <w:spacing w:after="0"/>
              <w:rPr>
                <w:sz w:val="1"/>
                <w:szCs w:val="1"/>
                <w:color w:val="auto"/>
              </w:rPr>
            </w:pPr>
          </w:p>
        </w:tc>
      </w:tr>
      <w:tr>
        <w:trPr>
          <w:trHeight w:val="142"/>
        </w:trPr>
        <w:tc>
          <w:tcPr>
            <w:tcW w:w="3460" w:type="dxa"/>
            <w:vAlign w:val="bottom"/>
            <w:tcBorders>
              <w:top w:val="single" w:sz="8" w:color="CFF0FC"/>
            </w:tcBorders>
          </w:tcPr>
          <w:p>
            <w:pPr>
              <w:spacing w:after="0"/>
              <w:rPr>
                <w:sz w:val="12"/>
                <w:szCs w:val="12"/>
                <w:color w:val="auto"/>
              </w:rPr>
            </w:pPr>
          </w:p>
        </w:tc>
        <w:tc>
          <w:tcPr>
            <w:tcW w:w="12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90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December 31, 2024</w:t>
            </w:r>
          </w:p>
        </w:tc>
        <w:tc>
          <w:tcPr>
            <w:tcW w:w="1200" w:type="dxa"/>
            <w:vAlign w:val="bottom"/>
            <w:shd w:val="clear" w:color="auto" w:fill="CFF0FC"/>
          </w:tcPr>
          <w:p>
            <w:pPr>
              <w:jc w:val="right"/>
              <w:ind w:right="69"/>
              <w:spacing w:after="0" w:line="142" w:lineRule="exact"/>
              <w:rPr>
                <w:sz w:val="20"/>
                <w:szCs w:val="20"/>
                <w:color w:val="auto"/>
              </w:rPr>
            </w:pPr>
            <w:r>
              <w:rPr>
                <w:rFonts w:ascii="Times New Roman" w:cs="Times New Roman" w:eastAsia="Times New Roman" w:hAnsi="Times New Roman"/>
                <w:sz w:val="14"/>
                <w:szCs w:val="14"/>
                <w:b w:val="1"/>
                <w:bCs w:val="1"/>
                <w:color w:val="auto"/>
              </w:rPr>
              <w:t>35,850,606</w:t>
            </w: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40" w:type="dxa"/>
            <w:vAlign w:val="bottom"/>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36</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49"/>
              <w:spacing w:after="0" w:line="142" w:lineRule="exact"/>
              <w:rPr>
                <w:sz w:val="20"/>
                <w:szCs w:val="20"/>
                <w:color w:val="auto"/>
              </w:rPr>
            </w:pPr>
            <w:r>
              <w:rPr>
                <w:rFonts w:ascii="Times New Roman" w:cs="Times New Roman" w:eastAsia="Times New Roman" w:hAnsi="Times New Roman"/>
                <w:sz w:val="14"/>
                <w:szCs w:val="14"/>
                <w:b w:val="1"/>
                <w:bCs w:val="1"/>
                <w:color w:val="auto"/>
              </w:rPr>
              <w:t>358,073</w:t>
            </w:r>
          </w:p>
        </w:tc>
        <w:tc>
          <w:tcPr>
            <w:tcW w:w="1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shd w:val="clear" w:color="auto" w:fill="CFF0FC"/>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(166,944)</w:t>
            </w:r>
          </w:p>
        </w:tc>
        <w:tc>
          <w:tcPr>
            <w:tcW w:w="20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shd w:val="clear" w:color="auto" w:fill="CFF0FC"/>
          </w:tcPr>
          <w:p>
            <w:pPr>
              <w:jc w:val="right"/>
              <w:ind w:right="49"/>
              <w:spacing w:after="0" w:line="142" w:lineRule="exact"/>
              <w:rPr>
                <w:sz w:val="20"/>
                <w:szCs w:val="20"/>
                <w:color w:val="auto"/>
              </w:rPr>
            </w:pPr>
            <w:r>
              <w:rPr>
                <w:rFonts w:ascii="Times New Roman" w:cs="Times New Roman" w:eastAsia="Times New Roman" w:hAnsi="Times New Roman"/>
                <w:sz w:val="14"/>
                <w:szCs w:val="14"/>
                <w:b w:val="1"/>
                <w:bCs w:val="1"/>
                <w:color w:val="auto"/>
              </w:rPr>
              <w:t>191,165</w:t>
            </w:r>
          </w:p>
        </w:tc>
        <w:tc>
          <w:tcPr>
            <w:tcW w:w="0" w:type="dxa"/>
            <w:vAlign w:val="bottom"/>
          </w:tcPr>
          <w:p>
            <w:pPr>
              <w:spacing w:after="0"/>
              <w:rPr>
                <w:sz w:val="1"/>
                <w:szCs w:val="1"/>
                <w:color w:val="auto"/>
              </w:rPr>
            </w:pPr>
          </w:p>
        </w:tc>
      </w:tr>
      <w:tr>
        <w:trPr>
          <w:trHeight w:val="142"/>
        </w:trPr>
        <w:tc>
          <w:tcPr>
            <w:tcW w:w="346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Issuance of restricted stock awards</w:t>
            </w:r>
          </w:p>
        </w:tc>
        <w:tc>
          <w:tcPr>
            <w:tcW w:w="1200" w:type="dxa"/>
            <w:vAlign w:val="bottom"/>
            <w:tcBorders>
              <w:top w:val="single" w:sz="8" w:color="auto"/>
            </w:tcBorders>
          </w:tcPr>
          <w:p>
            <w:pPr>
              <w:jc w:val="right"/>
              <w:ind w:right="69"/>
              <w:spacing w:after="0" w:line="142" w:lineRule="exact"/>
              <w:rPr>
                <w:sz w:val="20"/>
                <w:szCs w:val="20"/>
                <w:color w:val="auto"/>
              </w:rPr>
            </w:pPr>
            <w:r>
              <w:rPr>
                <w:rFonts w:ascii="Times New Roman" w:cs="Times New Roman" w:eastAsia="Times New Roman" w:hAnsi="Times New Roman"/>
                <w:sz w:val="14"/>
                <w:szCs w:val="14"/>
                <w:color w:val="auto"/>
              </w:rPr>
              <w:t>12,468</w:t>
            </w:r>
          </w:p>
        </w:tc>
        <w:tc>
          <w:tcPr>
            <w:tcW w:w="120" w:type="dxa"/>
            <w:vAlign w:val="bottom"/>
            <w:tcBorders>
              <w:top w:val="single" w:sz="8" w:color="CFF0FC"/>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ind w:right="5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4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Shares withheld for taxes</w:t>
            </w:r>
          </w:p>
        </w:tc>
        <w:tc>
          <w:tcPr>
            <w:tcW w:w="1200" w:type="dxa"/>
            <w:vAlign w:val="bottom"/>
            <w:shd w:val="clear" w:color="auto" w:fill="CFF0FC"/>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(4,303)</w:t>
            </w: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4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20" w:type="dxa"/>
            <w:vAlign w:val="bottom"/>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26"/>
        </w:trPr>
        <w:tc>
          <w:tcPr>
            <w:tcW w:w="34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pursuant to stock option</w:t>
            </w:r>
          </w:p>
        </w:tc>
        <w:tc>
          <w:tcPr>
            <w:tcW w:w="120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38,291</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251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251</w:t>
            </w:r>
          </w:p>
        </w:tc>
        <w:tc>
          <w:tcPr>
            <w:tcW w:w="0" w:type="dxa"/>
            <w:vAlign w:val="bottom"/>
          </w:tcPr>
          <w:p>
            <w:pPr>
              <w:spacing w:after="0"/>
              <w:rPr>
                <w:sz w:val="1"/>
                <w:szCs w:val="1"/>
                <w:color w:val="auto"/>
              </w:rPr>
            </w:pPr>
          </w:p>
        </w:tc>
      </w:tr>
      <w:tr>
        <w:trPr>
          <w:trHeight w:val="171"/>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exercises</w:t>
            </w:r>
          </w:p>
        </w:tc>
        <w:tc>
          <w:tcPr>
            <w:tcW w:w="1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200" w:type="dxa"/>
            <w:vAlign w:val="bottom"/>
            <w:shd w:val="clear" w:color="auto" w:fill="CFF0FC"/>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4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2,348</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20" w:type="dxa"/>
            <w:vAlign w:val="bottom"/>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2,348</w:t>
            </w:r>
          </w:p>
        </w:tc>
        <w:tc>
          <w:tcPr>
            <w:tcW w:w="0" w:type="dxa"/>
            <w:vAlign w:val="bottom"/>
          </w:tcPr>
          <w:p>
            <w:pPr>
              <w:spacing w:after="0"/>
              <w:rPr>
                <w:sz w:val="1"/>
                <w:szCs w:val="1"/>
                <w:color w:val="auto"/>
              </w:rPr>
            </w:pPr>
          </w:p>
        </w:tc>
      </w:tr>
      <w:tr>
        <w:trPr>
          <w:trHeight w:val="148"/>
        </w:trPr>
        <w:tc>
          <w:tcPr>
            <w:tcW w:w="3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200" w:type="dxa"/>
            <w:vAlign w:val="bottom"/>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(12,777)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(12,777)</w:t>
            </w:r>
          </w:p>
        </w:tc>
        <w:tc>
          <w:tcPr>
            <w:tcW w:w="0" w:type="dxa"/>
            <w:vAlign w:val="bottom"/>
          </w:tcPr>
          <w:p>
            <w:pPr>
              <w:spacing w:after="0"/>
              <w:rPr>
                <w:sz w:val="1"/>
                <w:szCs w:val="1"/>
                <w:color w:val="auto"/>
              </w:rPr>
            </w:pPr>
          </w:p>
        </w:tc>
      </w:tr>
      <w:tr>
        <w:trPr>
          <w:trHeight w:val="148"/>
        </w:trPr>
        <w:tc>
          <w:tcPr>
            <w:tcW w:w="346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loss</w:t>
            </w:r>
          </w:p>
        </w:tc>
        <w:tc>
          <w:tcPr>
            <w:tcW w:w="1200" w:type="dxa"/>
            <w:vAlign w:val="bottom"/>
            <w:tcBorders>
              <w:bottom w:val="single" w:sz="8" w:color="auto"/>
            </w:tcBorders>
            <w:shd w:val="clear" w:color="auto" w:fill="CFF0FC"/>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spacing w:after="0"/>
              <w:rPr>
                <w:sz w:val="12"/>
                <w:szCs w:val="12"/>
                <w:color w:val="auto"/>
              </w:rPr>
            </w:pPr>
          </w:p>
        </w:tc>
        <w:tc>
          <w:tcPr>
            <w:tcW w:w="340" w:type="dxa"/>
            <w:vAlign w:val="bottom"/>
            <w:tcBorders>
              <w:bottom w:val="single" w:sz="8" w:color="auto"/>
            </w:tcBorders>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12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42"/>
        </w:trPr>
        <w:tc>
          <w:tcPr>
            <w:tcW w:w="34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March 31, 2025</w:t>
            </w:r>
          </w:p>
        </w:tc>
        <w:tc>
          <w:tcPr>
            <w:tcW w:w="1200" w:type="dxa"/>
            <w:vAlign w:val="bottom"/>
          </w:tcPr>
          <w:p>
            <w:pPr>
              <w:jc w:val="right"/>
              <w:ind w:right="69"/>
              <w:spacing w:after="0" w:line="142" w:lineRule="exact"/>
              <w:rPr>
                <w:sz w:val="20"/>
                <w:szCs w:val="20"/>
                <w:color w:val="auto"/>
              </w:rPr>
            </w:pPr>
            <w:r>
              <w:rPr>
                <w:rFonts w:ascii="Times New Roman" w:cs="Times New Roman" w:eastAsia="Times New Roman" w:hAnsi="Times New Roman"/>
                <w:sz w:val="14"/>
                <w:szCs w:val="14"/>
                <w:b w:val="1"/>
                <w:bCs w:val="1"/>
                <w:color w:val="auto"/>
              </w:rPr>
              <w:t>35,897,062</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36</w:t>
            </w:r>
          </w:p>
        </w:tc>
        <w:tc>
          <w:tcPr>
            <w:tcW w:w="26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jc w:val="right"/>
              <w:ind w:right="49"/>
              <w:spacing w:after="0" w:line="142" w:lineRule="exact"/>
              <w:rPr>
                <w:sz w:val="20"/>
                <w:szCs w:val="20"/>
                <w:color w:val="auto"/>
              </w:rPr>
            </w:pPr>
            <w:r>
              <w:rPr>
                <w:rFonts w:ascii="Times New Roman" w:cs="Times New Roman" w:eastAsia="Times New Roman" w:hAnsi="Times New Roman"/>
                <w:sz w:val="14"/>
                <w:szCs w:val="14"/>
                <w:b w:val="1"/>
                <w:bCs w:val="1"/>
                <w:color w:val="auto"/>
              </w:rPr>
              <w:t>360,572</w:t>
            </w:r>
          </w:p>
        </w:tc>
        <w:tc>
          <w:tcPr>
            <w:tcW w:w="1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w:t>
            </w:r>
          </w:p>
        </w:tc>
        <w:tc>
          <w:tcPr>
            <w:tcW w:w="22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(179,721)</w:t>
            </w:r>
          </w:p>
        </w:tc>
        <w:tc>
          <w:tcPr>
            <w:tcW w:w="20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jc w:val="right"/>
              <w:ind w:right="49"/>
              <w:spacing w:after="0" w:line="142" w:lineRule="exact"/>
              <w:rPr>
                <w:sz w:val="20"/>
                <w:szCs w:val="20"/>
                <w:color w:val="auto"/>
              </w:rPr>
            </w:pPr>
            <w:r>
              <w:rPr>
                <w:rFonts w:ascii="Times New Roman" w:cs="Times New Roman" w:eastAsia="Times New Roman" w:hAnsi="Times New Roman"/>
                <w:sz w:val="14"/>
                <w:szCs w:val="14"/>
                <w:b w:val="1"/>
                <w:bCs w:val="1"/>
                <w:color w:val="auto"/>
              </w:rPr>
              <w:t>180,881</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-1568450</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-1568450</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-1568450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-1568450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-1568450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-985520</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-985520</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-985520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-985520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-985520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-779145</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-779145</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-779145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-779145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-779145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-111125</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-111125</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-111125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-111125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-111125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CeriBell,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78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20" w:type="dxa"/>
            <w:vAlign w:val="bottom"/>
            <w:tcBorders>
              <w:bottom w:val="single" w:sz="8" w:color="auto"/>
            </w:tcBorders>
          </w:tcPr>
          <w:p>
            <w:pPr>
              <w:spacing w:after="0"/>
              <w:rPr>
                <w:sz w:val="15"/>
                <w:szCs w:val="15"/>
                <w:color w:val="auto"/>
              </w:rPr>
            </w:pPr>
          </w:p>
        </w:tc>
      </w:tr>
      <w:tr>
        <w:trPr>
          <w:trHeight w:val="142"/>
        </w:trPr>
        <w:tc>
          <w:tcPr>
            <w:tcW w:w="6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Pr>
          <w:p>
            <w:pPr>
              <w:spacing w:after="0"/>
              <w:rPr>
                <w:sz w:val="12"/>
                <w:szCs w:val="12"/>
                <w:color w:val="auto"/>
              </w:rPr>
            </w:pPr>
          </w:p>
        </w:tc>
        <w:tc>
          <w:tcPr>
            <w:tcW w:w="112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Pr>
          <w:p>
            <w:pPr>
              <w:spacing w:after="0"/>
              <w:rPr>
                <w:sz w:val="12"/>
                <w:szCs w:val="12"/>
                <w:color w:val="auto"/>
              </w:rPr>
            </w:pPr>
          </w:p>
        </w:tc>
      </w:tr>
      <w:tr>
        <w:trPr>
          <w:trHeight w:val="209"/>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2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r>
      <w:tr>
        <w:trPr>
          <w:trHeight w:val="216"/>
        </w:trPr>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98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(19,737)</w:t>
            </w:r>
          </w:p>
        </w:tc>
        <w:tc>
          <w:tcPr>
            <w:tcW w:w="11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(12,777)</w:t>
            </w:r>
          </w:p>
        </w:tc>
      </w:tr>
      <w:tr>
        <w:trPr>
          <w:trHeight w:val="216"/>
        </w:trPr>
        <w:tc>
          <w:tcPr>
            <w:tcW w:w="6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r>
      <w:tr>
        <w:trPr>
          <w:trHeight w:val="216"/>
        </w:trPr>
        <w:tc>
          <w:tcPr>
            <w:tcW w:w="6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239</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335</w:t>
            </w:r>
          </w:p>
        </w:tc>
      </w:tr>
      <w:tr>
        <w:trPr>
          <w:trHeight w:val="216"/>
        </w:trPr>
        <w:tc>
          <w:tcPr>
            <w:tcW w:w="67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Noncash lease expense</w:t>
            </w:r>
          </w:p>
        </w:tc>
        <w:tc>
          <w:tcPr>
            <w:tcW w:w="10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6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3,723</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2,348</w:t>
            </w:r>
          </w:p>
        </w:tc>
      </w:tr>
      <w:tr>
        <w:trPr>
          <w:trHeight w:val="216"/>
        </w:trPr>
        <w:tc>
          <w:tcPr>
            <w:tcW w:w="67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Amortization of debt discount and accretion of premium on term loans</w:t>
            </w:r>
          </w:p>
        </w:tc>
        <w:tc>
          <w:tcPr>
            <w:tcW w:w="10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6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Accretion (amortization) of discount and premium on marketable securities</w:t>
            </w: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67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Loss on disposal of property and equipment and recorders</w:t>
            </w:r>
          </w:p>
        </w:tc>
        <w:tc>
          <w:tcPr>
            <w:tcW w:w="10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6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67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w:t>
            </w:r>
          </w:p>
        </w:tc>
      </w:tr>
      <w:tr>
        <w:trPr>
          <w:trHeight w:val="216"/>
        </w:trPr>
        <w:tc>
          <w:tcPr>
            <w:tcW w:w="6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Inventory</w:t>
            </w: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386</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383</w:t>
            </w:r>
          </w:p>
        </w:tc>
      </w:tr>
      <w:tr>
        <w:trPr>
          <w:trHeight w:val="216"/>
        </w:trPr>
        <w:tc>
          <w:tcPr>
            <w:tcW w:w="67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402</w:t>
            </w:r>
          </w:p>
        </w:tc>
      </w:tr>
      <w:tr>
        <w:trPr>
          <w:trHeight w:val="216"/>
        </w:trPr>
        <w:tc>
          <w:tcPr>
            <w:tcW w:w="6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Contract costs</w:t>
            </w: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216"/>
        </w:trPr>
        <w:tc>
          <w:tcPr>
            <w:tcW w:w="67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0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payable</w:t>
            </w: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345</w:t>
            </w:r>
          </w:p>
        </w:tc>
      </w:tr>
      <w:tr>
        <w:trPr>
          <w:trHeight w:val="216"/>
        </w:trPr>
        <w:tc>
          <w:tcPr>
            <w:tcW w:w="67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Accrued liabilities and other current liabilities</w:t>
            </w:r>
          </w:p>
        </w:tc>
        <w:tc>
          <w:tcPr>
            <w:tcW w:w="10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(1,761)</w:t>
            </w:r>
          </w:p>
        </w:tc>
      </w:tr>
      <w:tr>
        <w:trPr>
          <w:trHeight w:val="216"/>
        </w:trPr>
        <w:tc>
          <w:tcPr>
            <w:tcW w:w="6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Contract liabilities</w:t>
            </w:r>
          </w:p>
        </w:tc>
        <w:tc>
          <w:tcPr>
            <w:tcW w:w="10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87</w:t>
            </w:r>
          </w:p>
        </w:tc>
      </w:tr>
      <w:tr>
        <w:trPr>
          <w:trHeight w:val="210"/>
        </w:trPr>
        <w:tc>
          <w:tcPr>
            <w:tcW w:w="6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0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(19,297)</w:t>
            </w:r>
          </w:p>
        </w:tc>
        <w:tc>
          <w:tcPr>
            <w:tcW w:w="1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(11,403)</w:t>
            </w:r>
          </w:p>
        </w:tc>
      </w:tr>
      <w:tr>
        <w:trPr>
          <w:trHeight w:val="210"/>
        </w:trPr>
        <w:tc>
          <w:tcPr>
            <w:tcW w:w="6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6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Purchases of recorder components and recorders</w:t>
            </w:r>
          </w:p>
        </w:tc>
        <w:tc>
          <w:tcPr>
            <w:tcW w:w="10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6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0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(26,733)</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(29,330)</w:t>
            </w:r>
          </w:p>
        </w:tc>
      </w:tr>
      <w:tr>
        <w:trPr>
          <w:trHeight w:val="216"/>
        </w:trPr>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10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50,000</w:t>
            </w:r>
          </w:p>
        </w:tc>
        <w:tc>
          <w:tcPr>
            <w:tcW w:w="1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10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22,441</w:t>
            </w:r>
          </w:p>
        </w:tc>
        <w:tc>
          <w:tcPr>
            <w:tcW w:w="1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(29,609)</w:t>
            </w:r>
          </w:p>
        </w:tc>
      </w:tr>
      <w:tr>
        <w:trPr>
          <w:trHeight w:val="210"/>
        </w:trPr>
        <w:tc>
          <w:tcPr>
            <w:tcW w:w="6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6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related to employee stock plans</w:t>
            </w:r>
          </w:p>
        </w:tc>
        <w:tc>
          <w:tcPr>
            <w:tcW w:w="10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1,632</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Debt issuance cost</w:t>
            </w:r>
          </w:p>
        </w:tc>
        <w:tc>
          <w:tcPr>
            <w:tcW w:w="10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10"/>
        </w:trPr>
        <w:tc>
          <w:tcPr>
            <w:tcW w:w="6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0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1,632</w:t>
            </w:r>
          </w:p>
        </w:tc>
        <w:tc>
          <w:tcPr>
            <w:tcW w:w="1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w:t>
            </w:r>
          </w:p>
        </w:tc>
      </w:tr>
      <w:tr>
        <w:trPr>
          <w:trHeight w:val="209"/>
        </w:trPr>
        <w:tc>
          <w:tcPr>
            <w:tcW w:w="6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4,776</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(41,010)</w:t>
            </w:r>
          </w:p>
        </w:tc>
      </w:tr>
      <w:tr>
        <w:trPr>
          <w:trHeight w:val="216"/>
        </w:trPr>
        <w:tc>
          <w:tcPr>
            <w:tcW w:w="6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0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40,476</w:t>
            </w:r>
          </w:p>
        </w:tc>
        <w:tc>
          <w:tcPr>
            <w:tcW w:w="1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194,370</w:t>
            </w:r>
          </w:p>
        </w:tc>
      </w:tr>
      <w:tr>
        <w:trPr>
          <w:trHeight w:val="209"/>
        </w:trPr>
        <w:tc>
          <w:tcPr>
            <w:tcW w:w="6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198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45,252</w:t>
            </w:r>
          </w:p>
        </w:tc>
        <w:tc>
          <w:tcPr>
            <w:tcW w:w="11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153,360</w:t>
            </w:r>
          </w:p>
        </w:tc>
      </w:tr>
      <w:tr>
        <w:trPr>
          <w:trHeight w:val="210"/>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02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r>
      <w:tr>
        <w:trPr>
          <w:trHeight w:val="216"/>
        </w:trPr>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paid for interest</w:t>
            </w:r>
          </w:p>
        </w:tc>
        <w:tc>
          <w:tcPr>
            <w:tcW w:w="198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434</w:t>
            </w:r>
          </w:p>
        </w:tc>
        <w:tc>
          <w:tcPr>
            <w:tcW w:w="11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472</w:t>
            </w:r>
          </w:p>
        </w:tc>
      </w:tr>
      <w:tr>
        <w:trPr>
          <w:trHeight w:val="216"/>
        </w:trPr>
        <w:tc>
          <w:tcPr>
            <w:tcW w:w="6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Property and equipment included in accounts payable and accrued expenses</w:t>
            </w:r>
          </w:p>
        </w:tc>
        <w:tc>
          <w:tcPr>
            <w:tcW w:w="10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w:t>
            </w:r>
          </w:p>
        </w:tc>
      </w:tr>
      <w:tr>
        <w:trPr>
          <w:trHeight w:val="238"/>
        </w:trPr>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Recorder components included in accounts payable and accrued expenses</w:t>
            </w:r>
          </w:p>
        </w:tc>
        <w:tc>
          <w:tcPr>
            <w:tcW w:w="10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99</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-2405380</wp:posOffset>
            </wp:positionV>
            <wp:extent cx="1111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-1565275</wp:posOffset>
            </wp:positionV>
            <wp:extent cx="1111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-999490</wp:posOffset>
            </wp:positionV>
            <wp:extent cx="1111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-716280</wp:posOffset>
            </wp:positionV>
            <wp:extent cx="1111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Ceribell,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Company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Business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CeriBell, Inc. (the “Company”) was incorporated in the state of Delaware as Brain Stethoscope, Inc., on August 29, 2014, and changed its name to CeriBell, Inc. on August 11, 2015, and maintains its principal office in Sunnyvale, California. The Company is a commercial-stage medical technology company focused on transforming the diagnosis and management of patients with serious neurological conditions.</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has developed the Ceribell System, a novel, point-of-care electroencephalography (“EEG”) platform specifically designed to address the unmet needs of patients in the acute care setting. By combining proprietary, highly portable and rapidly deployable hardware with sophisticated artificial intelligence (“AI”)-powered algorithms, the Ceribell System enables rapid diagnosis and continuous monitoring of patients with neurological conditions.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2026, the Company’s principal sources of liquidity consisted of $141.2 million of cash, cash equivalents, and marketable securities.</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has incurred operating losses and negative cash flows from operations since its inception. On March 31, 2026, the Company had an accumulated deficit of $240.1 million. Such losses primarily resulted from the costs incurred in the development and sales and marketing of the Company’s products and building the Company’s organization. The Company expects to incur losses in the near term as it continues to focus on the development and promotion of new and existing products and expand its corporate infrastructure, including the costs associated with being a public company.</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Based on the Company’s current operating plan, the Company believes that its existing cash and cash equivalents will be sufficient to fund the Company’s planned operating expenses and capital expenditure requirements for at least the next 12 months from the date of issuance of these financial statements.</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However, the Company may experience lower than expected cash generated from operating activities or greater than expected capital expenditures, cost of revenue, or operating expenses, and may need to raise additional capital to fund operations, further research and development activities, or acquire, invest in, or license other businesses, assets, or technologies. The Company’s future capital needs will depend upon many factors, including the market acceptance of the Company’s products, the cost and pace of developing new products, and the costs of supporting sales growth.</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medical device industry, including, but not limited to, new technological innovations, dependence upon third-party payers to provide adequate coverage and reimbursement, dependence on key personnel, dependence on key suppliers, protection of proprietary technology, product liability, and compliance with government regulations. There can be no assurance that the Company’s products or services will be accepted in the marketplace, nor can there be any assurance that any future products or services can be developed or manufactured at an acceptable cost and with appropriate performance characteristics, or that such products or services will be successfully marketed, if at all. These factors could have a material adverse effect on the Company’s future financial results, financial position, and cash flow.</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inflationary and supply chain pressures may adversely impact the Company’s future financial results. The Company’s operating costs have increased and may continue to increase because of these pressures, and the Company may not be able to fully offset these cost increases by raising prices for products or subscription fees, which could result in downward pressure on margins.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Adverse economic conditions in the U.S., including any economic disruptions related to another or worsening global pandemic or a recession, could negatively impact the Company’s revenues and results of operations. The global credit and financial markets continue to experience volatility and disruptions, including diminished liquidity and credit availability, increased concerns about inflation, and uncertainty about economic stability. Events including a potential recession have caused economic, market, and political uncertainty. Volatility and disruption of financial markets could limit the Company's customers’ ability to obtain adequate financing or credit to purchase and pay for products in a timely manner or to maintain operations, which could result in a decrease in sales volume that could harm the Company’s results of operations. General concerns about the fundamental soundness of the U.S. economy may also cause customers to reduce their purchases. Changes in governmental banking, monetary, and fiscal policies to address liquidity and increase credit availability may not be effective. Continuation or further deterioration of these financial and macroeconomic conditions could harm the Company's sales, profitability, and results of operations.</w:t>
      </w:r>
    </w:p>
    <w:p>
      <w:pPr>
        <w:spacing w:after="0" w:line="18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utilizes contract manufacturers in China and Vietnam to supply key sub-assemblies for its primary products. In addition, political instability or the deterioration of trade relations between the United States and either of these countries could adversely impact the Company’s business.</w:t>
      </w:r>
    </w:p>
    <w:p>
      <w:pPr>
        <w:spacing w:after="0" w:line="16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To minimize supply chain disruptions, the Company continues to maintain sufficient supplies of inventory of manufactured components and parts needed to meet forecast production demand.</w:t>
      </w:r>
    </w:p>
    <w:p>
      <w:pPr>
        <w:spacing w:after="0" w:line="200" w:lineRule="exact"/>
        <w:rPr>
          <w:sz w:val="20"/>
          <w:szCs w:val="20"/>
          <w:color w:val="auto"/>
        </w:rPr>
      </w:pPr>
    </w:p>
    <w:p>
      <w:pPr>
        <w:spacing w:after="0" w:line="2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accordance with accounting principles generally accepted in the United States of America (“GAAP”), and pursuant to the rules and regulations of the United States Securities and Exchange Commission (“SEC”).</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unaudited interim condensed financial statements have been prepared on the same basis as the annual financial statements and, in the opinion of management, reflect all adjustments, which include only normal recurring adjustments, necessary to a fair statement of the Company’s financial position as of March 31, 2026, and the results of its operations for the three months ended March 31, 2026 and 2025 and cash flows for the three months ended March 31, 2026 and 2025. The condensed balance sheet at March 31, 2026, was derived from audited annual financial statements but does not contain all of the footnote disclosures from the annual financial statements.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Policies, Significant Judgments, and Use of Estimates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at the date of the financial statements and the reported amounts of expenses during the reporting period. Actual results could differ from those estimates and assumptions, and such differences could be material to the Company’s financial position and results of operations. Significant estimates and assumptions include, but are not limited to, revenue recognition and valuation of the Company’s options to purchase common stock for purposes of accounting for stock-based compensation.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and cash equivalents and accounts receivable. The Company’s cash and cash equivalents are invested in checking accounts and money market funds. The Company has not experienced any losses to date.</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Company’s accounts receivable are derived solely from product and subscription sales to customers located in the United States. The Company performs periodic evaluations of its customers’ financial condition and generally requires no collateral from its customers. Credit losses historically have not been significant. No customers comprised 10% or more of the Company’s revenue for the three months ended March 31, 2026 and 2025. No customers comprised 10% or more of the Company’s accounts receivable balance as of March 31, 2026, or December 31, 2025.</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Bank failures, events involving limited liquidity, defaults, non-performance, or other adverse developments that affect financial institutions, or concerns or rumors about such events, may lead to liquidity constraints. The failure of a bank, or other adverse conditions in the financial or credit markets impacting financial institutions at which the Company maintains balances, could adversely impact liquidity and financial performance. There can be no assurance that the Company’s deposits in excess of the Federal Deposit Insurance Corporation (“FDIC”) or other comparable insurance limits will be backstopped by the U.S. or applicable foreign governments, or that</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bank or financial institution with which the Company does business will be able to obtain needed liquidity from other banks, government institutions, or by acquisition in the event of a failure or liquidity crisis. The Company’s cash and cash equivalents are primarily held in money market funds.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About Segment and Geographic Areas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operates and manages its business as one reportable and operating segment. The Company generates revenue from two recurring sources. Product revenue is generated by the sale of the Company’s disposable headbands and headcaps (“Wearables”) that are intended for single patient use. Subscription revenue is generated by monthly subscription fees charged to the Company’s hospital customers for use of Clarity, recorders, and its portal. The Company has one reportable segment due to the similar customer base of its products and subscriptions and similarities in: economic characteristics; nature and compatibility of products and subscriptions; and procurement, manufacturing and distribution processes.</w:t>
      </w:r>
    </w:p>
    <w:p>
      <w:pPr>
        <w:spacing w:after="0" w:line="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accordance with the “Segment Reporting” Topic of the Accounting Standards Codification (“ASC”), the Company’s Chief Executive Officer is the Chief Operating Decision Maker (“CODM”). The Company's measure of segment profit or loss is loss from operations. The CODM utilizes the Company's financial information such as loss from operations derived from revenues and operating expenses included in the Company forecast, performance metrics, and budget versus actual analyses on an aggregate basis for purposes of evaluating financial performance and how to best allocate resources across functions when developing and reviewing the annual budget to achieve the Company's long term objectives. Significant expenses regularly provided to the CODM within loss from operations include cost of revenue, research and development, sales and marketing, and general and administrative expenses, which are each separately presented on the Company’s Statements of Operations and Comprehensive Loss. The measure of segment assets is reported on the Balance Sheets as total assets. Since the Company operates in one segment, all accounting policies and financial information required by “Segment Reporting” can be found in the summary of significant accounting policies, the revenue footnote, and the accompanying annual financial statements. All of the Company’s revenue was in the United States for the three months ended March 31, 2026 and 2025. Long-lived assets held outside of the United States were $0.9 million as of both March 31, 2026 and December 31, 2025.</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has an in-license arrangement with Stanford University whereby the Company owes low-single digit royalty percentages related to revenue that is derived pursuant to in-licensed technologies, subject to a minimum payment. Royalty obligations are expensed as cost of revenue in the statements of operations and comprehensive loss, when incurred or over the minimum royalty periods and have not been material. On June 12, 2025, the Company extended the exclusivity of the licensed patents to the date the last licensed patent expires in May 2036 for a term exercise fee of $250,000. As the in-licensed technologies are used to generate revenue, the exercise fee has been deferred in other assets and will be amortized to cost of revenue on a straight-line basis through May 2036.</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Transactions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paid Dr. Parvizi, a Director and Co-Founder of the Company, for consulting services and reimbursement of related expenses and recorded such amounts as general and administrative expenses within the statements of operations and comprehensive loss. Expenses related to Dr. Parvizi were $49,000 for both the three months ended March 31, 2026 and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No. 2024-03 Disaggregation of Income Statement Expenses. The amendment requires more detailed information about specified categories of expenses (purchases of inventory, employee compensation, depreciation, amortization, and depletion) included in certain expense captions presented on the face of the income statement. This ASU is effective for fiscal years beginning after December 15, 2026, and for interim periods within fiscal years beginning after December 15, 2027. Early adoption is permitted. The amendments may be applied either (1) prospectively to financial statements issued for reporting periods after the effective date of this ASU or (2) retrospectively to all prior periods presented in the financial statements. The Company is currently evaluating the impact this ASU will have on the Company's disclosures.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disaggregated revenue from contracts with customers by the nature of products and services provided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820" w:type="dxa"/>
            <w:vAlign w:val="bottom"/>
            <w:gridSpan w:val="4"/>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80" w:type="dxa"/>
            <w:vAlign w:val="bottom"/>
          </w:tcPr>
          <w:p>
            <w:pPr>
              <w:spacing w:after="0"/>
              <w:rPr>
                <w:sz w:val="13"/>
                <w:szCs w:val="13"/>
                <w:color w:val="auto"/>
              </w:rPr>
            </w:pPr>
          </w:p>
        </w:tc>
      </w:tr>
      <w:tr>
        <w:trPr>
          <w:trHeight w:val="173"/>
        </w:trPr>
        <w:tc>
          <w:tcPr>
            <w:tcW w:w="6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5"/>
                <w:szCs w:val="15"/>
                <w:color w:val="auto"/>
              </w:rPr>
            </w:pPr>
          </w:p>
        </w:tc>
      </w:tr>
      <w:tr>
        <w:trPr>
          <w:trHeight w:val="209"/>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EEG recorders and Wearables sales, point in time</w:t>
            </w:r>
          </w:p>
        </w:tc>
        <w:tc>
          <w:tcPr>
            <w:tcW w:w="2440" w:type="dxa"/>
            <w:vAlign w:val="bottom"/>
            <w:gridSpan w:val="2"/>
            <w:shd w:val="clear" w:color="auto" w:fill="CFF0FC"/>
          </w:tcPr>
          <w:p>
            <w:pPr>
              <w:jc w:val="right"/>
              <w:ind w:right="80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20,190</w:t>
            </w:r>
          </w:p>
        </w:tc>
        <w:tc>
          <w:tcPr>
            <w:tcW w:w="116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15,608</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EEG portal and Clarity subscriptions and recorder loans, over time</w:t>
            </w:r>
          </w:p>
        </w:tc>
        <w:tc>
          <w:tcPr>
            <w:tcW w:w="14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6,304</w:t>
            </w:r>
          </w:p>
        </w:tc>
        <w:tc>
          <w:tcPr>
            <w:tcW w:w="1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4,883</w:t>
            </w:r>
          </w:p>
        </w:tc>
      </w:tr>
      <w:tr>
        <w:trPr>
          <w:trHeight w:val="210"/>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4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80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26,494</w:t>
            </w:r>
          </w:p>
        </w:tc>
        <w:tc>
          <w:tcPr>
            <w:tcW w:w="116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20,491</w:t>
            </w:r>
          </w:p>
        </w:tc>
      </w:tr>
      <w:tr>
        <w:trPr>
          <w:trHeight w:val="20"/>
        </w:trPr>
        <w:tc>
          <w:tcPr>
            <w:tcW w:w="6280" w:type="dxa"/>
            <w:vAlign w:val="bottom"/>
            <w:shd w:val="clear" w:color="auto" w:fill="CFF0FC"/>
          </w:tcPr>
          <w:p>
            <w:pPr>
              <w:spacing w:after="0" w:line="20" w:lineRule="exact"/>
              <w:rPr>
                <w:sz w:val="1"/>
                <w:szCs w:val="1"/>
                <w:color w:val="auto"/>
              </w:rPr>
            </w:pPr>
          </w:p>
        </w:tc>
        <w:tc>
          <w:tcPr>
            <w:tcW w:w="146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Currently, the Company’s customers are solely in the United States.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Costs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capitalizes sales commissions that are considered to be incremental to the acquisition of customer contracts and amortizes them over an estimated period of benefit. To determine the period of benefit of its deferred commissions, the Company evaluates the type of commissions, the nature of the related benefit, and the specific facts and circumstances of its arrangements. The Company determines the period of benefit for commissions paid for the acquisition of the initial subscription contract by taking into consideration its average customer life, which is generally assumed to be three years. The Company evaluates these assumptions at least annually and periodically reviews whether events or changes in circumstances have occurred that could impact the period of benefit.</w:t>
      </w:r>
    </w:p>
    <w:p>
      <w:pPr>
        <w:spacing w:after="0" w:line="18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has elected to utilize the practical expedient to expense sales commissions with an amortization period of less than one year and capitalize sales commissions that are considered to be incremental costs of obtaining contracts with an amortization period greater than one year.</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the breakdown of capitalized contract costs (in thousands):</w:t>
      </w:r>
    </w:p>
    <w:p>
      <w:pPr>
        <w:spacing w:after="0" w:line="219" w:lineRule="exact"/>
        <w:rPr>
          <w:sz w:val="20"/>
          <w:szCs w:val="20"/>
          <w:color w:val="auto"/>
        </w:rPr>
      </w:pPr>
    </w:p>
    <w:p>
      <w:pPr>
        <w:jc w:val="center"/>
        <w:ind w:left="9080"/>
        <w:spacing w:after="0"/>
        <w:rPr>
          <w:sz w:val="20"/>
          <w:szCs w:val="20"/>
          <w:color w:val="auto"/>
        </w:rPr>
      </w:pPr>
      <w:r>
        <w:rPr>
          <w:rFonts w:ascii="Times New Roman" w:cs="Times New Roman" w:eastAsia="Times New Roman" w:hAnsi="Times New Roman"/>
          <w:sz w:val="14"/>
          <w:szCs w:val="14"/>
          <w:b w:val="1"/>
          <w:bCs w:val="1"/>
          <w:color w:val="auto"/>
        </w:rPr>
        <w:t>March 31,</w:t>
      </w:r>
    </w:p>
    <w:p>
      <w:pPr>
        <w:jc w:val="center"/>
        <w:ind w:left="9080"/>
        <w:spacing w:after="0"/>
        <w:rPr>
          <w:sz w:val="20"/>
          <w:szCs w:val="20"/>
          <w:color w:val="auto"/>
        </w:rPr>
      </w:pPr>
      <w:r>
        <w:rPr>
          <w:rFonts w:ascii="Times New Roman" w:cs="Times New Roman" w:eastAsia="Times New Roman" w:hAnsi="Times New Roman"/>
          <w:sz w:val="14"/>
          <w:szCs w:val="14"/>
          <w:b w:val="1"/>
          <w:bCs w:val="1"/>
          <w:color w:val="auto"/>
        </w:rPr>
        <w:t>2026</w:t>
      </w:r>
    </w:p>
    <w:p>
      <w:pPr>
        <w:sectPr>
          <w:pgSz w:w="11900" w:h="16838" w:orient="portrait"/>
          <w:cols w:equalWidth="0" w:num="1">
            <w:col w:w="11240"/>
          </w:cols>
          <w:pgMar w:left="320" w:top="117"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Contract cost balance beginning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costs capitalized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Contract costs amortized during the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Costs as of period end</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 and Performance Obligations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Contract liabilities consist of up-front payments received from customers primarily for the Clarity subscriptions.</w:t>
      </w:r>
    </w:p>
    <w:p>
      <w:pPr>
        <w:spacing w:after="0" w:line="2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the breakdown of contract liabilities (in thousands):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1"/>
        </w:trPr>
        <w:tc>
          <w:tcPr>
            <w:tcW w:w="780" w:type="dxa"/>
            <w:vAlign w:val="bottom"/>
            <w:tcBorders>
              <w:top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4,057</w:t>
            </w:r>
          </w:p>
        </w:tc>
      </w:tr>
    </w:tbl>
    <w:p>
      <w:pPr>
        <w:ind w:left="1600"/>
        <w:spacing w:after="0"/>
        <w:rPr>
          <w:sz w:val="20"/>
          <w:szCs w:val="20"/>
          <w:color w:val="auto"/>
        </w:rPr>
      </w:pPr>
      <w:r>
        <w:rPr>
          <w:rFonts w:ascii="Times New Roman" w:cs="Times New Roman" w:eastAsia="Times New Roman" w:hAnsi="Times New Roman"/>
          <w:sz w:val="18"/>
          <w:szCs w:val="18"/>
          <w:color w:val="auto"/>
        </w:rPr>
        <w:t>590</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(674)</w:t>
      </w:r>
    </w:p>
    <w:p>
      <w:pPr>
        <w:spacing w:after="0" w:line="9" w:lineRule="exact"/>
        <w:rPr>
          <w:sz w:val="20"/>
          <w:szCs w:val="20"/>
          <w:color w:val="auto"/>
        </w:rPr>
      </w:pPr>
    </w:p>
    <w:p>
      <w:pPr>
        <w:ind w:left="1460" w:hanging="1458"/>
        <w:spacing w:after="0"/>
        <w:tabs>
          <w:tab w:leader="none" w:pos="14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3,973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126873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March 31,</w:t>
      </w:r>
    </w:p>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2026</w:t>
      </w:r>
    </w:p>
    <w:p>
      <w:pPr>
        <w:spacing w:after="0" w:line="1" w:lineRule="exact"/>
        <w:rPr>
          <w:sz w:val="20"/>
          <w:szCs w:val="20"/>
          <w:color w:val="auto"/>
        </w:rPr>
      </w:pPr>
    </w:p>
    <w:p>
      <w:pPr>
        <w:sectPr>
          <w:pgSz w:w="11900" w:h="16838" w:orient="portrait"/>
          <w:cols w:equalWidth="0" w:num="2">
            <w:col w:w="8600" w:space="640"/>
            <w:col w:w="2000"/>
          </w:cols>
          <w:pgMar w:left="320" w:top="11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Contract Liabilities balance beginning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Contract Liabilities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Contract Liabilities balance recognized during the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as of period end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840" w:type="dxa"/>
            <w:vAlign w:val="bottom"/>
            <w:tcBorders>
              <w:top w:val="single" w:sz="8" w:color="auto"/>
            </w:tcBorders>
          </w:tcPr>
          <w:p>
            <w:pPr>
              <w:jc w:val="right"/>
              <w:ind w:right="65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101</w:t>
            </w:r>
          </w:p>
        </w:tc>
      </w:tr>
      <w:tr>
        <w:trPr>
          <w:trHeight w:val="216"/>
        </w:trPr>
        <w:tc>
          <w:tcPr>
            <w:tcW w:w="84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53</w:t>
            </w:r>
          </w:p>
        </w:tc>
      </w:tr>
      <w:tr>
        <w:trPr>
          <w:trHeight w:val="234"/>
        </w:trPr>
        <w:tc>
          <w:tcPr>
            <w:tcW w:w="8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0"/>
        </w:trPr>
        <w:tc>
          <w:tcPr>
            <w:tcW w:w="8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88</w:t>
            </w:r>
          </w:p>
        </w:tc>
      </w:tr>
    </w:tbl>
    <w:p>
      <w:pPr>
        <w:spacing w:after="0" w:line="200" w:lineRule="exact"/>
        <w:rPr>
          <w:sz w:val="20"/>
          <w:szCs w:val="20"/>
          <w:color w:val="auto"/>
        </w:rPr>
      </w:pPr>
    </w:p>
    <w:p>
      <w:pPr>
        <w:sectPr>
          <w:pgSz w:w="11900" w:h="16838" w:orient="portrait"/>
          <w:cols w:equalWidth="0" w:num="2">
            <w:col w:w="8520" w:space="720"/>
            <w:col w:w="2000"/>
          </w:cols>
          <w:pgMar w:left="320" w:top="117" w:right="339" w:bottom="1440" w:gutter="0" w:footer="0" w:header="0"/>
          <w:type w:val="continuous"/>
        </w:sectPr>
      </w:pPr>
    </w:p>
    <w:p>
      <w:pPr>
        <w:spacing w:after="0" w:line="3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has elected not to include unfulfilled performance obligations for contracts in which the amount of revenue it recognizes is equal to the amount which the Company has a right to invoice. No revenue was recognized in the reporting period from performance obligations satisfied in previous periods. The short-term remaining performance obligations are expected to be recognized within 12 months.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 determining the fair value, the Company utilizes valuation techniques that maximize the use of observable inputs and minimize the unobservable inputs to the extent possible, as well as considers counterparty credit risk in its assessments of fair value.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Assets and Liabilities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represent the Company’s financial assets and liabilities according to the fair value hierarchy, measured at fair value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9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5"/>
                <w:szCs w:val="15"/>
                <w:color w:val="auto"/>
              </w:rPr>
            </w:pPr>
          </w:p>
        </w:tc>
        <w:tc>
          <w:tcPr>
            <w:tcW w:w="8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16"/>
        </w:trPr>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8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1980" w:type="dxa"/>
            <w:vAlign w:val="bottom"/>
            <w:shd w:val="clear" w:color="auto" w:fill="CFF0FC"/>
          </w:tcPr>
          <w:p>
            <w:pPr>
              <w:spacing w:after="0"/>
              <w:rPr>
                <w:sz w:val="18"/>
                <w:szCs w:val="18"/>
                <w:color w:val="auto"/>
              </w:rPr>
            </w:pPr>
          </w:p>
        </w:tc>
        <w:tc>
          <w:tcPr>
            <w:tcW w:w="220" w:type="dxa"/>
            <w:vAlign w:val="bottom"/>
            <w:shd w:val="clear" w:color="auto" w:fill="CAEEFB"/>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AEEFB"/>
          </w:tcPr>
          <w:p>
            <w:pPr>
              <w:jc w:val="right"/>
              <w:ind w:right="34"/>
              <w:spacing w:after="0"/>
              <w:rPr>
                <w:sz w:val="20"/>
                <w:szCs w:val="20"/>
                <w:color w:val="auto"/>
              </w:rPr>
            </w:pPr>
            <w:r>
              <w:rPr>
                <w:rFonts w:ascii="Times New Roman" w:cs="Times New Roman" w:eastAsia="Times New Roman" w:hAnsi="Times New Roman"/>
                <w:sz w:val="18"/>
                <w:szCs w:val="18"/>
                <w:color w:val="auto"/>
              </w:rPr>
              <w:t>42,443</w:t>
            </w:r>
          </w:p>
        </w:tc>
        <w:tc>
          <w:tcPr>
            <w:tcW w:w="360" w:type="dxa"/>
            <w:vAlign w:val="bottom"/>
            <w:gridSpan w:val="2"/>
            <w:shd w:val="clear" w:color="auto" w:fill="CAEEFB"/>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AEEFB"/>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AEEFB"/>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AEEFB"/>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AEEFB"/>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AEEFB"/>
          </w:tcPr>
          <w:p>
            <w:pPr>
              <w:jc w:val="right"/>
              <w:ind w:right="54"/>
              <w:spacing w:after="0"/>
              <w:rPr>
                <w:sz w:val="20"/>
                <w:szCs w:val="20"/>
                <w:color w:val="auto"/>
              </w:rPr>
            </w:pPr>
            <w:r>
              <w:rPr>
                <w:rFonts w:ascii="Times New Roman" w:cs="Times New Roman" w:eastAsia="Times New Roman" w:hAnsi="Times New Roman"/>
                <w:sz w:val="18"/>
                <w:szCs w:val="18"/>
                <w:color w:val="auto"/>
              </w:rPr>
              <w:t>42,443</w:t>
            </w:r>
          </w:p>
        </w:tc>
      </w:tr>
      <w:tr>
        <w:trPr>
          <w:trHeight w:val="216"/>
        </w:trPr>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8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U.S. Treasury Bills</w:t>
            </w:r>
          </w:p>
        </w:tc>
        <w:tc>
          <w:tcPr>
            <w:tcW w:w="1980" w:type="dxa"/>
            <w:vAlign w:val="bottom"/>
            <w:shd w:val="clear" w:color="auto" w:fill="CFF0FC"/>
          </w:tcPr>
          <w:p>
            <w:pPr>
              <w:spacing w:after="0"/>
              <w:rPr>
                <w:sz w:val="18"/>
                <w:szCs w:val="18"/>
                <w:color w:val="auto"/>
              </w:rPr>
            </w:pPr>
          </w:p>
        </w:tc>
        <w:tc>
          <w:tcPr>
            <w:tcW w:w="220" w:type="dxa"/>
            <w:vAlign w:val="bottom"/>
            <w:shd w:val="clear" w:color="auto" w:fill="CAEEFB"/>
          </w:tcPr>
          <w:p>
            <w:pPr>
              <w:spacing w:after="0"/>
              <w:rPr>
                <w:sz w:val="18"/>
                <w:szCs w:val="18"/>
                <w:color w:val="auto"/>
              </w:rPr>
            </w:pPr>
          </w:p>
        </w:tc>
        <w:tc>
          <w:tcPr>
            <w:tcW w:w="1020" w:type="dxa"/>
            <w:vAlign w:val="bottom"/>
            <w:shd w:val="clear" w:color="auto" w:fill="CAEEFB"/>
          </w:tcPr>
          <w:p>
            <w:pPr>
              <w:jc w:val="right"/>
              <w:ind w:right="34"/>
              <w:spacing w:after="0"/>
              <w:rPr>
                <w:sz w:val="20"/>
                <w:szCs w:val="20"/>
                <w:color w:val="auto"/>
              </w:rPr>
            </w:pPr>
            <w:r>
              <w:rPr>
                <w:rFonts w:ascii="Times New Roman" w:cs="Times New Roman" w:eastAsia="Times New Roman" w:hAnsi="Times New Roman"/>
                <w:sz w:val="18"/>
                <w:szCs w:val="18"/>
                <w:color w:val="auto"/>
              </w:rPr>
              <w:t>13,751</w:t>
            </w:r>
          </w:p>
        </w:tc>
        <w:tc>
          <w:tcPr>
            <w:tcW w:w="140" w:type="dxa"/>
            <w:vAlign w:val="bottom"/>
            <w:shd w:val="clear" w:color="auto" w:fill="CAEEFB"/>
          </w:tcPr>
          <w:p>
            <w:pPr>
              <w:spacing w:after="0"/>
              <w:rPr>
                <w:sz w:val="18"/>
                <w:szCs w:val="18"/>
                <w:color w:val="auto"/>
              </w:rPr>
            </w:pPr>
          </w:p>
        </w:tc>
        <w:tc>
          <w:tcPr>
            <w:tcW w:w="220" w:type="dxa"/>
            <w:vAlign w:val="bottom"/>
            <w:shd w:val="clear" w:color="auto" w:fill="CAEEFB"/>
          </w:tcPr>
          <w:p>
            <w:pPr>
              <w:spacing w:after="0"/>
              <w:rPr>
                <w:sz w:val="18"/>
                <w:szCs w:val="18"/>
                <w:color w:val="auto"/>
              </w:rPr>
            </w:pPr>
          </w:p>
        </w:tc>
        <w:tc>
          <w:tcPr>
            <w:tcW w:w="1020" w:type="dxa"/>
            <w:vAlign w:val="bottom"/>
            <w:shd w:val="clear" w:color="auto" w:fill="CAEEFB"/>
          </w:tcPr>
          <w:p>
            <w:pPr>
              <w:jc w:val="right"/>
              <w:ind w:right="34"/>
              <w:spacing w:after="0"/>
              <w:rPr>
                <w:sz w:val="20"/>
                <w:szCs w:val="20"/>
                <w:color w:val="auto"/>
              </w:rPr>
            </w:pPr>
            <w:r>
              <w:rPr>
                <w:rFonts w:ascii="Times New Roman" w:cs="Times New Roman" w:eastAsia="Times New Roman" w:hAnsi="Times New Roman"/>
                <w:sz w:val="18"/>
                <w:szCs w:val="18"/>
                <w:color w:val="auto"/>
              </w:rPr>
              <w:t>49,806</w:t>
            </w:r>
          </w:p>
        </w:tc>
        <w:tc>
          <w:tcPr>
            <w:tcW w:w="140" w:type="dxa"/>
            <w:vAlign w:val="bottom"/>
            <w:shd w:val="clear" w:color="auto" w:fill="CAEEFB"/>
          </w:tcPr>
          <w:p>
            <w:pPr>
              <w:spacing w:after="0"/>
              <w:rPr>
                <w:sz w:val="18"/>
                <w:szCs w:val="18"/>
                <w:color w:val="auto"/>
              </w:rPr>
            </w:pPr>
          </w:p>
        </w:tc>
        <w:tc>
          <w:tcPr>
            <w:tcW w:w="880" w:type="dxa"/>
            <w:vAlign w:val="bottom"/>
            <w:shd w:val="clear" w:color="auto" w:fill="CAEEFB"/>
          </w:tcPr>
          <w:p>
            <w:pPr>
              <w:spacing w:after="0"/>
              <w:rPr>
                <w:sz w:val="18"/>
                <w:szCs w:val="18"/>
                <w:color w:val="auto"/>
              </w:rPr>
            </w:pPr>
          </w:p>
        </w:tc>
        <w:tc>
          <w:tcPr>
            <w:tcW w:w="380" w:type="dxa"/>
            <w:vAlign w:val="bottom"/>
            <w:shd w:val="clear" w:color="auto" w:fill="CAEEFB"/>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AEEFB"/>
          </w:tcPr>
          <w:p>
            <w:pPr>
              <w:spacing w:after="0"/>
              <w:rPr>
                <w:sz w:val="18"/>
                <w:szCs w:val="18"/>
                <w:color w:val="auto"/>
              </w:rPr>
            </w:pPr>
          </w:p>
        </w:tc>
        <w:tc>
          <w:tcPr>
            <w:tcW w:w="240" w:type="dxa"/>
            <w:vAlign w:val="bottom"/>
            <w:shd w:val="clear" w:color="auto" w:fill="CAEEFB"/>
          </w:tcPr>
          <w:p>
            <w:pPr>
              <w:spacing w:after="0"/>
              <w:rPr>
                <w:sz w:val="18"/>
                <w:szCs w:val="18"/>
                <w:color w:val="auto"/>
              </w:rPr>
            </w:pPr>
          </w:p>
        </w:tc>
        <w:tc>
          <w:tcPr>
            <w:tcW w:w="1020" w:type="dxa"/>
            <w:vAlign w:val="bottom"/>
            <w:shd w:val="clear" w:color="auto" w:fill="CAEEFB"/>
          </w:tcPr>
          <w:p>
            <w:pPr>
              <w:jc w:val="right"/>
              <w:ind w:right="54"/>
              <w:spacing w:after="0"/>
              <w:rPr>
                <w:sz w:val="20"/>
                <w:szCs w:val="20"/>
                <w:color w:val="auto"/>
              </w:rPr>
            </w:pPr>
            <w:r>
              <w:rPr>
                <w:rFonts w:ascii="Times New Roman" w:cs="Times New Roman" w:eastAsia="Times New Roman" w:hAnsi="Times New Roman"/>
                <w:sz w:val="18"/>
                <w:szCs w:val="18"/>
                <w:color w:val="auto"/>
              </w:rPr>
              <w:t>63,557</w:t>
            </w:r>
          </w:p>
        </w:tc>
      </w:tr>
      <w:tr>
        <w:trPr>
          <w:trHeight w:val="216"/>
        </w:trPr>
        <w:tc>
          <w:tcPr>
            <w:tcW w:w="3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Notes and Bonds</w:t>
            </w:r>
          </w:p>
        </w:tc>
        <w:tc>
          <w:tcPr>
            <w:tcW w:w="19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32,375</w:t>
            </w:r>
          </w:p>
        </w:tc>
        <w:tc>
          <w:tcPr>
            <w:tcW w:w="1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32,375</w:t>
            </w:r>
          </w:p>
        </w:tc>
      </w:tr>
      <w:tr>
        <w:trPr>
          <w:trHeight w:val="210"/>
        </w:trPr>
        <w:tc>
          <w:tcPr>
            <w:tcW w:w="3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 xml:space="preserve">Total assets, </w:t>
            </w:r>
            <w:r>
              <w:rPr>
                <w:rFonts w:ascii="Times New Roman" w:cs="Times New Roman" w:eastAsia="Times New Roman" w:hAnsi="Times New Roman"/>
                <w:sz w:val="18"/>
                <w:szCs w:val="18"/>
                <w:color w:val="auto"/>
              </w:rPr>
              <w:t>at fair value</w:t>
            </w:r>
          </w:p>
        </w:tc>
        <w:tc>
          <w:tcPr>
            <w:tcW w:w="19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AEEFB"/>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AEEFB"/>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56,194</w:t>
            </w:r>
          </w:p>
        </w:tc>
        <w:tc>
          <w:tcPr>
            <w:tcW w:w="140" w:type="dxa"/>
            <w:vAlign w:val="bottom"/>
            <w:tcBorders>
              <w:bottom w:val="single" w:sz="8" w:color="CAEEFB"/>
            </w:tcBorders>
            <w:shd w:val="clear" w:color="auto" w:fill="CAEEFB"/>
          </w:tcPr>
          <w:p>
            <w:pPr>
              <w:spacing w:after="0"/>
              <w:rPr>
                <w:sz w:val="18"/>
                <w:szCs w:val="18"/>
                <w:color w:val="auto"/>
              </w:rPr>
            </w:pPr>
          </w:p>
        </w:tc>
        <w:tc>
          <w:tcPr>
            <w:tcW w:w="220" w:type="dxa"/>
            <w:vAlign w:val="bottom"/>
            <w:tcBorders>
              <w:bottom w:val="single" w:sz="8" w:color="auto"/>
            </w:tcBorders>
            <w:shd w:val="clear" w:color="auto" w:fill="CAEEFB"/>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AEEFB"/>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82,181</w:t>
            </w:r>
          </w:p>
        </w:tc>
        <w:tc>
          <w:tcPr>
            <w:tcW w:w="140" w:type="dxa"/>
            <w:vAlign w:val="bottom"/>
            <w:tcBorders>
              <w:bottom w:val="single" w:sz="8" w:color="CAEEFB"/>
            </w:tcBorders>
            <w:shd w:val="clear" w:color="auto" w:fill="CAEEFB"/>
          </w:tcPr>
          <w:p>
            <w:pPr>
              <w:spacing w:after="0"/>
              <w:rPr>
                <w:sz w:val="18"/>
                <w:szCs w:val="18"/>
                <w:color w:val="auto"/>
              </w:rPr>
            </w:pPr>
          </w:p>
        </w:tc>
        <w:tc>
          <w:tcPr>
            <w:tcW w:w="880" w:type="dxa"/>
            <w:vAlign w:val="bottom"/>
            <w:tcBorders>
              <w:bottom w:val="single" w:sz="8" w:color="auto"/>
            </w:tcBorders>
            <w:shd w:val="clear" w:color="auto" w:fill="CAEEFB"/>
          </w:tcPr>
          <w:p>
            <w:pPr>
              <w:jc w:val="right"/>
              <w:ind w:right="6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80" w:type="dxa"/>
            <w:vAlign w:val="bottom"/>
            <w:tcBorders>
              <w:bottom w:val="single" w:sz="8" w:color="auto"/>
            </w:tcBorders>
            <w:shd w:val="clear" w:color="auto" w:fill="CAEEFB"/>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AEEFB"/>
            </w:tcBorders>
            <w:shd w:val="clear" w:color="auto" w:fill="CAEEFB"/>
          </w:tcPr>
          <w:p>
            <w:pPr>
              <w:spacing w:after="0"/>
              <w:rPr>
                <w:sz w:val="18"/>
                <w:szCs w:val="18"/>
                <w:color w:val="auto"/>
              </w:rPr>
            </w:pPr>
          </w:p>
        </w:tc>
        <w:tc>
          <w:tcPr>
            <w:tcW w:w="240" w:type="dxa"/>
            <w:vAlign w:val="bottom"/>
            <w:tcBorders>
              <w:bottom w:val="single" w:sz="8" w:color="auto"/>
            </w:tcBorders>
            <w:shd w:val="clear" w:color="auto" w:fill="CAEEFB"/>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bottom w:val="single" w:sz="8" w:color="auto"/>
            </w:tcBorders>
            <w:shd w:val="clear" w:color="auto" w:fill="CAEEFB"/>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138,375</w:t>
            </w:r>
          </w:p>
        </w:tc>
      </w:tr>
      <w:tr>
        <w:trPr>
          <w:trHeight w:val="358"/>
        </w:trPr>
        <w:tc>
          <w:tcPr>
            <w:tcW w:w="3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9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16"/>
        </w:trPr>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8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22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34,918</w:t>
            </w:r>
          </w:p>
        </w:tc>
        <w:tc>
          <w:tcPr>
            <w:tcW w:w="3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34,918</w:t>
            </w:r>
          </w:p>
        </w:tc>
      </w:tr>
      <w:tr>
        <w:trPr>
          <w:trHeight w:val="216"/>
        </w:trPr>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8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U.S. Treasury Bills</w:t>
            </w:r>
          </w:p>
        </w:tc>
        <w:tc>
          <w:tcPr>
            <w:tcW w:w="1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7,900</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53,329</w:t>
            </w:r>
          </w:p>
        </w:tc>
        <w:tc>
          <w:tcPr>
            <w:tcW w:w="140" w:type="dxa"/>
            <w:vAlign w:val="bottom"/>
            <w:shd w:val="clear" w:color="auto" w:fill="CFF0FC"/>
          </w:tcPr>
          <w:p>
            <w:pPr>
              <w:spacing w:after="0"/>
              <w:rPr>
                <w:sz w:val="18"/>
                <w:szCs w:val="18"/>
                <w:color w:val="auto"/>
              </w:rPr>
            </w:pPr>
          </w:p>
        </w:tc>
        <w:tc>
          <w:tcPr>
            <w:tcW w:w="880" w:type="dxa"/>
            <w:vAlign w:val="bottom"/>
            <w:shd w:val="clear" w:color="auto" w:fill="CAEEFB"/>
          </w:tcPr>
          <w:p>
            <w:pPr>
              <w:spacing w:after="0"/>
              <w:rPr>
                <w:sz w:val="18"/>
                <w:szCs w:val="18"/>
                <w:color w:val="auto"/>
              </w:rPr>
            </w:pPr>
          </w:p>
        </w:tc>
        <w:tc>
          <w:tcPr>
            <w:tcW w:w="380" w:type="dxa"/>
            <w:vAlign w:val="bottom"/>
            <w:shd w:val="clear" w:color="auto" w:fill="CAEEFB"/>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61,229</w:t>
            </w:r>
          </w:p>
        </w:tc>
      </w:tr>
      <w:tr>
        <w:trPr>
          <w:trHeight w:val="216"/>
        </w:trPr>
        <w:tc>
          <w:tcPr>
            <w:tcW w:w="3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Notes and Bonds</w:t>
            </w:r>
          </w:p>
        </w:tc>
        <w:tc>
          <w:tcPr>
            <w:tcW w:w="19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57,556</w:t>
            </w:r>
          </w:p>
        </w:tc>
        <w:tc>
          <w:tcPr>
            <w:tcW w:w="1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57,556</w:t>
            </w:r>
          </w:p>
        </w:tc>
      </w:tr>
      <w:tr>
        <w:trPr>
          <w:trHeight w:val="210"/>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 xml:space="preserve">Total assets, </w:t>
            </w:r>
            <w:r>
              <w:rPr>
                <w:rFonts w:ascii="Times New Roman" w:cs="Times New Roman" w:eastAsia="Times New Roman" w:hAnsi="Times New Roman"/>
                <w:sz w:val="18"/>
                <w:szCs w:val="18"/>
                <w:color w:val="auto"/>
              </w:rPr>
              <w:t>at fair value</w:t>
            </w:r>
          </w:p>
        </w:tc>
        <w:tc>
          <w:tcPr>
            <w:tcW w:w="19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42,818</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110,885</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153,703</w:t>
            </w:r>
          </w:p>
        </w:tc>
      </w:tr>
      <w:tr>
        <w:trPr>
          <w:trHeight w:val="20"/>
        </w:trPr>
        <w:tc>
          <w:tcPr>
            <w:tcW w:w="3840" w:type="dxa"/>
            <w:vAlign w:val="bottom"/>
            <w:shd w:val="clear" w:color="auto" w:fill="CFF0FC"/>
          </w:tcPr>
          <w:p>
            <w:pPr>
              <w:spacing w:after="0" w:line="20" w:lineRule="exact"/>
              <w:rPr>
                <w:sz w:val="1"/>
                <w:szCs w:val="1"/>
                <w:color w:val="auto"/>
              </w:rPr>
            </w:pPr>
          </w:p>
        </w:tc>
        <w:tc>
          <w:tcPr>
            <w:tcW w:w="19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-1224915</wp:posOffset>
            </wp:positionV>
            <wp:extent cx="857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-1224915</wp:posOffset>
            </wp:positionV>
            <wp:extent cx="857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-1224915</wp:posOffset>
            </wp:positionV>
            <wp:extent cx="857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857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857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857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 of the Company’s notes payable is carried at amortized cost and approximates its fair value.</w:t>
      </w:r>
    </w:p>
    <w:p>
      <w:pPr>
        <w:spacing w:after="0" w:line="266"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The fair value and amortized cost of Level 1 and 2 available-for-sale marketable securities as of March 31, 2026 and December 31, 2025 are presented in the following table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40" w:type="dxa"/>
            <w:vAlign w:val="bottom"/>
            <w:gridSpan w:val="2"/>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Estimated Fair</w:t>
            </w:r>
          </w:p>
        </w:tc>
      </w:tr>
      <w:tr>
        <w:trPr>
          <w:trHeight w:val="173"/>
        </w:trPr>
        <w:tc>
          <w:tcPr>
            <w:tcW w:w="3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295"/>
              <w:spacing w:after="0"/>
              <w:rPr>
                <w:sz w:val="20"/>
                <w:szCs w:val="20"/>
                <w:color w:val="auto"/>
              </w:rPr>
            </w:pPr>
            <w:r>
              <w:rPr>
                <w:rFonts w:ascii="Times New Roman" w:cs="Times New Roman" w:eastAsia="Times New Roman" w:hAnsi="Times New Roman"/>
                <w:sz w:val="14"/>
                <w:szCs w:val="14"/>
                <w:b w:val="1"/>
                <w:bCs w:val="1"/>
                <w:color w:val="auto"/>
              </w:rPr>
              <w:t>Basis</w:t>
            </w:r>
          </w:p>
        </w:tc>
        <w:tc>
          <w:tcPr>
            <w:tcW w:w="140" w:type="dxa"/>
            <w:vAlign w:val="bottom"/>
          </w:tcPr>
          <w:p>
            <w:pPr>
              <w:spacing w:after="0"/>
              <w:rPr>
                <w:sz w:val="15"/>
                <w:szCs w:val="15"/>
                <w:color w:val="auto"/>
              </w:rPr>
            </w:pPr>
          </w:p>
        </w:tc>
        <w:tc>
          <w:tcPr>
            <w:tcW w:w="12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40" w:type="dxa"/>
            <w:vAlign w:val="bottom"/>
          </w:tcPr>
          <w:p>
            <w:pPr>
              <w:spacing w:after="0"/>
              <w:rPr>
                <w:sz w:val="15"/>
                <w:szCs w:val="15"/>
                <w:color w:val="auto"/>
              </w:rPr>
            </w:pPr>
          </w:p>
        </w:tc>
        <w:tc>
          <w:tcPr>
            <w:tcW w:w="12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10"/>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bills</w:t>
            </w:r>
          </w:p>
        </w:tc>
        <w:tc>
          <w:tcPr>
            <w:tcW w:w="2120" w:type="dxa"/>
            <w:vAlign w:val="bottom"/>
            <w:gridSpan w:val="2"/>
            <w:shd w:val="clear" w:color="auto" w:fill="CFF0FC"/>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63,570</w:t>
            </w:r>
          </w:p>
        </w:tc>
        <w:tc>
          <w:tcPr>
            <w:tcW w:w="620" w:type="dxa"/>
            <w:vAlign w:val="bottom"/>
            <w:gridSpan w:val="2"/>
            <w:shd w:val="clear" w:color="auto" w:fill="CFF0FC"/>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6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63,557</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U.S. Notes and Bonds</w:t>
            </w:r>
          </w:p>
        </w:tc>
        <w:tc>
          <w:tcPr>
            <w:tcW w:w="18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32,344</w:t>
            </w:r>
          </w:p>
        </w:tc>
        <w:tc>
          <w:tcPr>
            <w:tcW w:w="1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32,375</w:t>
            </w:r>
          </w:p>
        </w:tc>
      </w:tr>
      <w:tr>
        <w:trPr>
          <w:trHeight w:val="250"/>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marketable securities</w:t>
            </w:r>
          </w:p>
        </w:tc>
        <w:tc>
          <w:tcPr>
            <w:tcW w:w="2120" w:type="dxa"/>
            <w:vAlign w:val="bottom"/>
            <w:gridSpan w:val="2"/>
            <w:shd w:val="clear" w:color="auto" w:fill="CFF0FC"/>
          </w:tcPr>
          <w:p>
            <w:pPr>
              <w:jc w:val="right"/>
              <w:ind w:right="82"/>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95,914</w:t>
            </w:r>
          </w:p>
        </w:tc>
        <w:tc>
          <w:tcPr>
            <w:tcW w:w="620" w:type="dxa"/>
            <w:vAlign w:val="bottom"/>
            <w:gridSpan w:val="2"/>
            <w:shd w:val="clear" w:color="auto" w:fill="CFF0FC"/>
          </w:tcPr>
          <w:p>
            <w:pPr>
              <w:jc w:val="right"/>
              <w:ind w:right="302"/>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39</w:t>
            </w:r>
          </w:p>
        </w:tc>
        <w:tc>
          <w:tcPr>
            <w:tcW w:w="6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b w:val="1"/>
                <w:bCs w:val="1"/>
                <w:color w:val="auto"/>
              </w:rPr>
              <w:t>95,932</w:t>
            </w:r>
          </w:p>
        </w:tc>
      </w:tr>
      <w:tr>
        <w:trPr>
          <w:trHeight w:val="577"/>
        </w:trPr>
        <w:tc>
          <w:tcPr>
            <w:tcW w:w="3960" w:type="dxa"/>
            <w:vAlign w:val="bottom"/>
            <w:tcBorders>
              <w:top w:val="single" w:sz="8" w:color="CFF0FC"/>
            </w:tcBorders>
          </w:tcPr>
          <w:p>
            <w:pPr>
              <w:spacing w:after="0"/>
              <w:rPr>
                <w:sz w:val="24"/>
                <w:szCs w:val="24"/>
                <w:color w:val="auto"/>
              </w:rPr>
            </w:pPr>
          </w:p>
        </w:tc>
        <w:tc>
          <w:tcPr>
            <w:tcW w:w="1860" w:type="dxa"/>
            <w:vAlign w:val="bottom"/>
            <w:tcBorders>
              <w:top w:val="single" w:sz="8" w:color="CFF0FC"/>
            </w:tcBorders>
          </w:tcPr>
          <w:p>
            <w:pPr>
              <w:spacing w:after="0"/>
              <w:rPr>
                <w:sz w:val="24"/>
                <w:szCs w:val="24"/>
                <w:color w:val="auto"/>
              </w:rPr>
            </w:pPr>
          </w:p>
        </w:tc>
        <w:tc>
          <w:tcPr>
            <w:tcW w:w="1240" w:type="dxa"/>
            <w:vAlign w:val="bottom"/>
            <w:tcBorders>
              <w:top w:val="single" w:sz="8" w:color="auto"/>
            </w:tcBorders>
            <w:gridSpan w:val="2"/>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Borders>
              <w:top w:val="single" w:sz="8" w:color="CFF0FC"/>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Estimated Fair</w:t>
            </w:r>
          </w:p>
        </w:tc>
      </w:tr>
      <w:tr>
        <w:trPr>
          <w:trHeight w:val="173"/>
        </w:trPr>
        <w:tc>
          <w:tcPr>
            <w:tcW w:w="3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295"/>
              <w:spacing w:after="0"/>
              <w:rPr>
                <w:sz w:val="20"/>
                <w:szCs w:val="20"/>
                <w:color w:val="auto"/>
              </w:rPr>
            </w:pPr>
            <w:r>
              <w:rPr>
                <w:rFonts w:ascii="Times New Roman" w:cs="Times New Roman" w:eastAsia="Times New Roman" w:hAnsi="Times New Roman"/>
                <w:sz w:val="14"/>
                <w:szCs w:val="14"/>
                <w:b w:val="1"/>
                <w:bCs w:val="1"/>
                <w:color w:val="auto"/>
              </w:rPr>
              <w:t>Basis</w:t>
            </w:r>
          </w:p>
        </w:tc>
        <w:tc>
          <w:tcPr>
            <w:tcW w:w="140" w:type="dxa"/>
            <w:vAlign w:val="bottom"/>
          </w:tcPr>
          <w:p>
            <w:pPr>
              <w:spacing w:after="0"/>
              <w:rPr>
                <w:sz w:val="15"/>
                <w:szCs w:val="15"/>
                <w:color w:val="auto"/>
              </w:rPr>
            </w:pPr>
          </w:p>
        </w:tc>
        <w:tc>
          <w:tcPr>
            <w:tcW w:w="12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40" w:type="dxa"/>
            <w:vAlign w:val="bottom"/>
          </w:tcPr>
          <w:p>
            <w:pPr>
              <w:spacing w:after="0"/>
              <w:rPr>
                <w:sz w:val="15"/>
                <w:szCs w:val="15"/>
                <w:color w:val="auto"/>
              </w:rPr>
            </w:pPr>
          </w:p>
        </w:tc>
        <w:tc>
          <w:tcPr>
            <w:tcW w:w="12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10"/>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bills</w:t>
            </w:r>
          </w:p>
        </w:tc>
        <w:tc>
          <w:tcPr>
            <w:tcW w:w="2120" w:type="dxa"/>
            <w:vAlign w:val="bottom"/>
            <w:gridSpan w:val="2"/>
            <w:shd w:val="clear" w:color="auto" w:fill="CFF0FC"/>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61,178</w:t>
            </w:r>
          </w:p>
        </w:tc>
        <w:tc>
          <w:tcPr>
            <w:tcW w:w="620" w:type="dxa"/>
            <w:vAlign w:val="bottom"/>
            <w:gridSpan w:val="2"/>
            <w:shd w:val="clear" w:color="auto" w:fill="CFF0FC"/>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6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61,229</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U.S. Notes and Bonds</w:t>
            </w:r>
          </w:p>
        </w:tc>
        <w:tc>
          <w:tcPr>
            <w:tcW w:w="18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57,448</w:t>
            </w:r>
          </w:p>
        </w:tc>
        <w:tc>
          <w:tcPr>
            <w:tcW w:w="1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57,556</w:t>
            </w:r>
          </w:p>
        </w:tc>
      </w:tr>
      <w:tr>
        <w:trPr>
          <w:trHeight w:val="230"/>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marketable securities</w:t>
            </w:r>
          </w:p>
        </w:tc>
        <w:tc>
          <w:tcPr>
            <w:tcW w:w="18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118,626</w:t>
            </w: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0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159</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b w:val="1"/>
                <w:bCs w:val="1"/>
                <w:color w:val="auto"/>
              </w:rPr>
              <w:t>118,785</w:t>
            </w:r>
          </w:p>
        </w:tc>
      </w:tr>
      <w:tr>
        <w:trPr>
          <w:trHeight w:val="20"/>
        </w:trPr>
        <w:tc>
          <w:tcPr>
            <w:tcW w:w="3960" w:type="dxa"/>
            <w:vAlign w:val="bottom"/>
            <w:tcBorders>
              <w:top w:val="single" w:sz="8" w:color="CFF0FC"/>
            </w:tcBorders>
            <w:shd w:val="clear" w:color="auto" w:fill="CFF0FC"/>
          </w:tcPr>
          <w:p>
            <w:pPr>
              <w:spacing w:after="0" w:line="20" w:lineRule="exact"/>
              <w:rPr>
                <w:sz w:val="1"/>
                <w:szCs w:val="1"/>
                <w:color w:val="auto"/>
              </w:rPr>
            </w:pPr>
          </w:p>
        </w:tc>
        <w:tc>
          <w:tcPr>
            <w:tcW w:w="18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-967740</wp:posOffset>
            </wp:positionV>
            <wp:extent cx="857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-950595</wp:posOffset>
            </wp:positionV>
            <wp:extent cx="857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-967740</wp:posOffset>
            </wp:positionV>
            <wp:extent cx="857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-950595</wp:posOffset>
            </wp:positionV>
            <wp:extent cx="857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-967740</wp:posOffset>
            </wp:positionV>
            <wp:extent cx="857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-950595</wp:posOffset>
            </wp:positionV>
            <wp:extent cx="857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-24765</wp:posOffset>
            </wp:positionV>
            <wp:extent cx="857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857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-24765</wp:posOffset>
            </wp:positionV>
            <wp:extent cx="857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857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-24765</wp:posOffset>
            </wp:positionV>
            <wp:extent cx="857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857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45"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available-for-sale marketable securities by contractual maturities as of March 31, 2026 are presented in the following table (in thousands):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40" w:type="dxa"/>
            <w:vAlign w:val="bottom"/>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9020" w:type="dxa"/>
            <w:vAlign w:val="bottom"/>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837"/>
              <w:spacing w:after="0" w:line="127" w:lineRule="exact"/>
              <w:rPr>
                <w:sz w:val="20"/>
                <w:szCs w:val="20"/>
                <w:color w:val="auto"/>
              </w:rPr>
            </w:pPr>
            <w:r>
              <w:rPr>
                <w:rFonts w:ascii="Times New Roman" w:cs="Times New Roman" w:eastAsia="Times New Roman" w:hAnsi="Times New Roman"/>
                <w:sz w:val="14"/>
                <w:szCs w:val="14"/>
                <w:b w:val="1"/>
                <w:bCs w:val="1"/>
                <w:color w:val="auto"/>
              </w:rPr>
              <w:t>2026</w:t>
            </w:r>
          </w:p>
        </w:tc>
      </w:tr>
      <w:tr>
        <w:trPr>
          <w:trHeight w:val="210"/>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in less than one year</w:t>
            </w:r>
          </w:p>
        </w:tc>
        <w:tc>
          <w:tcPr>
            <w:tcW w:w="5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95,932</w:t>
            </w:r>
          </w:p>
        </w:tc>
      </w:tr>
      <w:tr>
        <w:trPr>
          <w:trHeight w:val="243"/>
        </w:trPr>
        <w:tc>
          <w:tcPr>
            <w:tcW w:w="9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Due in one to two years</w:t>
            </w:r>
          </w:p>
        </w:tc>
        <w:tc>
          <w:tcPr>
            <w:tcW w:w="2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marketable securities</w:t>
            </w:r>
          </w:p>
        </w:tc>
        <w:tc>
          <w:tcPr>
            <w:tcW w:w="220" w:type="dxa"/>
            <w:vAlign w:val="bottom"/>
            <w:tcBorders>
              <w:bottom w:val="single" w:sz="8" w:color="CCEEFF"/>
            </w:tcBorders>
            <w:shd w:val="clear" w:color="auto" w:fill="CAEEFB"/>
          </w:tcPr>
          <w:p>
            <w:pPr>
              <w:spacing w:after="0"/>
              <w:rPr>
                <w:sz w:val="18"/>
                <w:szCs w:val="18"/>
                <w:color w:val="auto"/>
              </w:rPr>
            </w:pPr>
          </w:p>
        </w:tc>
        <w:tc>
          <w:tcPr>
            <w:tcW w:w="360" w:type="dxa"/>
            <w:vAlign w:val="bottom"/>
            <w:tcBorders>
              <w:bottom w:val="single" w:sz="8" w:color="CAEEFB"/>
            </w:tcBorders>
            <w:shd w:val="clear" w:color="auto" w:fill="CAEEFB"/>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bottom w:val="single" w:sz="8" w:color="CAEEFB"/>
            </w:tcBorders>
            <w:shd w:val="clear" w:color="auto" w:fill="CAEEFB"/>
          </w:tcPr>
          <w:p>
            <w:pPr>
              <w:jc w:val="right"/>
              <w:ind w:right="57"/>
              <w:spacing w:after="0"/>
              <w:rPr>
                <w:sz w:val="20"/>
                <w:szCs w:val="20"/>
                <w:color w:val="auto"/>
              </w:rPr>
            </w:pPr>
            <w:r>
              <w:rPr>
                <w:rFonts w:ascii="Times New Roman" w:cs="Times New Roman" w:eastAsia="Times New Roman" w:hAnsi="Times New Roman"/>
                <w:sz w:val="18"/>
                <w:szCs w:val="18"/>
                <w:b w:val="1"/>
                <w:bCs w:val="1"/>
                <w:color w:val="auto"/>
              </w:rPr>
              <w:t>95,932</w:t>
            </w:r>
          </w:p>
        </w:tc>
      </w:tr>
      <w:tr>
        <w:trPr>
          <w:trHeight w:val="20"/>
        </w:trPr>
        <w:tc>
          <w:tcPr>
            <w:tcW w:w="9020" w:type="dxa"/>
            <w:vAlign w:val="bottom"/>
            <w:shd w:val="clear" w:color="auto" w:fill="CFF0FC"/>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100" w:firstLine="509"/>
        <w:spacing w:after="0" w:line="281" w:lineRule="auto"/>
        <w:rPr>
          <w:sz w:val="20"/>
          <w:szCs w:val="20"/>
          <w:color w:val="auto"/>
        </w:rPr>
      </w:pPr>
      <w:r>
        <w:rPr>
          <w:rFonts w:ascii="Times New Roman" w:cs="Times New Roman" w:eastAsia="Times New Roman" w:hAnsi="Times New Roman"/>
          <w:sz w:val="17"/>
          <w:szCs w:val="17"/>
          <w:color w:val="auto"/>
        </w:rPr>
        <w:t>Cash equivalents are comprised of Level 1 financial instruments of money market fund investments. Level 1 financial instruments are comprised of cash equivalents and certain U.S. Treasury bills. Level 2 financial instruments are comprised of certain U.S. Treasury bills and U.S. Notes and Bonds. The Company's valuation technique used to measure the fair value of money market funds and Level 1 U.S. Treasury bills is derived from quoted prices in active markets for identical assets or liabilities. The fair value of Level 2 financial instruments is derived using observable inputs other than quoted prices.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62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Balance Sheet Details</w:t>
            </w:r>
          </w:p>
        </w:tc>
        <w:tc>
          <w:tcPr>
            <w:tcW w:w="10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24"/>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24"/>
        </w:trPr>
        <w:tc>
          <w:tcPr>
            <w:tcW w:w="460" w:type="dxa"/>
            <w:vAlign w:val="bottom"/>
          </w:tcPr>
          <w:p>
            <w:pPr>
              <w:spacing w:after="0"/>
              <w:rPr>
                <w:sz w:val="24"/>
                <w:szCs w:val="24"/>
                <w:color w:val="auto"/>
              </w:rPr>
            </w:pPr>
          </w:p>
        </w:tc>
        <w:tc>
          <w:tcPr>
            <w:tcW w:w="6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Inventory consists of the following (in thousands):</w:t>
            </w: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40"/>
        </w:trPr>
        <w:tc>
          <w:tcPr>
            <w:tcW w:w="46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6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Borders>
              <w:bottom w:val="single" w:sz="8" w:color="auto"/>
            </w:tcBorders>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09"/>
        </w:trPr>
        <w:tc>
          <w:tcPr>
            <w:tcW w:w="6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Component materials</w:t>
            </w:r>
          </w:p>
        </w:tc>
        <w:tc>
          <w:tcPr>
            <w:tcW w:w="2180" w:type="dxa"/>
            <w:vAlign w:val="bottom"/>
            <w:gridSpan w:val="2"/>
            <w:shd w:val="clear" w:color="auto" w:fill="CFF0FC"/>
          </w:tcPr>
          <w:p>
            <w:pPr>
              <w:jc w:val="right"/>
              <w:ind w:right="98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5,158</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4,985</w:t>
            </w:r>
          </w:p>
        </w:tc>
      </w:t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04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1,744</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2,303</w:t>
            </w:r>
          </w:p>
        </w:tc>
      </w:tr>
      <w:tr>
        <w:trPr>
          <w:trHeight w:val="209"/>
        </w:trPr>
        <w:tc>
          <w:tcPr>
            <w:tcW w:w="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22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right"/>
              <w:ind w:right="988"/>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6,902</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7,288</w:t>
            </w:r>
          </w:p>
        </w:tc>
      </w:tr>
      <w:tr>
        <w:trPr>
          <w:trHeight w:val="581"/>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24"/>
        </w:trPr>
        <w:tc>
          <w:tcPr>
            <w:tcW w:w="460" w:type="dxa"/>
            <w:vAlign w:val="bottom"/>
          </w:tcPr>
          <w:p>
            <w:pPr>
              <w:spacing w:after="0"/>
              <w:rPr>
                <w:sz w:val="24"/>
                <w:szCs w:val="24"/>
                <w:color w:val="auto"/>
              </w:rPr>
            </w:pPr>
          </w:p>
        </w:tc>
        <w:tc>
          <w:tcPr>
            <w:tcW w:w="6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Property and equipment are comprised of the following (in thousands):</w:t>
            </w: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40"/>
        </w:trPr>
        <w:tc>
          <w:tcPr>
            <w:tcW w:w="46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6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Borders>
              <w:bottom w:val="single" w:sz="8" w:color="auto"/>
            </w:tcBorders>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09"/>
        </w:trPr>
        <w:tc>
          <w:tcPr>
            <w:tcW w:w="6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180" w:type="dxa"/>
            <w:vAlign w:val="bottom"/>
            <w:gridSpan w:val="2"/>
            <w:shd w:val="clear" w:color="auto" w:fill="CFF0FC"/>
          </w:tcPr>
          <w:p>
            <w:pPr>
              <w:jc w:val="right"/>
              <w:ind w:right="98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874</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857</w:t>
            </w:r>
          </w:p>
        </w:tc>
      </w:t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391</w:t>
            </w:r>
          </w:p>
        </w:tc>
      </w:tr>
      <w:tr>
        <w:trPr>
          <w:trHeight w:val="216"/>
        </w:trPr>
        <w:tc>
          <w:tcPr>
            <w:tcW w:w="6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and manufacturing equipment</w:t>
            </w:r>
          </w:p>
        </w:tc>
        <w:tc>
          <w:tcPr>
            <w:tcW w:w="10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2,506</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2,418</w:t>
            </w:r>
          </w:p>
        </w:tc>
      </w:t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852</w:t>
            </w:r>
          </w:p>
        </w:tc>
      </w:tr>
      <w:tr>
        <w:trPr>
          <w:trHeight w:val="216"/>
        </w:trPr>
        <w:tc>
          <w:tcPr>
            <w:tcW w:w="66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0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186</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218</w:t>
            </w:r>
          </w:p>
        </w:tc>
      </w:tr>
      <w:tr>
        <w:trPr>
          <w:trHeight w:val="21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Property and Equipment</w:t>
            </w: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4,812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4,736</w:t>
            </w:r>
          </w:p>
        </w:tc>
      </w:tr>
      <w:tr>
        <w:trPr>
          <w:trHeight w:val="216"/>
        </w:trPr>
        <w:tc>
          <w:tcPr>
            <w:tcW w:w="66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0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2,886</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2,706</w:t>
            </w:r>
          </w:p>
        </w:tc>
      </w:tr>
      <w:tr>
        <w:trPr>
          <w:trHeight w:val="232"/>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180" w:type="dxa"/>
            <w:vAlign w:val="bottom"/>
            <w:gridSpan w:val="2"/>
          </w:tcPr>
          <w:p>
            <w:pPr>
              <w:jc w:val="right"/>
              <w:ind w:right="988"/>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1,926</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2,030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-441960</wp:posOffset>
            </wp:positionV>
            <wp:extent cx="1111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-159385</wp:posOffset>
            </wp:positionV>
            <wp:extent cx="11112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and amortization expense was $0.2 million for both the three months ended March 31, 2026 and 2025.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Non-Current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non-current assets are comprised of the following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Recorders at customer locations</w:t>
            </w:r>
          </w:p>
        </w:tc>
        <w:tc>
          <w:tcPr>
            <w:tcW w:w="1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2,021</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1,838</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of recorders at customer locations</w:t>
            </w:r>
          </w:p>
        </w:tc>
        <w:tc>
          <w:tcPr>
            <w:tcW w:w="14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w:t>
            </w:r>
          </w:p>
        </w:tc>
      </w:tr>
      <w:tr>
        <w:trPr>
          <w:trHeight w:val="210"/>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Recorders at customer locations, net</w:t>
            </w:r>
          </w:p>
        </w:tc>
        <w:tc>
          <w:tcPr>
            <w:tcW w:w="1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958</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805</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Recorders and related components</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1,627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1,141</w:t>
            </w:r>
          </w:p>
        </w:tc>
      </w:tr>
      <w:tr>
        <w:trPr>
          <w:trHeight w:val="216"/>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debt financing cost</w:t>
            </w:r>
          </w:p>
        </w:tc>
        <w:tc>
          <w:tcPr>
            <w:tcW w:w="1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246</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335</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4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627</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631</w:t>
            </w:r>
          </w:p>
        </w:tc>
      </w:tr>
      <w:tr>
        <w:trPr>
          <w:trHeight w:val="210"/>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3,458</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2,912</w:t>
            </w:r>
          </w:p>
        </w:tc>
      </w:tr>
    </w:tbl>
    <w:p>
      <w:pPr>
        <w:spacing w:after="0" w:line="225" w:lineRule="exact"/>
        <w:rPr>
          <w:sz w:val="20"/>
          <w:szCs w:val="20"/>
          <w:color w:val="auto"/>
        </w:rPr>
      </w:pPr>
    </w:p>
    <w:p>
      <w:pPr>
        <w:jc w:val="center"/>
        <w:ind w:right="460"/>
        <w:spacing w:after="0" w:line="407" w:lineRule="auto"/>
        <w:rPr>
          <w:sz w:val="20"/>
          <w:szCs w:val="20"/>
          <w:color w:val="auto"/>
        </w:rPr>
      </w:pPr>
      <w:r>
        <w:rPr>
          <w:rFonts w:ascii="Times New Roman" w:cs="Times New Roman" w:eastAsia="Times New Roman" w:hAnsi="Times New Roman"/>
          <w:sz w:val="18"/>
          <w:szCs w:val="18"/>
          <w:color w:val="auto"/>
        </w:rPr>
        <w:t>Recorder depreciation expense was $0.06 million and $0.09 million for the three months ended March 31, 2026 and 2025, respectively.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liabilities are comprised of the following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28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bonuses and payroll</w:t>
            </w:r>
          </w:p>
        </w:tc>
        <w:tc>
          <w:tcPr>
            <w:tcW w:w="2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2,090</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6,082</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Accrued commissions</w:t>
            </w:r>
          </w:p>
        </w:tc>
        <w:tc>
          <w:tcPr>
            <w:tcW w:w="2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3,029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4,048</w:t>
            </w: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fees and other costs</w:t>
            </w:r>
          </w:p>
        </w:tc>
        <w:tc>
          <w:tcPr>
            <w:tcW w:w="2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6,486</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1,994</w:t>
            </w: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purchase plan liability</w:t>
            </w:r>
          </w:p>
        </w:tc>
        <w:tc>
          <w:tcPr>
            <w:tcW w:w="2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635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1,004</w:t>
            </w:r>
          </w:p>
        </w:tc>
      </w:tr>
      <w:tr>
        <w:trPr>
          <w:trHeight w:val="216"/>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4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1,200</w:t>
            </w:r>
          </w:p>
        </w:tc>
      </w:tr>
      <w:tr>
        <w:trPr>
          <w:trHeight w:val="232"/>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12,561</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14,328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-159385</wp:posOffset>
            </wp:positionV>
            <wp:extent cx="1111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300"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offers its employees a tax-deferred savings plan, commonly referred to as a 401(k) plan. Employee contributions are withheld from payroll checks and are automatically withdrawn from the Company’s checking account and deposited into participants’ retirement accounts a few days following each payroll period. Beginning March 1, 2025, the Company provides a 50% match for employee contributions up to a certain limit. The Company contributed $0.6 million and $0.2 million during the three months ended March 31, 2026 and 2025, respectively, to its 401(k) plan.</w:t>
      </w:r>
    </w:p>
    <w:p>
      <w:pPr>
        <w:spacing w:after="0" w:line="284"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July 7, 2025, we filed patent infringement complaints against Natus Medical Incorporated and related subsidiaries (“Natus”) with the U.S. International Trade Commission (“USITC”) and the U.S. District Court for the District of Delaware (the “District Court”). On August 6, 2025, the USITC instituted an investigation of these claims pursuant to Section 337 of the Tariff Act of 1930 and on August 12, 2025, the District Court stayed the pending patent infringement action until the final determination of the USITC investigation.</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Legal fees are expensed in the period in which they are incurred and are included in accrued liabilities. In addition to expenses incurred, as of March 31, 2026, the Company has a commitment to pay $2.9 million in deferred legal fees contingent upon the earlier of settlement or favorable Initial Determination by the Administrative Law Judge related to the Natus patent infringement complaints. The Company records a provision for a liability when management believes that it is both probable that a liability has been incurred and the amount of the loss can be reasonably estimated. No provision or accrual has been recorded related to the deferred legal fees based on currently available information. As of March 31, 2026, and December 31, 2025, there were no litigation liabilities recorded for the contingent deferred legal fees described above.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February 20, 2026, a U.S. Supreme Court ruling invalidated tariffs imposed under the International Emergency Economic Powers Act (“IEEPA”). The Company estimates it has paid approximately $1.6 million under the IEEPA tariffs. The ruling did not address potential refunds, creating uncertainty regarding the potential recovery of tariffs previously assessed under that statute. As of March 31, 2026, the Company has not recognized an asset related to the potential refund. The Company will continue to evaluate new information and will recognize the refund when the requirements under ASC 450, Contingencies, have been met.</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Company’s ROU asset relates to its leased corporate offices and warehouse in Sunnyvale, CA. Supplemental balance sheet information related to leases was as follows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620" w:type="dxa"/>
            <w:vAlign w:val="bottom"/>
          </w:tcPr>
          <w:p>
            <w:pPr>
              <w:spacing w:after="0"/>
              <w:rPr>
                <w:sz w:val="15"/>
                <w:szCs w:val="15"/>
                <w:color w:val="auto"/>
              </w:rPr>
            </w:pPr>
          </w:p>
        </w:tc>
        <w:tc>
          <w:tcPr>
            <w:tcW w:w="11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7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Lease</w:t>
            </w:r>
          </w:p>
        </w:tc>
        <w:tc>
          <w:tcPr>
            <w:tcW w:w="11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spacing w:after="0"/>
              <w:rPr>
                <w:sz w:val="18"/>
                <w:szCs w:val="18"/>
                <w:color w:val="auto"/>
              </w:rPr>
            </w:pPr>
          </w:p>
        </w:tc>
      </w:tr>
      <w:tr>
        <w:trPr>
          <w:trHeight w:val="209"/>
        </w:trPr>
        <w:tc>
          <w:tcPr>
            <w:tcW w:w="7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lease right-of-use asset</w:t>
            </w:r>
          </w:p>
        </w:tc>
        <w:tc>
          <w:tcPr>
            <w:tcW w:w="1100" w:type="dxa"/>
            <w:vAlign w:val="bottom"/>
          </w:tcPr>
          <w:p>
            <w:pPr>
              <w:jc w:val="right"/>
              <w:ind w:right="9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8"/>
              </w:rPr>
              <w:t>2,041</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2,296</w:t>
            </w:r>
          </w:p>
        </w:tc>
      </w:tr>
      <w:tr>
        <w:trPr>
          <w:trHeight w:val="210"/>
        </w:trPr>
        <w:tc>
          <w:tcPr>
            <w:tcW w:w="76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r>
      <w:tr>
        <w:trPr>
          <w:trHeight w:val="21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110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8"/>
              </w:rPr>
              <w:t>1,141</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1,105</w:t>
            </w: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long-term</w:t>
            </w:r>
          </w:p>
        </w:tc>
        <w:tc>
          <w:tcPr>
            <w:tcW w:w="1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98"/>
              </w:rPr>
              <w:t>1,058</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1,360</w:t>
            </w:r>
          </w:p>
        </w:tc>
      </w:tr>
      <w:tr>
        <w:trPr>
          <w:trHeight w:val="209"/>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operating lease liabilities</w:t>
            </w:r>
          </w:p>
        </w:tc>
        <w:tc>
          <w:tcPr>
            <w:tcW w:w="1100" w:type="dxa"/>
            <w:vAlign w:val="bottom"/>
            <w:shd w:val="clear" w:color="auto" w:fill="CFF0FC"/>
          </w:tcPr>
          <w:p>
            <w:pPr>
              <w:jc w:val="right"/>
              <w:ind w:right="9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8"/>
              </w:rPr>
              <w:t>2,199</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2,465</w:t>
            </w:r>
          </w:p>
        </w:tc>
      </w:tr>
      <w:tr>
        <w:trPr>
          <w:trHeight w:val="210"/>
        </w:trPr>
        <w:tc>
          <w:tcPr>
            <w:tcW w:w="76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1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2.1</w:t>
            </w:r>
          </w:p>
        </w:tc>
      </w:tr>
      <w:tr>
        <w:trPr>
          <w:trHeight w:val="209"/>
        </w:trPr>
        <w:tc>
          <w:tcPr>
            <w:tcW w:w="7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remaining discount rate</w:t>
            </w:r>
          </w:p>
        </w:tc>
        <w:tc>
          <w:tcPr>
            <w:tcW w:w="11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-1010920</wp:posOffset>
            </wp:positionV>
            <wp:extent cx="1111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-299720</wp:posOffset>
            </wp:positionV>
            <wp:extent cx="11112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1111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total lease expense and other information for the periods relating to the Company’s operating leases was as follows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94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Pr>
          <w:p>
            <w:pPr>
              <w:spacing w:after="0"/>
              <w:rPr>
                <w:sz w:val="13"/>
                <w:szCs w:val="13"/>
                <w:color w:val="auto"/>
              </w:rPr>
            </w:pPr>
          </w:p>
        </w:tc>
      </w:tr>
      <w:tr>
        <w:trPr>
          <w:trHeight w:val="173"/>
        </w:trPr>
        <w:tc>
          <w:tcPr>
            <w:tcW w:w="69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0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5"/>
                <w:szCs w:val="15"/>
                <w:color w:val="auto"/>
              </w:rPr>
            </w:pPr>
          </w:p>
        </w:tc>
      </w:tr>
      <w:tr>
        <w:trPr>
          <w:trHeight w:val="210"/>
        </w:trPr>
        <w:tc>
          <w:tcPr>
            <w:tcW w:w="6960" w:type="dxa"/>
            <w:vAlign w:val="bottom"/>
            <w:shd w:val="clear" w:color="auto" w:fill="CAEEFB"/>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1880" w:type="dxa"/>
            <w:vAlign w:val="bottom"/>
            <w:gridSpan w:val="2"/>
            <w:shd w:val="clear" w:color="auto" w:fill="CAEEFB"/>
          </w:tcPr>
          <w:p>
            <w:pPr>
              <w:jc w:val="right"/>
              <w:ind w:right="92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AEEFB"/>
          </w:tcPr>
          <w:p>
            <w:pPr>
              <w:jc w:val="right"/>
              <w:ind w:right="30"/>
              <w:spacing w:after="0"/>
              <w:rPr>
                <w:sz w:val="20"/>
                <w:szCs w:val="20"/>
                <w:color w:val="auto"/>
              </w:rPr>
            </w:pPr>
            <w:r>
              <w:rPr>
                <w:rFonts w:ascii="Times New Roman" w:cs="Times New Roman" w:eastAsia="Times New Roman" w:hAnsi="Times New Roman"/>
                <w:sz w:val="18"/>
                <w:szCs w:val="18"/>
                <w:color w:val="auto"/>
              </w:rPr>
              <w:t>306</w:t>
            </w:r>
          </w:p>
        </w:tc>
        <w:tc>
          <w:tcPr>
            <w:tcW w:w="1280" w:type="dxa"/>
            <w:vAlign w:val="bottom"/>
            <w:gridSpan w:val="2"/>
            <w:shd w:val="clear" w:color="auto" w:fill="CAEEFB"/>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AEEFB"/>
          </w:tcPr>
          <w:p>
            <w:pPr>
              <w:jc w:val="right"/>
              <w:ind w:right="30"/>
              <w:spacing w:after="0"/>
              <w:rPr>
                <w:sz w:val="20"/>
                <w:szCs w:val="20"/>
                <w:color w:val="auto"/>
              </w:rPr>
            </w:pPr>
            <w:r>
              <w:rPr>
                <w:rFonts w:ascii="Times New Roman" w:cs="Times New Roman" w:eastAsia="Times New Roman" w:hAnsi="Times New Roman"/>
                <w:sz w:val="18"/>
                <w:szCs w:val="18"/>
                <w:color w:val="auto"/>
              </w:rPr>
              <w:t>281</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expense</w:t>
            </w:r>
          </w:p>
        </w:tc>
        <w:tc>
          <w:tcPr>
            <w:tcW w:w="78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98</w:t>
            </w:r>
          </w:p>
        </w:tc>
      </w:tr>
      <w:tr>
        <w:trPr>
          <w:trHeight w:val="209"/>
        </w:trPr>
        <w:tc>
          <w:tcPr>
            <w:tcW w:w="6960" w:type="dxa"/>
            <w:vAlign w:val="bottom"/>
            <w:shd w:val="clear" w:color="auto" w:fill="CAEEFB"/>
          </w:tcPr>
          <w:p>
            <w:pPr>
              <w:spacing w:after="0"/>
              <w:rPr>
                <w:sz w:val="20"/>
                <w:szCs w:val="20"/>
                <w:color w:val="auto"/>
              </w:rPr>
            </w:pPr>
            <w:r>
              <w:rPr>
                <w:rFonts w:ascii="Times New Roman" w:cs="Times New Roman" w:eastAsia="Times New Roman" w:hAnsi="Times New Roman"/>
                <w:sz w:val="18"/>
                <w:szCs w:val="18"/>
                <w:b w:val="1"/>
                <w:bCs w:val="1"/>
                <w:color w:val="auto"/>
              </w:rPr>
              <w:t>Total lease expense</w:t>
            </w:r>
          </w:p>
        </w:tc>
        <w:tc>
          <w:tcPr>
            <w:tcW w:w="1880" w:type="dxa"/>
            <w:vAlign w:val="bottom"/>
            <w:gridSpan w:val="2"/>
            <w:shd w:val="clear" w:color="auto" w:fill="CAEEFB"/>
          </w:tcPr>
          <w:p>
            <w:pPr>
              <w:jc w:val="right"/>
              <w:ind w:right="922"/>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CAEEFB"/>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407</w:t>
            </w:r>
          </w:p>
        </w:tc>
        <w:tc>
          <w:tcPr>
            <w:tcW w:w="1280" w:type="dxa"/>
            <w:vAlign w:val="bottom"/>
            <w:gridSpan w:val="2"/>
            <w:shd w:val="clear" w:color="auto" w:fill="CAEEFB"/>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CAEEFB"/>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379</w:t>
            </w:r>
          </w:p>
        </w:tc>
      </w:tr>
      <w:tr>
        <w:trPr>
          <w:trHeight w:val="210"/>
        </w:trPr>
        <w:tc>
          <w:tcPr>
            <w:tcW w:w="6960" w:type="dxa"/>
            <w:vAlign w:val="bottom"/>
            <w:tcBorders>
              <w:top w:val="single" w:sz="8" w:color="CAEEFB"/>
            </w:tcBorders>
          </w:tcPr>
          <w:p>
            <w:pPr>
              <w:spacing w:after="0"/>
              <w:rPr>
                <w:sz w:val="18"/>
                <w:szCs w:val="18"/>
                <w:color w:val="auto"/>
              </w:rPr>
            </w:pPr>
          </w:p>
        </w:tc>
        <w:tc>
          <w:tcPr>
            <w:tcW w:w="780" w:type="dxa"/>
            <w:vAlign w:val="bottom"/>
            <w:tcBorders>
              <w:top w:val="single" w:sz="8" w:color="CAEEFB"/>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80" w:type="dxa"/>
            <w:vAlign w:val="bottom"/>
            <w:tcBorders>
              <w:top w:val="single" w:sz="8" w:color="CAEEFB"/>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r>
      <w:tr>
        <w:trPr>
          <w:trHeight w:val="216"/>
        </w:trPr>
        <w:tc>
          <w:tcPr>
            <w:tcW w:w="6960" w:type="dxa"/>
            <w:vAlign w:val="bottom"/>
            <w:shd w:val="clear" w:color="auto" w:fill="CAEEFB"/>
          </w:tcPr>
          <w:p>
            <w:pPr>
              <w:spacing w:after="0"/>
              <w:rPr>
                <w:sz w:val="20"/>
                <w:szCs w:val="20"/>
                <w:color w:val="auto"/>
              </w:rPr>
            </w:pPr>
            <w:r>
              <w:rPr>
                <w:rFonts w:ascii="Times New Roman" w:cs="Times New Roman" w:eastAsia="Times New Roman" w:hAnsi="Times New Roman"/>
                <w:sz w:val="18"/>
                <w:szCs w:val="18"/>
                <w:b w:val="1"/>
                <w:bCs w:val="1"/>
                <w:color w:val="auto"/>
              </w:rPr>
              <w:t>Total cash payments for amounts included in the measurement of lease liabilities</w:t>
            </w:r>
          </w:p>
        </w:tc>
        <w:tc>
          <w:tcPr>
            <w:tcW w:w="780" w:type="dxa"/>
            <w:vAlign w:val="bottom"/>
            <w:shd w:val="clear" w:color="auto" w:fill="CAEEFB"/>
          </w:tcPr>
          <w:p>
            <w:pPr>
              <w:spacing w:after="0"/>
              <w:rPr>
                <w:sz w:val="18"/>
                <w:szCs w:val="18"/>
                <w:color w:val="auto"/>
              </w:rPr>
            </w:pPr>
          </w:p>
        </w:tc>
        <w:tc>
          <w:tcPr>
            <w:tcW w:w="1100" w:type="dxa"/>
            <w:vAlign w:val="bottom"/>
            <w:shd w:val="clear" w:color="auto" w:fill="CAEEFB"/>
          </w:tcPr>
          <w:p>
            <w:pPr>
              <w:jc w:val="right"/>
              <w:ind w:right="92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shd w:val="clear" w:color="auto" w:fill="CAEEFB"/>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311</w:t>
            </w:r>
          </w:p>
        </w:tc>
        <w:tc>
          <w:tcPr>
            <w:tcW w:w="1280" w:type="dxa"/>
            <w:vAlign w:val="bottom"/>
            <w:gridSpan w:val="2"/>
            <w:shd w:val="clear" w:color="auto" w:fill="CAEEFB"/>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CAEEFB"/>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302</w:t>
            </w:r>
          </w:p>
        </w:tc>
      </w:tr>
      <w:tr>
        <w:trPr>
          <w:trHeight w:val="20"/>
        </w:trPr>
        <w:tc>
          <w:tcPr>
            <w:tcW w:w="6960" w:type="dxa"/>
            <w:vAlign w:val="bottom"/>
            <w:shd w:val="clear" w:color="auto" w:fill="CAEEFB"/>
          </w:tcPr>
          <w:p>
            <w:pPr>
              <w:spacing w:after="0" w:line="20" w:lineRule="exact"/>
              <w:rPr>
                <w:sz w:val="1"/>
                <w:szCs w:val="1"/>
                <w:color w:val="auto"/>
              </w:rPr>
            </w:pPr>
          </w:p>
        </w:tc>
        <w:tc>
          <w:tcPr>
            <w:tcW w:w="780" w:type="dxa"/>
            <w:vAlign w:val="bottom"/>
            <w:shd w:val="clear" w:color="auto" w:fill="CAEEFB"/>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AEEFB"/>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-290830</wp:posOffset>
            </wp:positionV>
            <wp:extent cx="1111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1111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21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leases office space and warehouse space under non-cancelable operating leases. As of March 31, 2026, the future minimum lease payments under the non-cancelable operating lease are as follows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5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40" w:type="dxa"/>
            <w:vAlign w:val="bottom"/>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4040" w:type="dxa"/>
            <w:vAlign w:val="bottom"/>
            <w:vMerge w:val="continue"/>
          </w:tcPr>
          <w:p>
            <w:pPr>
              <w:spacing w:after="0"/>
              <w:rPr>
                <w:sz w:val="15"/>
                <w:szCs w:val="15"/>
                <w:color w:val="auto"/>
              </w:rPr>
            </w:pPr>
          </w:p>
        </w:tc>
        <w:tc>
          <w:tcPr>
            <w:tcW w:w="52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210"/>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2026</w:t>
            </w:r>
          </w:p>
        </w:tc>
        <w:tc>
          <w:tcPr>
            <w:tcW w:w="55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943</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1,306</w:t>
            </w:r>
          </w:p>
        </w:tc>
        <w:tc>
          <w:tcPr>
            <w:tcW w:w="0" w:type="dxa"/>
            <w:vAlign w:val="bottom"/>
          </w:tcPr>
          <w:p>
            <w:pPr>
              <w:spacing w:after="0"/>
              <w:rPr>
                <w:sz w:val="1"/>
                <w:szCs w:val="1"/>
                <w:color w:val="auto"/>
              </w:rPr>
            </w:pPr>
          </w:p>
        </w:tc>
      </w:tr>
      <w:tr>
        <w:trPr>
          <w:trHeight w:val="216"/>
        </w:trPr>
        <w:tc>
          <w:tcPr>
            <w:tcW w:w="4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5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09"/>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5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2,358</w:t>
            </w:r>
          </w:p>
        </w:tc>
        <w:tc>
          <w:tcPr>
            <w:tcW w:w="0" w:type="dxa"/>
            <w:vAlign w:val="bottom"/>
          </w:tcPr>
          <w:p>
            <w:pPr>
              <w:spacing w:after="0"/>
              <w:rPr>
                <w:sz w:val="1"/>
                <w:szCs w:val="1"/>
                <w:color w:val="auto"/>
              </w:rPr>
            </w:pPr>
          </w:p>
        </w:tc>
      </w:tr>
      <w:tr>
        <w:trPr>
          <w:trHeight w:val="216"/>
        </w:trPr>
        <w:tc>
          <w:tcPr>
            <w:tcW w:w="4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Imputed interest</w:t>
            </w:r>
          </w:p>
        </w:tc>
        <w:tc>
          <w:tcPr>
            <w:tcW w:w="5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32"/>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Lease Liabilities</w:t>
            </w:r>
          </w:p>
        </w:tc>
        <w:tc>
          <w:tcPr>
            <w:tcW w:w="5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2,199</w:t>
            </w:r>
          </w:p>
        </w:tc>
        <w:tc>
          <w:tcPr>
            <w:tcW w:w="0" w:type="dxa"/>
            <w:vAlign w:val="bottom"/>
          </w:tcPr>
          <w:p>
            <w:pPr>
              <w:spacing w:after="0"/>
              <w:rPr>
                <w:sz w:val="1"/>
                <w:szCs w:val="1"/>
                <w:color w:val="auto"/>
              </w:rPr>
            </w:pPr>
          </w:p>
        </w:tc>
      </w:tr>
      <w:tr>
        <w:trPr>
          <w:trHeight w:val="518"/>
        </w:trPr>
        <w:tc>
          <w:tcPr>
            <w:tcW w:w="4040" w:type="dxa"/>
            <w:vAlign w:val="bottom"/>
          </w:tcPr>
          <w:p>
            <w:pPr>
              <w:spacing w:after="0"/>
              <w:rPr>
                <w:sz w:val="24"/>
                <w:szCs w:val="24"/>
                <w:color w:val="auto"/>
              </w:rPr>
            </w:pPr>
          </w:p>
        </w:tc>
        <w:tc>
          <w:tcPr>
            <w:tcW w:w="5200" w:type="dxa"/>
            <w:vAlign w:val="bottom"/>
          </w:tcPr>
          <w:p>
            <w:pPr>
              <w:jc w:val="right"/>
              <w:ind w:right="3430"/>
              <w:spacing w:after="0"/>
              <w:rPr>
                <w:sz w:val="20"/>
                <w:szCs w:val="20"/>
                <w:color w:val="auto"/>
              </w:rPr>
            </w:pPr>
            <w:r>
              <w:rPr>
                <w:rFonts w:ascii="Times New Roman" w:cs="Times New Roman" w:eastAsia="Times New Roman" w:hAnsi="Times New Roman"/>
                <w:sz w:val="18"/>
                <w:szCs w:val="18"/>
                <w:color w:val="auto"/>
              </w:rPr>
              <w:t>12</w:t>
            </w:r>
          </w:p>
        </w:tc>
        <w:tc>
          <w:tcPr>
            <w:tcW w:w="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04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Loan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Term Loan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consideration of the 2024 principal loan repayment schedule and future operating cash flow requirements, effective February 6, 2024, the Company executed a Venture Loan and Security Agreement (“VLSA”) with Horizon Technology Finance Corporation (“Horizon”) as a lender and the collateral agent and Silicon Valley Bank (“SVB”) as a lender (collectively, “the Lenders”).</w:t>
      </w:r>
    </w:p>
    <w:p>
      <w:pPr>
        <w:spacing w:after="0" w:line="17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Upon execution of the VLSA, the Company drew down the entire first tranche of $20.0 million in principal (“Term Loan”), including $6.0 million from SVB (“SVB Loan”) and $14.0 million from Horizon (“Horizon Loan”). Subject to the VLSA terms, the Company is entitled to receive up to $30.0 million (“Outstanding Commitment”) in three additional tranches of $10.0 million each. Each lender’s obligation to lend its undisbursed portion of the Outstanding Commitment to the Company shall terminate if, in such Lender’s sole good faith discretion, there has been a material adverse change in the results of operations or financial condition of the Company, whether or not arising from transactions in the ordinary course of business, or there has been any material adverse deviation by the Company from the business plan of the Company presented to any Lender. No material adverse changes have been identified as of March 31, 2026.</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Term Loan is payable to the Lenders in twelve equal monthly installments between April 1, 2028 (“Amortization Date”) and March 1, 2029 (“Maturity Date”) subject to certain prepayment fees in accordance with the VLSA. The SVB Loan carries a variable per-annum interest rate at the Prime Rate (as published in the Wall Street Journal), subject to the floor of 6.00%. The Horizon Loan carries a variable per-annum interest rate at the Prime Rate plus 2.75%, subject to the floor of 9.25%.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Revolving Facility</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February 2024, the Company also executed a Loan and Security Agreement (“LSA”) with SVB to receive a senior revolving line of credit of up to $10.0 million (“Revolving Facility”). The Revolving Facility matured on February 6, 2026. No borrowings were made under the Revolving Facility, and the Revolving Facility is no longer available for borrowing as of March 31, 2026.</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March 31, 2026, the Company was in compliance with debt covenants under the LSA and VLSA. The effective interest rate is 9.5%, inclusive of the end-of-term fee and debt issuance as of March 31, 2026. No amounts were drawn under the Outstanding Commitment and Revolving Facility through March 31, 2026.</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Notes payable consists of the following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1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Principal of notes payable</w:t>
            </w:r>
          </w:p>
        </w:tc>
        <w:tc>
          <w:tcPr>
            <w:tcW w:w="2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20,000</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20,000</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End of term fee accretion</w:t>
            </w:r>
          </w:p>
        </w:tc>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285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251</w:t>
            </w:r>
          </w:p>
        </w:tc>
      </w:tr>
      <w:tr>
        <w:trPr>
          <w:trHeight w:val="216"/>
        </w:trPr>
        <w:tc>
          <w:tcPr>
            <w:tcW w:w="5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6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32"/>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Carrying value of Notes Payable</w:t>
            </w:r>
          </w:p>
        </w:tc>
        <w:tc>
          <w:tcPr>
            <w:tcW w:w="2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19,917</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19,811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-159385</wp:posOffset>
            </wp:positionV>
            <wp:extent cx="11112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Collateral for the VLSA consists of a security interest in all assets of the Company, excluding intellectual property.</w:t>
      </w:r>
    </w:p>
    <w:p>
      <w:pPr>
        <w:spacing w:after="0" w:line="329"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Effective February 6, 2024, the Company, Horizon, and SVB entered into a $60.0 million financing commitment. Warrants representing the right to purchase 41,345 shares of Series C-1 redeemable convertible preferred stock at a price of $11.49 per share were issued upon closing. Immediately prior to the Company’s IPO on October 15, 2024, all warrants exercisable for redeemable convertible preferred stock were converted into warrants exercisable for common stock and reclassified from liabilities to equity. All warrants are currently exercisable, in whole or in part, and expire in 2030, 2032, and 2034. To the extent the warrants are not previously exercised, and if the fair market value of one share is greater than the exercise price under the warrants then in effect, the warrants shall be deemed automatically exercised immediately before expiration.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5"/>
                <w:szCs w:val="15"/>
                <w:color w:val="auto"/>
              </w:rPr>
            </w:pPr>
          </w:p>
        </w:tc>
        <w:tc>
          <w:tcPr>
            <w:tcW w:w="15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Total warrants</w:t>
            </w:r>
          </w:p>
        </w:tc>
      </w:tr>
      <w:tr>
        <w:trPr>
          <w:trHeight w:val="209"/>
        </w:trPr>
        <w:tc>
          <w:tcPr>
            <w:tcW w:w="4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2025</w:t>
            </w:r>
          </w:p>
        </w:tc>
        <w:tc>
          <w:tcPr>
            <w:tcW w:w="2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45,726</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56,573</w:t>
            </w:r>
          </w:p>
        </w:tc>
        <w:tc>
          <w:tcPr>
            <w:tcW w:w="10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102,299</w:t>
            </w:r>
          </w:p>
        </w:tc>
      </w:tr>
      <w:tr>
        <w:trPr>
          <w:trHeight w:val="21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per warrant</w:t>
            </w:r>
          </w:p>
        </w:tc>
        <w:tc>
          <w:tcPr>
            <w:tcW w:w="2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7.6540</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11.49</w:t>
            </w: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09"/>
        </w:trPr>
        <w:tc>
          <w:tcPr>
            <w:tcW w:w="43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r>
      <w:tr>
        <w:trPr>
          <w:trHeight w:val="216"/>
        </w:trPr>
        <w:tc>
          <w:tcPr>
            <w:tcW w:w="4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 issued</w:t>
            </w:r>
          </w:p>
        </w:tc>
        <w:tc>
          <w:tcPr>
            <w:tcW w:w="2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March 31, 2026</w:t>
            </w:r>
          </w:p>
        </w:tc>
        <w:tc>
          <w:tcPr>
            <w:tcW w:w="2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45,726</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56,573</w:t>
            </w:r>
          </w:p>
        </w:tc>
        <w:tc>
          <w:tcPr>
            <w:tcW w:w="100" w:type="dxa"/>
            <w:vAlign w:val="bottom"/>
          </w:tcPr>
          <w:p>
            <w:pPr>
              <w:spacing w:after="0"/>
              <w:rPr>
                <w:sz w:val="18"/>
                <w:szCs w:val="18"/>
                <w:color w:val="auto"/>
              </w:rPr>
            </w:pPr>
          </w:p>
        </w:tc>
        <w:tc>
          <w:tcPr>
            <w:tcW w:w="15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102,299</w:t>
            </w:r>
          </w:p>
        </w:tc>
      </w:tr>
      <w:tr>
        <w:trPr>
          <w:trHeight w:val="209"/>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price per warrant</w:t>
            </w:r>
          </w:p>
        </w:tc>
        <w:tc>
          <w:tcPr>
            <w:tcW w:w="2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7.6540</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11.49</w:t>
            </w:r>
          </w:p>
        </w:tc>
        <w:tc>
          <w:tcPr>
            <w:tcW w:w="1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r>
      <w:tr>
        <w:trPr>
          <w:trHeight w:val="20"/>
        </w:trPr>
        <w:tc>
          <w:tcPr>
            <w:tcW w:w="4380" w:type="dxa"/>
            <w:vAlign w:val="bottom"/>
            <w:shd w:val="clear" w:color="auto" w:fill="CFF0FC"/>
          </w:tcPr>
          <w:p>
            <w:pPr>
              <w:spacing w:after="0" w:line="20" w:lineRule="exact"/>
              <w:rPr>
                <w:sz w:val="1"/>
                <w:szCs w:val="1"/>
                <w:color w:val="auto"/>
              </w:rPr>
            </w:pPr>
          </w:p>
        </w:tc>
        <w:tc>
          <w:tcPr>
            <w:tcW w:w="2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-728345</wp:posOffset>
            </wp:positionV>
            <wp:extent cx="939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-728345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-299720</wp:posOffset>
            </wp:positionV>
            <wp:extent cx="939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-299720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-8255</wp:posOffset>
            </wp:positionV>
            <wp:extent cx="939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-8255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warrants are included in Additional paid-in capital as of March 31, 2026, and December 31, 2025.</w:t>
      </w:r>
    </w:p>
    <w:p>
      <w:pPr>
        <w:spacing w:after="0" w:line="329"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is authorized to issue 500,000,000 shares of $0.001 par value common stock as of both March 31, 2026, and December 31, 2025.</w:t>
      </w:r>
    </w:p>
    <w:p>
      <w:pPr>
        <w:spacing w:after="0" w:line="22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holders of common stock are entitled to receive dividends whenever funds and assets are legally available and when declared by the Board of Directors. As of March 31, 2026, no dividends had been declared.</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2026, and December 31, 2025, the Company had reserved common stock for future issuance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7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172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680" w:type="dxa"/>
            <w:vAlign w:val="bottom"/>
          </w:tcPr>
          <w:p>
            <w:pPr>
              <w:spacing w:after="0"/>
              <w:rPr>
                <w:sz w:val="15"/>
                <w:szCs w:val="15"/>
                <w:color w:val="auto"/>
              </w:rPr>
            </w:pPr>
          </w:p>
        </w:tc>
        <w:tc>
          <w:tcPr>
            <w:tcW w:w="1720" w:type="dxa"/>
            <w:vAlign w:val="bottom"/>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40" w:type="dxa"/>
            <w:vAlign w:val="bottom"/>
            <w:gridSpan w:val="2"/>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76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Conversion of outstanding warrants</w:t>
            </w:r>
          </w:p>
        </w:tc>
        <w:tc>
          <w:tcPr>
            <w:tcW w:w="172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102,299</w:t>
            </w:r>
          </w:p>
        </w:tc>
        <w:tc>
          <w:tcPr>
            <w:tcW w:w="120" w:type="dxa"/>
            <w:vAlign w:val="bottom"/>
            <w:tcBorders>
              <w:top w:val="single" w:sz="8" w:color="CFF0FC"/>
            </w:tcBorders>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102,299</w:t>
            </w: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options</w:t>
            </w:r>
          </w:p>
        </w:tc>
        <w:tc>
          <w:tcPr>
            <w:tcW w:w="17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3,935,100</w:t>
            </w:r>
          </w:p>
        </w:tc>
        <w:tc>
          <w:tcPr>
            <w:tcW w:w="18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4,135,501</w:t>
            </w: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RSUs</w:t>
            </w:r>
          </w:p>
        </w:tc>
        <w:tc>
          <w:tcPr>
            <w:tcW w:w="17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1,648,022</w:t>
            </w:r>
          </w:p>
        </w:tc>
        <w:tc>
          <w:tcPr>
            <w:tcW w:w="184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1,561,534</w:t>
            </w: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future issuance under the Company's equity plans</w:t>
            </w:r>
          </w:p>
        </w:tc>
        <w:tc>
          <w:tcPr>
            <w:tcW w:w="17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7,267,978</w:t>
            </w:r>
          </w:p>
        </w:tc>
        <w:tc>
          <w:tcPr>
            <w:tcW w:w="120" w:type="dxa"/>
            <w:vAlign w:val="bottom"/>
          </w:tcPr>
          <w:p>
            <w:pPr>
              <w:spacing w:after="0"/>
              <w:rPr>
                <w:sz w:val="18"/>
                <w:szCs w:val="18"/>
                <w:color w:val="auto"/>
              </w:rPr>
            </w:pPr>
          </w:p>
        </w:tc>
        <w:tc>
          <w:tcPr>
            <w:tcW w:w="17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5,279,680</w:t>
            </w:r>
          </w:p>
        </w:tc>
      </w:tr>
      <w:tr>
        <w:trPr>
          <w:trHeight w:val="20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12,953,399</w:t>
            </w:r>
          </w:p>
        </w:tc>
        <w:tc>
          <w:tcPr>
            <w:tcW w:w="184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11,079,014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-702310</wp:posOffset>
            </wp:positionV>
            <wp:extent cx="768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Incentive Plan</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Activity under the 2014 Stock Incentive Plan (the “2014 Plan”), 2024 Equity Incentive Plan (the “2024 EIP”), and 2024 Incentive Award Plan (the “2024 Plan”) is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1300" w:type="dxa"/>
            <w:vAlign w:val="bottom"/>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restart"/>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2"/>
                <w:szCs w:val="12"/>
                <w:color w:val="auto"/>
              </w:rPr>
            </w:pPr>
          </w:p>
        </w:tc>
        <w:tc>
          <w:tcPr>
            <w:tcW w:w="128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60" w:type="dxa"/>
            <w:vAlign w:val="bottom"/>
          </w:tcPr>
          <w:p>
            <w:pPr>
              <w:spacing w:after="0"/>
              <w:rPr>
                <w:sz w:val="12"/>
                <w:szCs w:val="12"/>
                <w:color w:val="auto"/>
              </w:rPr>
            </w:pPr>
          </w:p>
        </w:tc>
        <w:tc>
          <w:tcPr>
            <w:tcW w:w="14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2"/>
                <w:szCs w:val="12"/>
                <w:color w:val="auto"/>
              </w:rPr>
            </w:pPr>
          </w:p>
        </w:tc>
        <w:tc>
          <w:tcPr>
            <w:tcW w:w="130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28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00" w:type="dxa"/>
            <w:vAlign w:val="bottom"/>
          </w:tcPr>
          <w:p>
            <w:pPr>
              <w:spacing w:after="0"/>
              <w:rPr>
                <w:sz w:val="12"/>
                <w:szCs w:val="12"/>
                <w:color w:val="auto"/>
              </w:rPr>
            </w:pPr>
          </w:p>
        </w:tc>
        <w:tc>
          <w:tcPr>
            <w:tcW w:w="130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3"/>
        </w:trPr>
        <w:tc>
          <w:tcPr>
            <w:tcW w:w="576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Pr>
          <w:p>
            <w:pPr>
              <w:spacing w:after="0"/>
              <w:rPr>
                <w:sz w:val="16"/>
                <w:szCs w:val="16"/>
                <w:color w:val="auto"/>
              </w:rPr>
            </w:pPr>
          </w:p>
        </w:tc>
        <w:tc>
          <w:tcPr>
            <w:tcW w:w="128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100" w:type="dxa"/>
            <w:vAlign w:val="bottom"/>
          </w:tcPr>
          <w:p>
            <w:pPr>
              <w:spacing w:after="0"/>
              <w:rPr>
                <w:sz w:val="16"/>
                <w:szCs w:val="16"/>
                <w:color w:val="auto"/>
              </w:rPr>
            </w:pPr>
          </w:p>
        </w:tc>
        <w:tc>
          <w:tcPr>
            <w:tcW w:w="130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03"/>
        </w:trPr>
        <w:tc>
          <w:tcPr>
            <w:tcW w:w="5760" w:type="dxa"/>
            <w:vAlign w:val="bottom"/>
            <w:tcBorders>
              <w:top w:val="single" w:sz="8" w:color="CFF0FC"/>
            </w:tcBorders>
            <w:shd w:val="clear" w:color="auto" w:fill="CFF0FC"/>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340" w:type="dxa"/>
            <w:vAlign w:val="bottom"/>
            <w:tcBorders>
              <w:top w:val="single" w:sz="8" w:color="auto"/>
            </w:tcBorders>
            <w:shd w:val="clear" w:color="auto" w:fill="CFF0FC"/>
          </w:tcPr>
          <w:p>
            <w:pPr>
              <w:jc w:val="right"/>
              <w:ind w:right="34"/>
              <w:spacing w:after="0" w:line="203" w:lineRule="exact"/>
              <w:rPr>
                <w:sz w:val="20"/>
                <w:szCs w:val="20"/>
                <w:color w:val="auto"/>
              </w:rPr>
            </w:pPr>
            <w:r>
              <w:rPr>
                <w:rFonts w:ascii="Times New Roman" w:cs="Times New Roman" w:eastAsia="Times New Roman" w:hAnsi="Times New Roman"/>
                <w:sz w:val="18"/>
                <w:szCs w:val="18"/>
                <w:b w:val="1"/>
                <w:bCs w:val="1"/>
                <w:color w:val="auto"/>
              </w:rPr>
              <w:t>4,135,501</w:t>
            </w:r>
          </w:p>
        </w:tc>
        <w:tc>
          <w:tcPr>
            <w:tcW w:w="1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CFF0FC"/>
            </w:tcBorders>
            <w:shd w:val="clear" w:color="auto" w:fill="CFF0FC"/>
          </w:tcPr>
          <w:p>
            <w:pPr>
              <w:jc w:val="right"/>
              <w:ind w:right="15"/>
              <w:spacing w:after="0" w:line="203" w:lineRule="exact"/>
              <w:rPr>
                <w:sz w:val="20"/>
                <w:szCs w:val="20"/>
                <w:color w:val="auto"/>
              </w:rPr>
            </w:pPr>
            <w:r>
              <w:rPr>
                <w:rFonts w:ascii="Times New Roman" w:cs="Times New Roman" w:eastAsia="Times New Roman" w:hAnsi="Times New Roman"/>
                <w:sz w:val="18"/>
                <w:szCs w:val="18"/>
                <w:b w:val="1"/>
                <w:bCs w:val="1"/>
                <w:color w:val="auto"/>
              </w:rPr>
              <w:t>8.70</w:t>
            </w:r>
          </w:p>
        </w:tc>
        <w:tc>
          <w:tcPr>
            <w:tcW w:w="100" w:type="dxa"/>
            <w:vAlign w:val="bottom"/>
            <w:tcBorders>
              <w:top w:val="single" w:sz="8" w:color="CFF0FC"/>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jc w:val="right"/>
              <w:ind w:right="41"/>
              <w:spacing w:after="0" w:line="203" w:lineRule="exact"/>
              <w:rPr>
                <w:sz w:val="20"/>
                <w:szCs w:val="20"/>
                <w:color w:val="auto"/>
              </w:rPr>
            </w:pPr>
            <w:r>
              <w:rPr>
                <w:rFonts w:ascii="Times New Roman" w:cs="Times New Roman" w:eastAsia="Times New Roman" w:hAnsi="Times New Roman"/>
                <w:sz w:val="18"/>
                <w:szCs w:val="18"/>
                <w:b w:val="1"/>
                <w:bCs w:val="1"/>
                <w:color w:val="auto"/>
              </w:rPr>
              <w:t>7.38</w:t>
            </w:r>
          </w:p>
        </w:tc>
        <w:tc>
          <w:tcPr>
            <w:tcW w:w="100" w:type="dxa"/>
            <w:vAlign w:val="bottom"/>
            <w:tcBorders>
              <w:top w:val="single" w:sz="8" w:color="CFF0FC"/>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jc w:val="right"/>
              <w:ind w:right="20"/>
              <w:spacing w:after="0" w:line="203" w:lineRule="exact"/>
              <w:rPr>
                <w:sz w:val="20"/>
                <w:szCs w:val="20"/>
                <w:color w:val="auto"/>
              </w:rPr>
            </w:pPr>
            <w:r>
              <w:rPr>
                <w:rFonts w:ascii="Times New Roman" w:cs="Times New Roman" w:eastAsia="Times New Roman" w:hAnsi="Times New Roman"/>
                <w:sz w:val="18"/>
                <w:szCs w:val="18"/>
                <w:b w:val="1"/>
                <w:bCs w:val="1"/>
                <w:color w:val="auto"/>
              </w:rPr>
              <w:t>54,842</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83,025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22.02</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(232,777)</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(50,649)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13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3,935,100</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9.24</w:t>
            </w:r>
          </w:p>
        </w:tc>
        <w:tc>
          <w:tcPr>
            <w:tcW w:w="10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7.29</w:t>
            </w:r>
          </w:p>
        </w:tc>
        <w:tc>
          <w:tcPr>
            <w:tcW w:w="10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36,509</w:t>
            </w:r>
          </w:p>
        </w:tc>
        <w:tc>
          <w:tcPr>
            <w:tcW w:w="0" w:type="dxa"/>
            <w:vAlign w:val="bottom"/>
          </w:tcPr>
          <w:p>
            <w:pPr>
              <w:spacing w:after="0"/>
              <w:rPr>
                <w:sz w:val="1"/>
                <w:szCs w:val="1"/>
                <w:color w:val="auto"/>
              </w:rPr>
            </w:pPr>
          </w:p>
        </w:tc>
      </w:tr>
      <w:tr>
        <w:trPr>
          <w:trHeight w:val="210"/>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Options vested and expected to vest as of March 31, 2026</w:t>
            </w: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3,935,100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9.24</w:t>
            </w:r>
          </w:p>
        </w:tc>
        <w:tc>
          <w:tcPr>
            <w:tcW w:w="13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7.29</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36,509</w:t>
            </w:r>
          </w:p>
        </w:tc>
        <w:tc>
          <w:tcPr>
            <w:tcW w:w="0" w:type="dxa"/>
            <w:vAlign w:val="bottom"/>
          </w:tcPr>
          <w:p>
            <w:pPr>
              <w:spacing w:after="0"/>
              <w:rPr>
                <w:sz w:val="1"/>
                <w:szCs w:val="1"/>
                <w:color w:val="auto"/>
              </w:rPr>
            </w:pPr>
          </w:p>
        </w:tc>
      </w:tr>
      <w:tr>
        <w:trPr>
          <w:trHeight w:val="216"/>
        </w:trPr>
        <w:tc>
          <w:tcPr>
            <w:tcW w:w="5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exercisable at March 31, 2026</w:t>
            </w:r>
          </w:p>
        </w:tc>
        <w:tc>
          <w:tcPr>
            <w:tcW w:w="13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2,460,544</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28,651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-985520</wp:posOffset>
            </wp:positionV>
            <wp:extent cx="939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-985520</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-290830</wp:posOffset>
            </wp:positionV>
            <wp:extent cx="939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-290830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-290830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-8255</wp:posOffset>
            </wp:positionV>
            <wp:extent cx="939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-8255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-8255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weighted-average grant-date fair value of options granted during the three months ended March 31, 2026 and 2025 was $13.31 and $13.76 per share, respectively. The aggregate intrinsic value of options exercised during the three months ended March 31, 2026 and 2025 was $3.5 million and $0.6 million, respectively.</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Restricted Stock Unit activity under the plans is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72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93"/>
        </w:trPr>
        <w:tc>
          <w:tcPr>
            <w:tcW w:w="7680" w:type="dxa"/>
            <w:vAlign w:val="bottom"/>
          </w:tcPr>
          <w:p>
            <w:pPr>
              <w:spacing w:after="0"/>
              <w:rPr>
                <w:sz w:val="16"/>
                <w:szCs w:val="16"/>
                <w:color w:val="auto"/>
              </w:rPr>
            </w:pPr>
          </w:p>
        </w:tc>
        <w:tc>
          <w:tcPr>
            <w:tcW w:w="1720" w:type="dxa"/>
            <w:vAlign w:val="bottom"/>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203"/>
        </w:trPr>
        <w:tc>
          <w:tcPr>
            <w:tcW w:w="7680" w:type="dxa"/>
            <w:vAlign w:val="bottom"/>
            <w:tcBorders>
              <w:top w:val="single" w:sz="8" w:color="CFF0FC"/>
            </w:tcBorders>
            <w:shd w:val="clear" w:color="auto" w:fill="CFF0FC"/>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Unvested at December 31, 2025</w:t>
            </w:r>
          </w:p>
        </w:tc>
        <w:tc>
          <w:tcPr>
            <w:tcW w:w="1720" w:type="dxa"/>
            <w:vAlign w:val="bottom"/>
            <w:tcBorders>
              <w:top w:val="single" w:sz="8" w:color="auto"/>
            </w:tcBorders>
            <w:shd w:val="clear" w:color="auto" w:fill="CFF0FC"/>
          </w:tcPr>
          <w:p>
            <w:pPr>
              <w:jc w:val="right"/>
              <w:ind w:right="35"/>
              <w:spacing w:after="0" w:line="203" w:lineRule="exact"/>
              <w:rPr>
                <w:sz w:val="20"/>
                <w:szCs w:val="20"/>
                <w:color w:val="auto"/>
              </w:rPr>
            </w:pPr>
            <w:r>
              <w:rPr>
                <w:rFonts w:ascii="Times New Roman" w:cs="Times New Roman" w:eastAsia="Times New Roman" w:hAnsi="Times New Roman"/>
                <w:sz w:val="18"/>
                <w:szCs w:val="18"/>
                <w:b w:val="1"/>
                <w:bCs w:val="1"/>
                <w:color w:val="auto"/>
              </w:rPr>
              <w:t>1,561,534</w:t>
            </w:r>
          </w:p>
        </w:tc>
        <w:tc>
          <w:tcPr>
            <w:tcW w:w="300" w:type="dxa"/>
            <w:vAlign w:val="bottom"/>
            <w:tcBorders>
              <w:top w:val="single" w:sz="8" w:color="CFF0FC"/>
            </w:tcBorders>
            <w:gridSpan w:val="2"/>
            <w:shd w:val="clear" w:color="auto" w:fill="CFF0FC"/>
          </w:tcPr>
          <w:p>
            <w:pPr>
              <w:jc w:val="right"/>
              <w:ind w:right="4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top w:val="single" w:sz="8" w:color="CFF0FC"/>
            </w:tcBorders>
            <w:shd w:val="clear" w:color="auto" w:fill="CFF0FC"/>
          </w:tcPr>
          <w:p>
            <w:pPr>
              <w:jc w:val="right"/>
              <w:ind w:right="35"/>
              <w:spacing w:after="0" w:line="203" w:lineRule="exact"/>
              <w:rPr>
                <w:sz w:val="20"/>
                <w:szCs w:val="20"/>
                <w:color w:val="auto"/>
              </w:rPr>
            </w:pPr>
            <w:r>
              <w:rPr>
                <w:rFonts w:ascii="Times New Roman" w:cs="Times New Roman" w:eastAsia="Times New Roman" w:hAnsi="Times New Roman"/>
                <w:sz w:val="18"/>
                <w:szCs w:val="18"/>
                <w:b w:val="1"/>
                <w:bCs w:val="1"/>
                <w:color w:val="auto"/>
              </w:rPr>
              <w:t>17.94</w:t>
            </w: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7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241,448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21.42</w:t>
            </w: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(96,073)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19.98</w:t>
            </w: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(58,887)</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17.67</w:t>
            </w:r>
          </w:p>
        </w:tc>
      </w:tr>
      <w:tr>
        <w:trPr>
          <w:trHeight w:val="20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Unvested at March 31, 2026</w:t>
            </w:r>
          </w:p>
        </w:tc>
        <w:tc>
          <w:tcPr>
            <w:tcW w:w="17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1,648,022</w:t>
            </w: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18.31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-702310</wp:posOffset>
            </wp:positionV>
            <wp:extent cx="1111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8" w:lineRule="exact"/>
        <w:rPr>
          <w:sz w:val="20"/>
          <w:szCs w:val="20"/>
          <w:color w:val="auto"/>
        </w:rPr>
      </w:pPr>
    </w:p>
    <w:p>
      <w:pPr>
        <w:jc w:val="center"/>
        <w:ind w:right="20"/>
        <w:spacing w:after="0" w:line="407" w:lineRule="auto"/>
        <w:rPr>
          <w:sz w:val="20"/>
          <w:szCs w:val="20"/>
          <w:color w:val="auto"/>
        </w:rPr>
      </w:pPr>
      <w:r>
        <w:rPr>
          <w:rFonts w:ascii="Times New Roman" w:cs="Times New Roman" w:eastAsia="Times New Roman" w:hAnsi="Times New Roman"/>
          <w:sz w:val="18"/>
          <w:szCs w:val="18"/>
          <w:color w:val="auto"/>
        </w:rPr>
        <w:t>The total fair value of shares vested during the three months ended March 31, 2026 and 2025 was $1.9 million and $0.3 million, respectively.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March 31, 2026, the aggregate unrecognized compensation costs related to outstanding unvested options and RSUs under the 2014 Plan, 2024 EIP, and 2024 Plan was $38.1 million. The Company expects to recognize those costs over a weighted average period of 3.0 years.</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fair value of RSUs is based on the Company’s closing stock price on the date of grant. The fair value of service-based stock options and RSUs are amortized on a straight-line basis over the requisite service period of the awards.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fair value of employee stock options granted was estimated using the following weighted-average assumptions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and 2025: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3"/>
                <w:szCs w:val="13"/>
                <w:color w:val="auto"/>
              </w:rPr>
            </w:pPr>
          </w:p>
        </w:tc>
        <w:tc>
          <w:tcPr>
            <w:tcW w:w="3040" w:type="dxa"/>
            <w:vAlign w:val="bottom"/>
            <w:gridSpan w:val="4"/>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20" w:type="dxa"/>
            <w:vAlign w:val="bottom"/>
          </w:tcPr>
          <w:p>
            <w:pPr>
              <w:spacing w:after="0"/>
              <w:rPr>
                <w:sz w:val="13"/>
                <w:szCs w:val="13"/>
                <w:color w:val="auto"/>
              </w:rPr>
            </w:pPr>
          </w:p>
        </w:tc>
      </w:tr>
      <w:tr>
        <w:trPr>
          <w:trHeight w:val="173"/>
        </w:trPr>
        <w:tc>
          <w:tcPr>
            <w:tcW w:w="748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spacing w:after="0"/>
              <w:rPr>
                <w:sz w:val="15"/>
                <w:szCs w:val="15"/>
                <w:color w:val="auto"/>
              </w:rPr>
            </w:pPr>
          </w:p>
        </w:tc>
      </w:tr>
      <w:tr>
        <w:trPr>
          <w:trHeight w:val="209"/>
        </w:trPr>
        <w:tc>
          <w:tcPr>
            <w:tcW w:w="8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74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71.0%</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63.4%</w:t>
            </w:r>
          </w:p>
        </w:tc>
      </w:tr>
      <w:tr>
        <w:trPr>
          <w:trHeight w:val="216"/>
        </w:trPr>
        <w:tc>
          <w:tcPr>
            <w:tcW w:w="8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7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4.5%</w:t>
            </w:r>
          </w:p>
        </w:tc>
      </w:tr>
      <w:tr>
        <w:trPr>
          <w:trHeight w:val="23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960" w:type="dxa"/>
            <w:vAlign w:val="bottom"/>
            <w:gridSpan w:val="3"/>
          </w:tcPr>
          <w:p>
            <w:pPr>
              <w:jc w:val="right"/>
              <w:ind w:right="150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r>
    </w:tbl>
    <w:p>
      <w:pPr>
        <w:spacing w:after="0" w:line="24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expected term is based on an average of the midpoint of the requisite service period and the contractual term, and the historical exercise behavior. The expected stock price volatility assumption was determined by examining the historical volatilities for industry peers, as well as the Company's historical volatility. The Company will continue to analyze the historical stock price volatility and expected term assumptions as more historical data for the Company’s common stock becomes available. The risk-free interest rate assumption is based on the U.S. Treasury instruments whose term was consistent with the expected term of the Company’s stock options. The expected dividend assumption is based on the Company’s history and expectation of no dividend payouts.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total stock-based compensation expense was as follows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900" w:type="dxa"/>
            <w:vAlign w:val="bottom"/>
            <w:gridSpan w:val="4"/>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00" w:type="dxa"/>
            <w:vAlign w:val="bottom"/>
          </w:tcPr>
          <w:p>
            <w:pPr>
              <w:spacing w:after="0"/>
              <w:rPr>
                <w:sz w:val="13"/>
                <w:szCs w:val="13"/>
                <w:color w:val="auto"/>
              </w:rPr>
            </w:pPr>
          </w:p>
        </w:tc>
      </w:tr>
      <w:tr>
        <w:trPr>
          <w:trHeight w:val="173"/>
        </w:trPr>
        <w:tc>
          <w:tcPr>
            <w:tcW w:w="53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7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spacing w:after="0"/>
              <w:rPr>
                <w:sz w:val="15"/>
                <w:szCs w:val="15"/>
                <w:color w:val="auto"/>
              </w:rPr>
            </w:pPr>
          </w:p>
        </w:tc>
      </w:tr>
      <w:tr>
        <w:trPr>
          <w:trHeight w:val="21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26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148</w:t>
            </w:r>
          </w:p>
        </w:tc>
        <w:tc>
          <w:tcPr>
            <w:tcW w:w="118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700</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373</w:t>
            </w:r>
          </w:p>
        </w:tc>
      </w:tr>
      <w:tr>
        <w:trPr>
          <w:trHeight w:val="216"/>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98"/>
              </w:rPr>
              <w:t>1,510</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777</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98"/>
              </w:rPr>
              <w:t>1,365</w:t>
            </w:r>
          </w:p>
        </w:tc>
        <w:tc>
          <w:tcPr>
            <w:tcW w:w="1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93"/>
              </w:rPr>
              <w:t>1,173</w:t>
            </w:r>
          </w:p>
        </w:tc>
      </w:tr>
      <w:tr>
        <w:trPr>
          <w:trHeight w:val="21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stock-based compensation expense</w:t>
            </w:r>
          </w:p>
        </w:tc>
        <w:tc>
          <w:tcPr>
            <w:tcW w:w="326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8"/>
              </w:rPr>
              <w:t>3,723</w:t>
            </w:r>
          </w:p>
        </w:tc>
        <w:tc>
          <w:tcPr>
            <w:tcW w:w="118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3"/>
              </w:rPr>
              <w:t>2,348</w:t>
            </w:r>
          </w:p>
        </w:tc>
      </w:tr>
    </w:tbl>
    <w:p>
      <w:pPr>
        <w:spacing w:after="0" w:line="23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Stock-based compensation expense does not include the impact of estimated forfeitures. Forfeitures are taken as a reduction in expense in the period in which they occur. No compensation cost is recorded for awards that do not vest. Option awards included performance-based awards which are subject to the achievement of performance goals. For options subject to performance goals, the Company recognizes expense when it is probable that the performance condition will be achieved. These performance-based awards represent 27,236 and 40,854 of option awards outstanding as of March 31, 2026 and December 31, 2025, respectively and stock-based compensation related to performance-based awards was not material. Total stock-based compensation expense includes non-employee stock-based compensation of $0.3 million and $0.4 million for the three months ended March 31, 2026 and 2025,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310"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In February 2025, the Company adopted the Employee Stock Purchase Plan (the “ESPP”). The Company allows eligible employees to purchase shares of the Company's common stock through payroll deductions at a price equal to 85% of the lesser of the fair market value of the stock as of the first date or the ending date of each offering period, which is typically six months. In January 2026, the number of shares of common stock available for issuance under the ESPP was increased by 374,848 shares as a result of the automatic increase provision in the ESPP.</w:t>
      </w:r>
    </w:p>
    <w:p>
      <w:pPr>
        <w:spacing w:after="0" w:line="247" w:lineRule="exact"/>
        <w:rPr>
          <w:sz w:val="20"/>
          <w:szCs w:val="20"/>
          <w:color w:val="auto"/>
        </w:rPr>
      </w:pPr>
    </w:p>
    <w:p>
      <w:pPr>
        <w:jc w:val="both"/>
        <w:ind w:right="320" w:firstLine="509"/>
        <w:spacing w:after="0" w:line="266" w:lineRule="auto"/>
        <w:rPr>
          <w:sz w:val="20"/>
          <w:szCs w:val="20"/>
          <w:color w:val="auto"/>
        </w:rPr>
      </w:pPr>
      <w:r>
        <w:rPr>
          <w:rFonts w:ascii="Times New Roman" w:cs="Times New Roman" w:eastAsia="Times New Roman" w:hAnsi="Times New Roman"/>
          <w:sz w:val="18"/>
          <w:szCs w:val="18"/>
          <w:color w:val="auto"/>
        </w:rPr>
        <w:t>As of March 31, 2026, 1,101,668 shares under the ESPP remain available for purchase. The offering period and purchase period is determined by the board of directors. Stock-based compensation related to the ESPP was not material and is included in the Company’s total stock-based compensation expense table above.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attributable to common stockholders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Basic net loss per share attributable to the Company’s common stockholders is computed by dividing the net loss attributable to the Company’s common stockholders by the weighted-average number of shares of common stock outstanding during the period. Diluted net loss per share is the same as basic net loss per share for all periods presented because the effects of potentially dilutive items were anti-dilutive given the Company’s net loss position in each period presented.</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net loss per share (in thousands, except per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780" w:type="dxa"/>
            <w:vAlign w:val="bottom"/>
            <w:gridSpan w:val="4"/>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20" w:type="dxa"/>
            <w:vAlign w:val="bottom"/>
          </w:tcPr>
          <w:p>
            <w:pPr>
              <w:spacing w:after="0"/>
              <w:rPr>
                <w:sz w:val="13"/>
                <w:szCs w:val="13"/>
                <w:color w:val="auto"/>
              </w:rPr>
            </w:pPr>
          </w:p>
        </w:tc>
      </w:tr>
      <w:tr>
        <w:trPr>
          <w:trHeight w:val="173"/>
        </w:trPr>
        <w:tc>
          <w:tcPr>
            <w:tcW w:w="58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spacing w:after="0"/>
              <w:rPr>
                <w:sz w:val="15"/>
                <w:szCs w:val="15"/>
                <w:color w:val="auto"/>
              </w:rPr>
            </w:pPr>
          </w:p>
        </w:tc>
      </w:tr>
      <w:tr>
        <w:trPr>
          <w:trHeight w:val="210"/>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82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(19,737)</w:t>
            </w:r>
          </w:p>
        </w:tc>
        <w:tc>
          <w:tcPr>
            <w:tcW w:w="112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(12,777)</w:t>
            </w: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outstanding, basic and diluted</w:t>
            </w:r>
          </w:p>
        </w:tc>
        <w:tc>
          <w:tcPr>
            <w:tcW w:w="1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37,663</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35,881</w:t>
            </w:r>
          </w:p>
        </w:tc>
      </w:tr>
      <w:tr>
        <w:trPr>
          <w:trHeight w:val="21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 per share, basic and diluted</w:t>
            </w:r>
          </w:p>
        </w:tc>
        <w:tc>
          <w:tcPr>
            <w:tcW w:w="282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(0.52)</w:t>
            </w:r>
          </w:p>
        </w:tc>
        <w:tc>
          <w:tcPr>
            <w:tcW w:w="112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(0.36)</w:t>
            </w:r>
          </w:p>
        </w:tc>
      </w:tr>
    </w:tbl>
    <w:p>
      <w:pPr>
        <w:spacing w:after="0" w:line="19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outstanding have been excluded from the computations of weighted-average shares outstanding because such securities have an antidilutive impact due to losses reported (in common stock equivalent shares,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2920" w:type="dxa"/>
            <w:vAlign w:val="bottom"/>
            <w:gridSpan w:val="4"/>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Pr>
          <w:p>
            <w:pPr>
              <w:spacing w:after="0"/>
              <w:rPr>
                <w:sz w:val="13"/>
                <w:szCs w:val="13"/>
                <w:color w:val="auto"/>
              </w:rPr>
            </w:pPr>
          </w:p>
        </w:tc>
      </w:tr>
      <w:tr>
        <w:trPr>
          <w:trHeight w:val="173"/>
        </w:trPr>
        <w:tc>
          <w:tcPr>
            <w:tcW w:w="7680" w:type="dxa"/>
            <w:vAlign w:val="bottom"/>
          </w:tcPr>
          <w:p>
            <w:pPr>
              <w:spacing w:after="0"/>
              <w:rPr>
                <w:sz w:val="15"/>
                <w:szCs w:val="15"/>
                <w:color w:val="auto"/>
              </w:rPr>
            </w:pPr>
          </w:p>
        </w:tc>
        <w:tc>
          <w:tcPr>
            <w:tcW w:w="10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5"/>
                <w:szCs w:val="15"/>
                <w:color w:val="auto"/>
              </w:rPr>
            </w:pPr>
          </w:p>
        </w:tc>
      </w:tr>
      <w:tr>
        <w:trPr>
          <w:trHeight w:val="209"/>
        </w:trPr>
        <w:tc>
          <w:tcPr>
            <w:tcW w:w="8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w:t>
            </w: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plan stock options outstanding</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3,935</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5,406</w:t>
            </w:r>
          </w:p>
        </w:tc>
      </w:tr>
      <w:tr>
        <w:trPr>
          <w:trHeight w:val="216"/>
        </w:trPr>
        <w:tc>
          <w:tcPr>
            <w:tcW w:w="8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1,648</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525</w:t>
            </w: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Shares committed under ESPP</w:t>
            </w:r>
          </w:p>
        </w:tc>
        <w:tc>
          <w:tcPr>
            <w:tcW w:w="10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r>
      <w:tr>
        <w:trPr>
          <w:trHeight w:val="209"/>
        </w:trPr>
        <w:tc>
          <w:tcPr>
            <w:tcW w:w="8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5,724</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6,055</w:t>
            </w:r>
          </w:p>
        </w:tc>
      </w:tr>
    </w:tbl>
    <w:p>
      <w:pPr>
        <w:spacing w:after="0" w:line="342"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had an effective tax rate of 0.0% for both of the three months ended March 31, 2026 and 2025. The Company continues to incur operating losses.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evaluated all available evidence, both positive and negative, including historical levels of income, expectations and risks associated with estimates of future taxable income and determined that it is more likely than not that its net deferred tax assets will not be realized. Due to uncertainties surrounding the realization of the deferred tax assets, the Company continues to maintain a full valuation allowance against its net deferred tax assets.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financial statements and related notes included elsewhere in this Quarterly Report on Form 10-Q and our audited financial statements and the related notes and the discussion under the heading “Management’s Discussion and Analysis of Financial Condition and Results of Operations” for the year ended December 31, 2025 included in our Annual Report on Form 10-K. In addition to historical financial information, the following discussion contains forward-looking statements that reflect our plans, estimates, and beliefs that involve significant risks and uncertainties. Our actual results could differ materially from those discussed in the forward-looking statements. Factors that could cause or contribute to those differences include those discussed below and elsewhere in this Quarterly Report on Form 10-Q, particularly in “Risk Factors” and “Special Note Regarding Forward-Looking Statements.”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a medical technology company focused on transforming the diagnosis and management of patients with serious neurological conditions. We have developed the Ceribell System, a novel, point-of-care EEG platform specifically designed to address the unmet needs of patients in the acute care setting. By combining proprietary, highly portable, and rapidly deployable hardware with sophisticated artificial intelligence (“AI”)-powered algorithms, the Ceribell System enables rapid diagnosis and continuous monitoring of patients with neurological conditions. We initially focused on becoming the standard of care for the detection and management of seizures in the acute care setting, where the technological and operational limitations of conventional EEG systems have contributed to significant delays in seizure and delirium diagnosis and suboptimal patient care and clinical outcomes, as well as a high economic burden for hospitals and the healthcare system. By making EEG more accessible and enabling continuous monitoring through the power of AI, the Ceribell System enables clinicians to more rapidly and accurately diagnose and manage patients at risk of seizure and delirium in the acute care setting, resulting in improved patient outcomes and hospital and payer economics. As of March 31, 2026, the Ceribell System has been adopted by more than 650 hospitals, ranging from top academic centers to small community hospitals. For information regarding how patient care and clinical outcomes are measured, see “Business—Market Overview—Challenges of Managing Seizures in the Acute Care Setting” included in our Annual Report on Form 10-K filed with the Securities and Exchange Commission (“SEC”) on February 24, 2026.</w:t>
      </w:r>
    </w:p>
    <w:p>
      <w:pPr>
        <w:spacing w:after="0" w:line="19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specifically designed the Ceribell System to address the limitations of conventional EEG in the acute care setting and dramatically improve clinical outcomes of critically ill patients at high risk of seizures. The Ceribell System integrates proprietary, highly portable hardware with AI-powered algorithms to aid in the detection and management of seizures. Our hardware is composed of disposable, flexible headbands and headcaps (“Wearables”) and a pocket-sized, rechargeable battery-operated recorder used to capture and wirelessly transmit EEG signals. The hardware is simple to use and, after approximately one hour of training, can be applied within minutes by any non-specialized healthcare professional. The recorder is integrated with a proprietary web-based portal that allows neurologists to remotely access EEG data in real time from any web-enabled device. EEG data captured by the recorder is interpreted by our proprietary AI-powered seizure detection algorithms, which continuously monitor the patient’s EEG signal and can support the clinician’s real-time assessment of seizure activity and delirium.</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currently focused on becoming the standard of care for the detection and management of seizures in the acute care setting. In May 2023, Clarity® became the first device to receive 510(k) clearance from the U.S. Food and Drug Administration (“FDA”) for diagnosing electrographic status epilepticus. In December 2025, the FDA granted 510(k) clearance for Ceribell’s proprietary delirium monitoring solution, the first and only FDA cleared delirium screening and monitoring device.</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There are approximately 6,000 acute care facilities in the United States that we believe could benefit from the Ceribell system. We intend to expand the size of our direct sales organization in the United States to support our efforts to drive further adoption and utilization of the Ceribell System. While our current commercial focus is on the United States, we have received a CE Mark for the Ceribell System in Europe, and we intend to pursue additional regulatory clearances in Europe and elsewhere outside of the United States in the future.</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manage all aspects of manufacturing, supply chain, and distribution of the Wearables and recorder from our facilities in Sunnyvale, California. Contract manufacturers in China and Vietnam assemble the headbands, with final inspection and labeling completed at our California facilities. We have dual sources for major components of the Wearables. The components for our recorder are procured from various suppliers and shipped to our facilities for final testing and assembly.</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Since our inception, we have devoted substantially all of our resources to organizing and staffing our company, research and development activities, obtaining FDA clearances and other regulatory milestones, business planning, raising capital, establishing and maintaining our intellectual property portfolio, conducting direct sales efforts and marketing initiatives, conducting clinical studies, and providing general and administrative support for these operations.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of March 31, 2026, we had an accumulated deficit of $240.1 million. To date, we have funded our operations primarily through proceeds from the sale of shares of our stock, including common stock and redeemable convertible preferred stock, term loan proceeds, and cash generated from the sale of Wearables and subscriptions. As of March 31, 2026, we had $141.2 million in cash, cash equivalents, and marketable securities. Based on our current operating plan, we believe that the net proceeds from our IPO, together with the expected cash generated from revenue transactions with customers and our existing cash and cash equivalents, will be sufficient to fund our planned operating expenses and capital expenditure requirements for at least the next 12 months. We have based this estimate on assumptions that may prove to be wrong, and we could deplete our capital resources sooner than we expect. We may experience lower than expected cash generated from operating activities or greater than expected capital expenditures, cost of revenue, or operating expenses, and may need to raise additional capital to fund operations, further research and development activities, or acquire, invest in, or in-license other businesses, assets, or technologies.</w:t>
      </w:r>
    </w:p>
    <w:p>
      <w:pPr>
        <w:spacing w:after="0" w:line="18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have incurred operating losses since the commencement of our operations and we expect to continue to incur losses as we grow and continue the transition to operating as a public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Model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Results of Operations and Performance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believe there are several important factors that have impacted and that we expect will impact our operating performance and results of operations for the foreseeable future. These factors include:</w:t>
      </w:r>
    </w:p>
    <w:p>
      <w:pPr>
        <w:spacing w:after="0" w:line="50" w:lineRule="exact"/>
        <w:rPr>
          <w:sz w:val="20"/>
          <w:szCs w:val="20"/>
          <w:color w:val="auto"/>
        </w:rPr>
      </w:pPr>
    </w:p>
    <w:p>
      <w:pPr>
        <w:jc w:val="both"/>
        <w:ind w:left="1020" w:hanging="503"/>
        <w:spacing w:after="0" w:line="254"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Adoption of the Ceribell System by new accounts. </w:t>
      </w:r>
      <w:r>
        <w:rPr>
          <w:rFonts w:ascii="Times New Roman" w:cs="Times New Roman" w:eastAsia="Times New Roman" w:hAnsi="Times New Roman"/>
          <w:sz w:val="18"/>
          <w:szCs w:val="18"/>
          <w:color w:val="auto"/>
        </w:rPr>
        <w:t>There are approximately 6,000 acute care facilities with an Intensive Care Unit (“ICU”)</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Emergency Department (“ED”) or both in the United States that we believe could benefit from the Ceribell System because the patients arriving at such facilities may experience seizures or delirium triggered by the conditions leading them to seek acute medical care. As of March 31, 2026, we have successfully deployed the Ceribell System to more than 650 hospitals, ranging from top academic centers to small community hospitals. We believe that all acute care facilities in the United States can benefit from the Ceribell System, and our goal is to establish the Ceribell System as the standard of care for the detection and management of seizures in critically ill patients. To drive further adoption of the Ceribell System, we leverage our commercial infrastructure including Territory Managers (“TMs”), who focus on new account acquisition and onboarding, and Clinical Account Managers (“CAMs”), who focus on ongoing account coverage to increase utilization and further support hospital onboarding. Our commercial team engages with customers to communicate the value proposition of the Ceribell System, leveraging our large base of clinical evidence.</w:t>
      </w:r>
    </w:p>
    <w:p>
      <w:pPr>
        <w:spacing w:after="0" w:line="77" w:lineRule="exact"/>
        <w:rPr>
          <w:rFonts w:ascii="Times New Roman" w:cs="Times New Roman" w:eastAsia="Times New Roman" w:hAnsi="Times New Roman"/>
          <w:sz w:val="18"/>
          <w:szCs w:val="18"/>
          <w:color w:val="auto"/>
        </w:rPr>
      </w:pPr>
    </w:p>
    <w:p>
      <w:pPr>
        <w:jc w:val="both"/>
        <w:ind w:left="1020" w:hanging="503"/>
        <w:spacing w:after="0" w:line="25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Utilization of the Ceribell System within our existing customer base. </w:t>
      </w:r>
      <w:r>
        <w:rPr>
          <w:rFonts w:ascii="Times New Roman" w:cs="Times New Roman" w:eastAsia="Times New Roman" w:hAnsi="Times New Roman"/>
          <w:sz w:val="18"/>
          <w:szCs w:val="18"/>
          <w:color w:val="auto"/>
        </w:rPr>
        <w:t>We believe there are over three million acute care patients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United States who should be monitored with EEG each year due to high risk of seizures. Currently, many of these patients are not promptly monitored by EEG, as a physician may not be aware of the risk of seizures in a given patient population. Our CAMs work to educate our customers to raise awareness of our technology, non-convulsive seizures, and the risks of delayed treatment. Even at facilities with access to the Ceribell System, clinicians may not use Ceribell on all eligible patients if they are not fully aware of the risks of seizures and the benefits of our solution. We aim to support hospitals in their efforts to integrate Ceribell into protocols for different patient populations, based on established guidelines. We are also continuing our efforts to expand to new hospital departments and provide training to more providers.</w:t>
      </w:r>
    </w:p>
    <w:p>
      <w:pPr>
        <w:spacing w:after="0" w:line="74" w:lineRule="exact"/>
        <w:rPr>
          <w:rFonts w:ascii="Times New Roman" w:cs="Times New Roman" w:eastAsia="Times New Roman" w:hAnsi="Times New Roman"/>
          <w:sz w:val="18"/>
          <w:szCs w:val="18"/>
          <w:color w:val="auto"/>
        </w:rPr>
      </w:pPr>
    </w:p>
    <w:p>
      <w:pPr>
        <w:jc w:val="both"/>
        <w:ind w:left="1020" w:hanging="503"/>
        <w:spacing w:after="0" w:line="26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Investment in research and development to drive innovation and expand our addressable market. </w:t>
      </w:r>
      <w:r>
        <w:rPr>
          <w:rFonts w:ascii="Times New Roman" w:cs="Times New Roman" w:eastAsia="Times New Roman" w:hAnsi="Times New Roman"/>
          <w:sz w:val="18"/>
          <w:szCs w:val="18"/>
          <w:color w:val="auto"/>
        </w:rPr>
        <w:t>Our research and development initiatives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focused on introducing enhancements, features, and improvements aimed at increasing the value provided by the Ceribell System for diagnosing and monitoring seizures and delirium in the acute care setting. We believe the platform nature of the Ceribell System will enable us to efficiently deploy it for use in other serious neurological conditions beyond seizures and delirium to additional indications.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generate revenue from two recurring sources. Product revenue is generated by the sale of our disposable Wearables that are intended for single patient use. Subscription revenue is generated by monthly subscription fees charged to our hospital customers for use of Clarity, recorders, and our portal. Revenue from sales of Wearables is recognized at a point in time upon transfer of control of the product. We generally recognize subscription revenue ratably over the related contractual term beginning on the date that the Ceribell System is made available to a customer. Our revenue fluctuates primarily based on the number of active accounts and the volume of Wearable usage.</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expect that our revenue will continue to fluctuate quarter-to-quarter due to a variety of factors, including the potential success of our sales force in extending adoption of the Ceribell System to new accounts and expanding the utilization of the Ceribell System in existing accounts. For purposes of managing our business, we do not separately track increases in revenue solely attributable to new accounts. We may experience fluctuations in the number of Wearables used by our customers based on seasonal factors that impact the number of patients in the acute care setting. For example, the number of patients in the intensive care unit is typically lower during the summer months.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Cost of revenue consists primarily of the cost of materials and labor to manufacture Wearables and depreciation of the manufacturing cost of recorders, as well as third-party hosting fees and personnel-related expenses for our subscription cost of revenue. Cost of revenue also includes expenses related to manufacturing overhead comprising compensation for personnel, manufacturing supervision, facilities, utilities, quality assurance, property tax, and certain direct costs such as tariffs and shipping costs. As we acquire new customers and existing customers increase their use of our product and software, we expect that our cost of revenue will continue to increase.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Gross profit, or revenue less cost of revenue, and gross margin, or gross profit as a percentage of revenue, have been and will continue to be affected by various factors that may cause gross margins to fluctuate. These include the product mix between product and subscription revenues, potential changes to sales prices, the timing of our acquisition of new customers, renewals of and follow-on sales to existing customers, costs associated with third-party hosting fees, costs associated with third party manufacturing and supply chain purchases of inventory, and other direct costs such as tariffs and shipping. Our gross margin may fluctuate from period to period, based upon the factors described above and in the section titled “Risk Factors” included elsewhere in this Quarterly Report on Form 10-Q.</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Research and development expenses are incurred in connection with the advancement of the Ceribell System with the goal to improve and expand on the existing Ceribell System and indications. Research and development expenses consist primarily of engineering, product development, regulatory activities, consulting services, materials, depreciation, and other costs associated with products and technologies being developed. These expenses include employee and non-employee compensation, including benefits, stock-based compensation, supplies, materials, consulting, related travel expenses, and facilities expenses. Our research and development team includes clinical study experts as well as hardware and software engineers with deep expertise in mechanical and electrical engineering, data science, AI, embedded software design, and cloud-based data and security architecture. We invest in research and development efforts with the goal of driving continuous improvements in our current system and solutions and expanding the clinical application of the Ceribell System and AI algorithms, in the acute care setting and beyond. Research and development expenses are recognized as incurred and payments made prior to the receipt of goods or services to be used in research and development are capitalized and are recognized as expense as the goods are delivered or as related services are performed.</w:t>
      </w:r>
    </w:p>
    <w:p>
      <w:pPr>
        <w:spacing w:after="0" w:line="19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record research and development expenses in the periods in which they are incurred. Costs for certain activities, such as clinical studies and clinical trials, are generally recognized based on an evaluation of the progress to completion of specific tasks using information and data provided to us by our vendors and collaborators.</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as we continue to improve and optimize our products, leverage our platform to expand indications, and develop products for use beyond the acute care setting.</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Sales and marketing expenses consist primarily of employee-related costs, including salaries, commissions, bonuses, benefits, travel, and stock-based compensation as well as investments in marketing initiatives to increase market awareness of our technology and the prevalence of seizures and delirium in critically ill patient populations, including expenses related to travel, conferences, trade shows, and consulting services.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expect our sales and marketing expenses to increase for the foreseeable future as we continue to increase the size of our sales organization and market penetration in the United States, expand indications, and potentially establish an international presence by pursuing marketing authorizations and engaging in other market access initiatives in international regions in which we see significant potential opportunity.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expenses, including salaries, benefits, and stock-based compensation expense for personnel in executive, finance, accounting, commercial operations, legal, human resource, IT, and administrative functions. General and administrative expenses also include direct or allocated expenses for rent and maintenance of facilities and insurance, not otherwise included in research and development expenses, sales and marketing expenses, or cost of revenue, as well as professional fees for legal, patent, and consulting services.</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increase in the foreseeable future as we increase our headcount to support the continued growth of our business. We also anticipate incurring additional expenses associated with operating as a public company, including increased expenses related to audit, legal, regulatory, compliance, director and officer insurance, investor and public relations, and tax-related services associated with maintaining compliance with the rules and regulations of the SEC and standards applicable to companies listed on a national securities exchange and intellectual property enforcement activities.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 (Expense), net</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Interest and other income (expense), net is primarily interest income on our cash, cash equivalents, and marketable securities. Interest expense primarily consists of interest on our term loans and a non-cash interest charge related to amortization of debt issuance costs.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To date, we have not recorded any U.S. federal or state income tax expense. We have recorded deferred tax assets for U.S. federal income taxes for which we provide a full valuation allowance. These deferred tax assets primarily include net operating loss carryforwards and we expect to maintain this full valuation allowance for the foreseeable future as it is not more likely than not the deferred tax assets will be realized based on our history of losses.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Months Ended March 31, 2026 and 2025</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presented (in thousands) and as a percentage of our revenue for those periods.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period-to-period comparison of financial results is not necessarily indicative of financial results to be achieved in future periods.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5"/>
                <w:szCs w:val="15"/>
                <w:color w:val="auto"/>
              </w:rPr>
            </w:pPr>
          </w:p>
        </w:tc>
        <w:tc>
          <w:tcPr>
            <w:tcW w:w="140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revenue</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20,190</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15,608</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4,582</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44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Subscription revenue</w:t>
            </w:r>
          </w:p>
        </w:tc>
        <w:tc>
          <w:tcPr>
            <w:tcW w:w="13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6,304</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4,883</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1,421</w:t>
            </w:r>
          </w:p>
        </w:tc>
        <w:tc>
          <w:tcPr>
            <w:tcW w:w="10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0"/>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26,494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20,491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6,003</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cost of goods sold</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3,068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2,360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708</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44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Subscription cost of revenue</w:t>
            </w:r>
          </w:p>
        </w:tc>
        <w:tc>
          <w:tcPr>
            <w:tcW w:w="13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304</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09"/>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cost of revenue</w:t>
            </w:r>
          </w:p>
        </w:tc>
        <w:tc>
          <w:tcPr>
            <w:tcW w:w="1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3,372</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2,484</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0"/>
        </w:trPr>
        <w:tc>
          <w:tcPr>
            <w:tcW w:w="44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23,122</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18,007</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5,115</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6,161</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4,246</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1,915</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4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22,390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18,033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4,357</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448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15,316</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9,935</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5,381</w:t>
            </w:r>
          </w:p>
        </w:tc>
        <w:tc>
          <w:tcPr>
            <w:tcW w:w="10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9"/>
        </w:trPr>
        <w:tc>
          <w:tcPr>
            <w:tcW w:w="44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43,867</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32,214</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11,653</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0" w:type="dxa"/>
            <w:vAlign w:val="bottom"/>
          </w:tcPr>
          <w:p>
            <w:pPr>
              <w:spacing w:after="0"/>
              <w:rPr>
                <w:sz w:val="1"/>
                <w:szCs w:val="1"/>
                <w:color w:val="auto"/>
              </w:rPr>
            </w:pPr>
          </w:p>
        </w:tc>
      </w:tr>
      <w:tr>
        <w:trPr>
          <w:trHeight w:val="209"/>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(20,745)</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(14,207)</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(6,538)</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1,008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0" w:type="dxa"/>
            <w:vAlign w:val="bottom"/>
          </w:tcPr>
          <w:p>
            <w:pPr>
              <w:spacing w:after="0"/>
              <w:rPr>
                <w:sz w:val="1"/>
                <w:szCs w:val="1"/>
                <w:color w:val="auto"/>
              </w:rPr>
            </w:pPr>
          </w:p>
        </w:tc>
      </w:tr>
      <w:tr>
        <w:trPr>
          <w:trHeight w:val="210"/>
        </w:trPr>
        <w:tc>
          <w:tcPr>
            <w:tcW w:w="4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b w:val="1"/>
                <w:bCs w:val="1"/>
                <w:color w:val="auto"/>
              </w:rPr>
              <w:t>Loss before provision for income taxes</w:t>
            </w: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(19,737)</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(12,777)</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(6,960)</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(19,737)</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(12,777)</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(6,960)</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-2528570</wp:posOffset>
            </wp:positionV>
            <wp:extent cx="857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-2528570</wp:posOffset>
            </wp:positionV>
            <wp:extent cx="857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-2528570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-1971040</wp:posOffset>
            </wp:positionV>
            <wp:extent cx="857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-1971040</wp:posOffset>
            </wp:positionV>
            <wp:extent cx="857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-1971040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-1130935</wp:posOffset>
            </wp:positionV>
            <wp:extent cx="857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-1130935</wp:posOffset>
            </wp:positionV>
            <wp:extent cx="857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-1130935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Product revenue for the three months ended March 31, 2026, increased $4.6 million, or 29%, compared to the same period of fiscal year 2025. Product revenue growth was primarily driven by the addition of new customers and an increase in utilization of Wearables and resulting sales of Wearables, driven by continued customer education that resulted in increased awareness and adoption of our products.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Subscription revenue for the three months ended March 31, 2026, increased $1.4 million, or 29%, compared to the same period of fiscal year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revenue growth was primarily driven by the addition of new customers.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Product cost of revenue for the three months ended March 31, 2026, increased $0.7 million, or 30%, compared to the same period of fiscal year 2025. The increase in cost of goods sold for products was primarily due to an increase in headband sales to new and existing active accounts, partially offset by a decrease in the cost of goods sold per unit, as non-variable costs are allocated among a larger number of units.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Subscription cost of revenue for three months ended March 31, 2026, increased $0.2 million, or 145%, compared to the same period of fiscal year 2025. The increase in subscription cost of revenue was primarily due to increased hosting costs for new and existing active accounts for subscriptions and incremental recorder depreciation associated with new subscriptions.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 (in thousands) and Gross Margin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4"/>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5"/>
                <w:szCs w:val="15"/>
                <w:color w:val="auto"/>
              </w:rPr>
            </w:pPr>
          </w:p>
        </w:tc>
        <w:tc>
          <w:tcPr>
            <w:tcW w:w="136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7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1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23,122</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18,007</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5,115</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gross profit</w:t>
            </w: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17,122</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13,248</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3,874</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Product gross margin</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Subscription gross profit</w:t>
            </w: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6,000</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4,759</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1,241</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4"/>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Subscription gross margin</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bl>
    <w:p>
      <w:pPr>
        <w:spacing w:after="0" w:line="24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Gross profit for the three months ended March 31, 2026 increased $5.1 million, or 28%, compared to the same period of fiscal year 2025. The increase is primarily due to increased revenue and decreased cost of goods sold per unit for Wearables, as non-variable costs are allocated among a larger number of units.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w:t>
      </w:r>
    </w:p>
    <w:p>
      <w:pPr>
        <w:spacing w:after="0" w:line="11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for the increased $1.9 million, or 45%, for the three months ended March 31, 2026, compared to the same period of fiscal year 2025. The increase was primarily due to an increase of $1.7 million in personnel and related expenses directly associated with an increase in headcount.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and Marketing Expenses</w:t>
      </w:r>
    </w:p>
    <w:p>
      <w:pPr>
        <w:spacing w:after="0" w:line="11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Sales and marketing expenses increased $4.4 million, or 24%, for the three months ended March 31, 2026, compared to the same period of fiscal year 2025. The increase was primarily due to an increase in personnel and related expenses directly associated with an increase in headcount.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w:t>
      </w:r>
    </w:p>
    <w:p>
      <w:pPr>
        <w:spacing w:after="0" w:line="11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$5.4 million, or 54%, for the three months ended March 31, 2026, compared to the same period of fiscal year 2025. The increase was primarily due to an increase of $0.6 million in personnel and related expenses directly associated with an increase in headcount, as well as an increase in professional services of $4.8 million driven by legal costs associated with intellectual property enforcement activities, including a patent infringement suit initiated in July 2025.</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Other Income, net</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Interest and other income, net decreased $0.4 million for the three months ended March 31, 2026, compared to the same period for fiscal year 2025. The decrease in interest income was primarily due to lower balances of cash equivalents and marketable securities, compared to the same period of the prior year.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each of the periods presented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4"/>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56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6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56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40" w:type="dxa"/>
            <w:vAlign w:val="bottom"/>
            <w:gridSpan w:val="3"/>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200" w:type="dxa"/>
            <w:vAlign w:val="bottom"/>
          </w:tcPr>
          <w:p>
            <w:pPr>
              <w:spacing w:after="0"/>
              <w:rPr>
                <w:sz w:val="12"/>
                <w:szCs w:val="12"/>
                <w:color w:val="auto"/>
              </w:rPr>
            </w:pPr>
          </w:p>
        </w:tc>
      </w:tr>
      <w:tr>
        <w:trPr>
          <w:trHeight w:val="216"/>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(19,297)</w:t>
            </w:r>
          </w:p>
        </w:tc>
        <w:tc>
          <w:tcPr>
            <w:tcW w:w="6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(11,403)</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22,441</w:t>
            </w:r>
          </w:p>
        </w:tc>
        <w:tc>
          <w:tcPr>
            <w:tcW w:w="6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(29,609)</w:t>
            </w:r>
          </w:p>
        </w:tc>
      </w:tr>
      <w:tr>
        <w:trPr>
          <w:trHeight w:val="216"/>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1,632</w:t>
            </w:r>
          </w:p>
        </w:tc>
        <w:tc>
          <w:tcPr>
            <w:tcW w:w="6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w:t>
            </w:r>
          </w:p>
        </w:tc>
      </w:tr>
    </w:tbl>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during the three months ended March 31, 2026, consisted primarily of our net loss of $19.7 million, offset by non-cash charges of stock-based compensation of $3.7 million, amortization premiums on marketable securities of $0.6 million, and depreciation and amortization of $0.2 million. Additionally, we had a net decrease in operating liabilities of $2.8 million. Net operating liabilities decreased primarily due to timing of payments.</w:t>
      </w:r>
    </w:p>
    <w:p>
      <w:pPr>
        <w:sectPr>
          <w:pgSz w:w="11900" w:h="16838" w:orient="portrait"/>
          <w:cols w:equalWidth="0" w:num="1">
            <w:col w:w="11240"/>
          </w:cols>
          <w:pgMar w:left="320" w:top="117" w:right="339" w:bottom="1440" w:gutter="0" w:footer="0" w:header="0"/>
        </w:sectPr>
      </w:pP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during the three months ended March 31, 2025, consisted primarily of our net loss of $12.8 million, offset by non-cash charges of stock-based compensation of $2.3 million, and depreciation and amortization of $0.3 million. Additionally we had a net increase in operating assets of $0.1 million and a net decrease in operating liabilities of $1.3 million. Net operating assets increased due to increases in accounts receivable and contract costs due to the overall increase in sales in the three months ended March 31, 2025. Net operating liabilities decreased primarily due to timing of payments.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during the three months ended March 31, 2026 was $22.4 million, and consisted of maturities of marketable securities, offset by purchases of marketable securities, equipment, and recorders provided to customers.</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during the three months ended March 31, 2025 was $29.6 million, and consisted of purchases of marketable securities, equipment, and recorders provided to customers.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during the three months ended March 31, 2026, consisted of proceeds from the exercise of options and purchase of shares in accordance with our ESPP.</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during the three months ended March 31, 2025, consisted of proceeds from the exercise of options, offset by debt issuance costs.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to our financial results determined in accordance with GAAP, we believe the following EBITDA and Adjusted EBITDA non-GAAP measures are useful in evaluating our operating performance. We use EBITDA and Adjusted EBITDA to evaluate our ongoing operations and for internal planning and forecasting purposes. We believe that these non-GAAP financial measures, when taken together with the corresponding GAAP financial measures, provide meaningful supplemental information regarding our performance by excluding certain items that may not be indicative of our business, results of operations, or outlook. However, non-GAAP financial information is presented for supplemental informational purposes only, has limitations as an analytical tool, and should not be considered in isolation or as a substitute for financial information presented in accordance with GAAP. Investors are encouraged to review the related GAAP financial measures and the reconciliation of these non-GAAP financial measures to its most directly comparable GAAP financial measure set forth below, and not to rely on any single financial measure to evaluate our business.</w:t>
      </w:r>
    </w:p>
    <w:p>
      <w:pPr>
        <w:spacing w:after="0" w:line="8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EBITDA and Adjusted EBITDA are key performance measures that we use to assess our operating performance. Because EBITDA and Adjusted EBITDA facilitate internal comparisons of our historical operating performance on a more consistent basis, we use these measures for business planning purposes.</w:t>
      </w:r>
    </w:p>
    <w:p>
      <w:pPr>
        <w:spacing w:after="0" w:line="6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calculate EBITDA as net loss adjusted to exclude (i) provision for income taxes (zero for each of the periods presented) (ii) depreciation and amortization expense, and (iii) interest income and interest expense, net (which consists primarily of interest income on our cash equivalents and marketable securities and interest expense on our term loans and non-cash interest charges related to amortization of debt issuance costs). We then adjust EBITDA to exclude (iv) stock-based compensation expense and (v) legal fees and related professional services costs incurred in connection with the patent infringement action we filed against Natus Medical Incorporated and certain of its subsidiaries ("Natus") in July 2025, as further described in Part II, Item 1 — Legal Proceedings of this Quarterly Report on Form 10-Q (the "Natus IP Matter"), to arrive at Adjusted EBITDA.</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are involved from time to time in routine intellectual property activities in the ordinary course of business, including patent prosecution and portfolio maintenance, and the costs of those activities are not excluded from Adjusted EBITDA. The expenses excluded as the “Natus IP Matter” relate solely to that specific, discrete enforcement action, which we believe is outside the ordinary course of our business and materially larger in magnitude than our historical intellectual property enforcement spending. Management excludes these expenses from Adjusted EBITDA because they are not representative of our underlying operating performance and because excluding them facilitates more meaningful period-over-period comparison of our results. We periodically reassess whether the costs associated with this matter continue to be appropriately excluded from Adjusted EBITDA.</w:t>
      </w:r>
    </w:p>
    <w:p>
      <w:pPr>
        <w:spacing w:after="0" w:line="7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use of EBITDA and Adjusted EBITDA has limitations as an analytical tool and should not be considered in isolation or as a substitute for analysis of our results as reported under GAAP. Some of these limitations are:</w:t>
      </w:r>
    </w:p>
    <w:p>
      <w:pPr>
        <w:spacing w:after="0" w:line="54"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changes in, or cash requirements for, our working capital needs;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may have to be replaced in the future, and EBITDA and Adjusted EBITDA do not reflect capital expenditure requirements for such replacements;</w:t>
      </w:r>
    </w:p>
    <w:p>
      <w:pPr>
        <w:spacing w:after="0" w:line="53"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interest expense on our outstanding indebtedness or interest income earned on our cash equivalents and marketable securities;</w:t>
      </w:r>
    </w:p>
    <w:p>
      <w:pPr>
        <w:sectPr>
          <w:pgSz w:w="11900" w:h="16838" w:orient="portrait"/>
          <w:cols w:equalWidth="0" w:num="1">
            <w:col w:w="11240"/>
          </w:cols>
          <w:pgMar w:left="320" w:top="117" w:right="339" w:bottom="1440" w:gutter="0" w:footer="0" w:header="0"/>
        </w:sectPr>
      </w:pP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any provision for, or cash requirements associated with, income taxes that we may be required to pay in future periods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including companies in our industry, may calculate EBITDA and Adjusted EBITDA measures differently, which reduces its usefulness as a comparative measure.</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evaluating EBITDA and Adjusted EBITDA, we anticipate that we will continue to incur expenses similar to those reflected in the adjustments above. Accordingly, our presentation of EBITDA and Adjusted EBITDA should not be construed as suggesting that our future results will be unaffected by these expenses. When evaluating our financial results, EBITDA and Adjusted EBITDA should be considered alongside other financial performance measures, including our net loss and other GAAP results.</w:t>
      </w:r>
    </w:p>
    <w:p>
      <w:pPr>
        <w:spacing w:after="0" w:line="28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EBITDA and Adjusted EBITDA to our net loss, the most directly comparable U.S. GAAP financial measure, for each of the periods indicated (in thousands):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4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160" w:type="dxa"/>
            <w:vAlign w:val="bottom"/>
          </w:tcPr>
          <w:p>
            <w:pPr>
              <w:spacing w:after="0"/>
              <w:rPr>
                <w:sz w:val="17"/>
                <w:szCs w:val="17"/>
                <w:color w:val="auto"/>
              </w:rPr>
            </w:pPr>
          </w:p>
        </w:tc>
        <w:tc>
          <w:tcPr>
            <w:tcW w:w="4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72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 (GAAP)</w:t>
            </w:r>
          </w:p>
        </w:tc>
        <w:tc>
          <w:tcPr>
            <w:tcW w:w="3400" w:type="dxa"/>
            <w:vAlign w:val="bottom"/>
            <w:shd w:val="clear" w:color="auto" w:fill="CFF0FC"/>
          </w:tcPr>
          <w:p>
            <w:pPr>
              <w:spacing w:after="0"/>
              <w:rPr>
                <w:sz w:val="18"/>
                <w:szCs w:val="18"/>
                <w:color w:val="auto"/>
              </w:rPr>
            </w:pPr>
          </w:p>
        </w:tc>
        <w:tc>
          <w:tcPr>
            <w:tcW w:w="180" w:type="dxa"/>
            <w:vAlign w:val="bottom"/>
            <w:shd w:val="clear" w:color="auto" w:fill="CAEEFB"/>
          </w:tcPr>
          <w:p>
            <w:pPr>
              <w:spacing w:after="0"/>
              <w:rPr>
                <w:sz w:val="18"/>
                <w:szCs w:val="18"/>
                <w:color w:val="auto"/>
              </w:rPr>
            </w:pPr>
          </w:p>
        </w:tc>
        <w:tc>
          <w:tcPr>
            <w:tcW w:w="960" w:type="dxa"/>
            <w:vAlign w:val="bottom"/>
            <w:tcBorders>
              <w:top w:val="single" w:sz="8" w:color="auto"/>
            </w:tcBorders>
            <w:shd w:val="clear" w:color="auto" w:fill="CAEEFB"/>
          </w:tcPr>
          <w:p>
            <w:pPr>
              <w:jc w:val="right"/>
              <w:ind w:right="7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tcBorders>
            <w:shd w:val="clear" w:color="auto" w:fill="CAEEFB"/>
          </w:tcPr>
          <w:p>
            <w:pPr>
              <w:jc w:val="right"/>
              <w:spacing w:after="0"/>
              <w:rPr>
                <w:sz w:val="20"/>
                <w:szCs w:val="20"/>
                <w:color w:val="auto"/>
              </w:rPr>
            </w:pPr>
            <w:r>
              <w:rPr>
                <w:rFonts w:ascii="Times New Roman" w:cs="Times New Roman" w:eastAsia="Times New Roman" w:hAnsi="Times New Roman"/>
                <w:sz w:val="18"/>
                <w:szCs w:val="18"/>
                <w:b w:val="1"/>
                <w:bCs w:val="1"/>
                <w:color w:val="auto"/>
              </w:rPr>
              <w:t>(19,737)</w:t>
            </w:r>
          </w:p>
        </w:tc>
        <w:tc>
          <w:tcPr>
            <w:tcW w:w="1060" w:type="dxa"/>
            <w:vAlign w:val="bottom"/>
            <w:tcBorders>
              <w:top w:val="single" w:sz="8" w:color="auto"/>
            </w:tcBorders>
            <w:gridSpan w:val="2"/>
            <w:shd w:val="clear" w:color="auto" w:fill="CAEEFB"/>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tcBorders>
            <w:shd w:val="clear" w:color="auto" w:fill="CAEEFB"/>
          </w:tcPr>
          <w:p>
            <w:pPr>
              <w:jc w:val="right"/>
              <w:spacing w:after="0"/>
              <w:rPr>
                <w:sz w:val="20"/>
                <w:szCs w:val="20"/>
                <w:color w:val="auto"/>
              </w:rPr>
            </w:pPr>
            <w:r>
              <w:rPr>
                <w:rFonts w:ascii="Times New Roman" w:cs="Times New Roman" w:eastAsia="Times New Roman" w:hAnsi="Times New Roman"/>
                <w:sz w:val="18"/>
                <w:szCs w:val="18"/>
                <w:b w:val="1"/>
                <w:bCs w:val="1"/>
                <w:color w:val="auto"/>
              </w:rPr>
              <w:t>(12,777)</w:t>
            </w:r>
          </w:p>
        </w:tc>
        <w:tc>
          <w:tcPr>
            <w:tcW w:w="0" w:type="dxa"/>
            <w:vAlign w:val="bottom"/>
          </w:tcPr>
          <w:p>
            <w:pPr>
              <w:spacing w:after="0"/>
              <w:rPr>
                <w:sz w:val="1"/>
                <w:szCs w:val="1"/>
                <w:color w:val="auto"/>
              </w:rPr>
            </w:pPr>
          </w:p>
        </w:tc>
      </w:tr>
      <w:tr>
        <w:trPr>
          <w:trHeight w:val="229"/>
        </w:trPr>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Non-GAAP Adjustments:</w:t>
            </w:r>
          </w:p>
        </w:tc>
        <w:tc>
          <w:tcPr>
            <w:tcW w:w="3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(income) and expense, net</w:t>
            </w:r>
          </w:p>
        </w:tc>
        <w:tc>
          <w:tcPr>
            <w:tcW w:w="3400" w:type="dxa"/>
            <w:vAlign w:val="bottom"/>
            <w:shd w:val="clear" w:color="auto" w:fill="CFF0FC"/>
          </w:tcPr>
          <w:p>
            <w:pPr>
              <w:spacing w:after="0"/>
              <w:rPr>
                <w:sz w:val="19"/>
                <w:szCs w:val="19"/>
                <w:color w:val="auto"/>
              </w:rPr>
            </w:pPr>
          </w:p>
        </w:tc>
        <w:tc>
          <w:tcPr>
            <w:tcW w:w="180" w:type="dxa"/>
            <w:vAlign w:val="bottom"/>
            <w:shd w:val="clear" w:color="auto" w:fill="CAEEFB"/>
          </w:tcPr>
          <w:p>
            <w:pPr>
              <w:spacing w:after="0"/>
              <w:rPr>
                <w:sz w:val="19"/>
                <w:szCs w:val="19"/>
                <w:color w:val="auto"/>
              </w:rPr>
            </w:pPr>
          </w:p>
        </w:tc>
        <w:tc>
          <w:tcPr>
            <w:tcW w:w="960" w:type="dxa"/>
            <w:vAlign w:val="bottom"/>
            <w:shd w:val="clear" w:color="auto" w:fill="CAEEFB"/>
          </w:tcPr>
          <w:p>
            <w:pPr>
              <w:spacing w:after="0"/>
              <w:rPr>
                <w:sz w:val="19"/>
                <w:szCs w:val="19"/>
                <w:color w:val="auto"/>
              </w:rPr>
            </w:pPr>
          </w:p>
        </w:tc>
        <w:tc>
          <w:tcPr>
            <w:tcW w:w="72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80" w:type="dxa"/>
            <w:vAlign w:val="bottom"/>
            <w:shd w:val="clear" w:color="auto" w:fill="CAEEFB"/>
          </w:tcPr>
          <w:p>
            <w:pPr>
              <w:spacing w:after="0"/>
              <w:rPr>
                <w:sz w:val="19"/>
                <w:szCs w:val="19"/>
                <w:color w:val="auto"/>
              </w:rPr>
            </w:pPr>
          </w:p>
        </w:tc>
        <w:tc>
          <w:tcPr>
            <w:tcW w:w="880" w:type="dxa"/>
            <w:vAlign w:val="bottom"/>
            <w:shd w:val="clear" w:color="auto" w:fill="CAEEFB"/>
          </w:tcPr>
          <w:p>
            <w:pPr>
              <w:spacing w:after="0"/>
              <w:rPr>
                <w:sz w:val="19"/>
                <w:szCs w:val="19"/>
                <w:color w:val="auto"/>
              </w:rPr>
            </w:pPr>
          </w:p>
        </w:tc>
        <w:tc>
          <w:tcPr>
            <w:tcW w:w="76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0" w:type="dxa"/>
            <w:vAlign w:val="bottom"/>
          </w:tcPr>
          <w:p>
            <w:pPr>
              <w:spacing w:after="0"/>
              <w:rPr>
                <w:sz w:val="1"/>
                <w:szCs w:val="1"/>
                <w:color w:val="auto"/>
              </w:rPr>
            </w:pPr>
          </w:p>
        </w:tc>
      </w:tr>
      <w:tr>
        <w:trPr>
          <w:trHeight w:val="216"/>
        </w:trPr>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239</w:t>
            </w:r>
          </w:p>
        </w:tc>
        <w:tc>
          <w:tcPr>
            <w:tcW w:w="18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23"/>
        </w:trPr>
        <w:tc>
          <w:tcPr>
            <w:tcW w:w="41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b w:val="1"/>
                <w:bCs w:val="1"/>
                <w:color w:val="auto"/>
              </w:rPr>
              <w:t>EBITDA (Non-GAAP)</w:t>
            </w:r>
          </w:p>
        </w:tc>
        <w:tc>
          <w:tcPr>
            <w:tcW w:w="3400" w:type="dxa"/>
            <w:vAlign w:val="bottom"/>
            <w:shd w:val="clear" w:color="auto" w:fill="CFF0FC"/>
          </w:tcPr>
          <w:p>
            <w:pPr>
              <w:spacing w:after="0"/>
              <w:rPr>
                <w:sz w:val="19"/>
                <w:szCs w:val="19"/>
                <w:color w:val="auto"/>
              </w:rPr>
            </w:pPr>
          </w:p>
        </w:tc>
        <w:tc>
          <w:tcPr>
            <w:tcW w:w="180" w:type="dxa"/>
            <w:vAlign w:val="bottom"/>
            <w:shd w:val="clear" w:color="auto" w:fill="CAEEFB"/>
          </w:tcPr>
          <w:p>
            <w:pPr>
              <w:spacing w:after="0"/>
              <w:rPr>
                <w:sz w:val="19"/>
                <w:szCs w:val="19"/>
                <w:color w:val="auto"/>
              </w:rPr>
            </w:pPr>
          </w:p>
        </w:tc>
        <w:tc>
          <w:tcPr>
            <w:tcW w:w="960" w:type="dxa"/>
            <w:vAlign w:val="bottom"/>
            <w:shd w:val="clear" w:color="auto" w:fill="CAEEFB"/>
          </w:tcPr>
          <w:p>
            <w:pPr>
              <w:spacing w:after="0"/>
              <w:rPr>
                <w:sz w:val="19"/>
                <w:szCs w:val="19"/>
                <w:color w:val="auto"/>
              </w:rPr>
            </w:pPr>
          </w:p>
        </w:tc>
        <w:tc>
          <w:tcPr>
            <w:tcW w:w="72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8"/>
                <w:szCs w:val="18"/>
                <w:b w:val="1"/>
                <w:bCs w:val="1"/>
                <w:color w:val="auto"/>
              </w:rPr>
              <w:t>(20,487)</w:t>
            </w:r>
          </w:p>
        </w:tc>
        <w:tc>
          <w:tcPr>
            <w:tcW w:w="180" w:type="dxa"/>
            <w:vAlign w:val="bottom"/>
            <w:shd w:val="clear" w:color="auto" w:fill="CAEEFB"/>
          </w:tcPr>
          <w:p>
            <w:pPr>
              <w:spacing w:after="0"/>
              <w:rPr>
                <w:sz w:val="19"/>
                <w:szCs w:val="19"/>
                <w:color w:val="auto"/>
              </w:rPr>
            </w:pPr>
          </w:p>
        </w:tc>
        <w:tc>
          <w:tcPr>
            <w:tcW w:w="880" w:type="dxa"/>
            <w:vAlign w:val="bottom"/>
            <w:shd w:val="clear" w:color="auto" w:fill="CAEEFB"/>
          </w:tcPr>
          <w:p>
            <w:pPr>
              <w:spacing w:after="0"/>
              <w:rPr>
                <w:sz w:val="19"/>
                <w:szCs w:val="19"/>
                <w:color w:val="auto"/>
              </w:rPr>
            </w:pPr>
          </w:p>
        </w:tc>
        <w:tc>
          <w:tcPr>
            <w:tcW w:w="76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8"/>
                <w:szCs w:val="18"/>
                <w:b w:val="1"/>
                <w:bCs w:val="1"/>
                <w:color w:val="auto"/>
              </w:rPr>
              <w:t>(13,873)</w:t>
            </w:r>
          </w:p>
        </w:tc>
        <w:tc>
          <w:tcPr>
            <w:tcW w:w="0" w:type="dxa"/>
            <w:vAlign w:val="bottom"/>
          </w:tcPr>
          <w:p>
            <w:pPr>
              <w:spacing w:after="0"/>
              <w:rPr>
                <w:sz w:val="1"/>
                <w:szCs w:val="1"/>
                <w:color w:val="auto"/>
              </w:rPr>
            </w:pPr>
          </w:p>
        </w:tc>
      </w:tr>
      <w:tr>
        <w:trPr>
          <w:trHeight w:val="230"/>
        </w:trPr>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3,723</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2,348</w:t>
            </w:r>
          </w:p>
        </w:tc>
        <w:tc>
          <w:tcPr>
            <w:tcW w:w="0" w:type="dxa"/>
            <w:vAlign w:val="bottom"/>
          </w:tcPr>
          <w:p>
            <w:pPr>
              <w:spacing w:after="0"/>
              <w:rPr>
                <w:sz w:val="1"/>
                <w:szCs w:val="1"/>
                <w:color w:val="auto"/>
              </w:rPr>
            </w:pPr>
          </w:p>
        </w:tc>
      </w:tr>
      <w:tr>
        <w:trPr>
          <w:trHeight w:val="216"/>
        </w:trPr>
        <w:tc>
          <w:tcPr>
            <w:tcW w:w="41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IP litigation matter</w:t>
            </w:r>
          </w:p>
        </w:tc>
        <w:tc>
          <w:tcPr>
            <w:tcW w:w="34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AEEFB"/>
            </w:tcBorders>
            <w:shd w:val="clear" w:color="auto" w:fill="CAEEFB"/>
          </w:tcPr>
          <w:p>
            <w:pPr>
              <w:spacing w:after="0"/>
              <w:rPr>
                <w:sz w:val="18"/>
                <w:szCs w:val="18"/>
                <w:color w:val="auto"/>
              </w:rPr>
            </w:pPr>
          </w:p>
        </w:tc>
        <w:tc>
          <w:tcPr>
            <w:tcW w:w="960" w:type="dxa"/>
            <w:vAlign w:val="bottom"/>
            <w:tcBorders>
              <w:bottom w:val="single" w:sz="8" w:color="auto"/>
            </w:tcBorders>
            <w:shd w:val="clear" w:color="auto" w:fill="CAEEFB"/>
          </w:tcPr>
          <w:p>
            <w:pPr>
              <w:spacing w:after="0"/>
              <w:rPr>
                <w:sz w:val="18"/>
                <w:szCs w:val="18"/>
                <w:color w:val="auto"/>
              </w:rPr>
            </w:pPr>
          </w:p>
        </w:tc>
        <w:tc>
          <w:tcPr>
            <w:tcW w:w="720" w:type="dxa"/>
            <w:vAlign w:val="bottom"/>
            <w:tcBorders>
              <w:bottom w:val="single" w:sz="8" w:color="auto"/>
            </w:tcBorders>
            <w:shd w:val="clear" w:color="auto" w:fill="CAEEFB"/>
          </w:tcPr>
          <w:p>
            <w:pPr>
              <w:jc w:val="right"/>
              <w:ind w:right="30"/>
              <w:spacing w:after="0"/>
              <w:rPr>
                <w:sz w:val="20"/>
                <w:szCs w:val="20"/>
                <w:color w:val="auto"/>
              </w:rPr>
            </w:pPr>
            <w:r>
              <w:rPr>
                <w:rFonts w:ascii="Times New Roman" w:cs="Times New Roman" w:eastAsia="Times New Roman" w:hAnsi="Times New Roman"/>
                <w:sz w:val="18"/>
                <w:szCs w:val="18"/>
                <w:color w:val="auto"/>
              </w:rPr>
              <w:t>5,594</w:t>
            </w:r>
          </w:p>
        </w:tc>
        <w:tc>
          <w:tcPr>
            <w:tcW w:w="180" w:type="dxa"/>
            <w:vAlign w:val="bottom"/>
            <w:tcBorders>
              <w:bottom w:val="single" w:sz="8" w:color="CAEEFB"/>
            </w:tcBorders>
            <w:shd w:val="clear" w:color="auto" w:fill="CAEEFB"/>
          </w:tcPr>
          <w:p>
            <w:pPr>
              <w:spacing w:after="0"/>
              <w:rPr>
                <w:sz w:val="18"/>
                <w:szCs w:val="18"/>
                <w:color w:val="auto"/>
              </w:rPr>
            </w:pPr>
          </w:p>
        </w:tc>
        <w:tc>
          <w:tcPr>
            <w:tcW w:w="880" w:type="dxa"/>
            <w:vAlign w:val="bottom"/>
            <w:tcBorders>
              <w:bottom w:val="single" w:sz="8" w:color="auto"/>
            </w:tcBorders>
            <w:shd w:val="clear" w:color="auto" w:fill="CAEEFB"/>
          </w:tcPr>
          <w:p>
            <w:pPr>
              <w:spacing w:after="0"/>
              <w:rPr>
                <w:sz w:val="18"/>
                <w:szCs w:val="18"/>
                <w:color w:val="auto"/>
              </w:rPr>
            </w:pPr>
          </w:p>
        </w:tc>
        <w:tc>
          <w:tcPr>
            <w:tcW w:w="760" w:type="dxa"/>
            <w:vAlign w:val="bottom"/>
            <w:tcBorders>
              <w:bottom w:val="single" w:sz="8" w:color="auto"/>
            </w:tcBorders>
            <w:shd w:val="clear" w:color="auto" w:fill="CAEEFB"/>
          </w:tcPr>
          <w:p>
            <w:pPr>
              <w:jc w:val="right"/>
              <w:ind w:right="30"/>
              <w:spacing w:after="0"/>
              <w:rPr>
                <w:sz w:val="20"/>
                <w:szCs w:val="20"/>
                <w:color w:val="auto"/>
              </w:rPr>
            </w:pPr>
            <w:r>
              <w:rPr>
                <w:rFonts w:ascii="Times New Roman" w:cs="Times New Roman" w:eastAsia="Times New Roman" w:hAnsi="Times New Roman"/>
                <w:sz w:val="18"/>
                <w:szCs w:val="18"/>
                <w:color w:val="auto"/>
              </w:rPr>
              <w:t>624</w:t>
            </w:r>
          </w:p>
        </w:tc>
        <w:tc>
          <w:tcPr>
            <w:tcW w:w="0" w:type="dxa"/>
            <w:vAlign w:val="bottom"/>
          </w:tcPr>
          <w:p>
            <w:pPr>
              <w:spacing w:after="0"/>
              <w:rPr>
                <w:sz w:val="1"/>
                <w:szCs w:val="1"/>
                <w:color w:val="auto"/>
              </w:rPr>
            </w:pPr>
          </w:p>
        </w:tc>
      </w:tr>
      <w:tr>
        <w:trPr>
          <w:trHeight w:val="210"/>
        </w:trPr>
        <w:tc>
          <w:tcPr>
            <w:tcW w:w="41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Adjusted EBITDA (Non-GAAP)</w:t>
            </w:r>
          </w:p>
        </w:tc>
        <w:tc>
          <w:tcPr>
            <w:tcW w:w="3400" w:type="dxa"/>
            <w:vAlign w:val="bottom"/>
          </w:tcPr>
          <w:p>
            <w:pPr>
              <w:spacing w:after="0"/>
              <w:rPr>
                <w:sz w:val="18"/>
                <w:szCs w:val="18"/>
                <w:color w:val="auto"/>
              </w:rPr>
            </w:pPr>
          </w:p>
        </w:tc>
        <w:tc>
          <w:tcPr>
            <w:tcW w:w="1140" w:type="dxa"/>
            <w:vAlign w:val="bottom"/>
            <w:gridSpan w:val="2"/>
          </w:tcPr>
          <w:p>
            <w:pPr>
              <w:jc w:val="right"/>
              <w:ind w:right="779"/>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(11,170)</w:t>
            </w:r>
          </w:p>
        </w:tc>
        <w:tc>
          <w:tcPr>
            <w:tcW w:w="106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(10,901)</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400" w:type="dxa"/>
            <w:vAlign w:val="bottom"/>
            <w:vMerge w:val="restart"/>
          </w:tcPr>
          <w:p>
            <w:pPr>
              <w:jc w:val="right"/>
              <w:ind w:right="1759"/>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16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16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-1079500</wp:posOffset>
            </wp:positionV>
            <wp:extent cx="1111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Since inception, we have financed operations primarily through the net proceeds we have received from the sales of our preferred stock and common stock as well as net proceeds from our term loans and cash generated from the sale of Wearables and Clarity subscriptions. On October 15, 2024, we completed our IPO and received net proceeds of $187.8 million after deducting underwriting discounts, commissions and offering expenses.</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losses primarily resulted from the costs incurred in the development and sales and marketing of our products and providing general and administrative support for our operations. We expect to continue to incur losses in the foreseeable future and to expend significant amounts of cash in the foreseeable future as we continue to scale our business, invest in research and development activities, increase sales and marketing expenses to support commercial expansion, and increase general and administrative expenses to support our transition into being a publicly-traded company.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of Liquidity</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March 31, 2026, our principal sources of liquidity consisted of $141.2 million of cash, cash equivalents, and marketable securities and $20.0 million of term loans.</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February 6, 2024, we entered into the VLSA with SVB and Horizon. The VLSA provides a term loan commitment of $50.0 million. We drew $20.0 million of the $50.0 million term loan commitment at closing (consisting of $6.0 million from SVB and $14.0 million from Horizon), which was used to retire our existing debt with Horizon, pay transaction fees, and for general corporate purposes. The remaining $30.0 million term loan commitment consists of three tranches of $10.0 million commitments. The maturity date of VLSA is March 1, 2029.</w:t>
      </w:r>
    </w:p>
    <w:p>
      <w:pPr>
        <w:spacing w:after="0" w:line="7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Concurrent with the VLSA, we also entered into the Revolving Facility for a line of credit of up to $10.0 million. The Revolving Facility matured on February 6, 2026 and no amounts were drawn.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Funding Requirements</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Based on our current operating plan, we believe that the expected cash generated from revenue transactions with customers and our existing cash, cash equivalents, and marketable securities, will be sufficient to fund our planned operating expenses and capital expenditure requirements for at least the next 12 months. We have based this estimate on assumptions that may prove to be wrong, and we could deplete our capital resources sooner than we expect. We may experience lower than expected cash generated from operating activities or greater than expected capital expenditures, cost of revenue, or operating expenses, and may need to raise additional capital to fund operations, further research and development activities, or acquire, invest in, or in-license other businesses, assets, or technologies.</w:t>
      </w:r>
    </w:p>
    <w:p>
      <w:pPr>
        <w:spacing w:after="0" w:line="7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order to generate and obtain adequate amounts of cash to meet requirements beyond the next 12 months, we may continue to seek funds through equity or debt financings, or through other sources of financing. Our future capital needs will depend upon many factors, including:</w:t>
      </w:r>
    </w:p>
    <w:p>
      <w:pPr>
        <w:spacing w:after="0" w:line="54"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acceptance of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pace of developing new products and our research and development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and costs of supporting sales growth and expansion of our commercial organization;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any product recall that may occur;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the manufacturing of our products at increased production levels or in different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attaining, defending, and enforcing our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acquire third-party products or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other collaborative, licensing, and other arrangements that we may establish;</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technologies or other adverse market developments;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funds to finance our operations should they be needed in the future;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requirements;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being a public company.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contractual obligations at March 31, 2026 include:</w:t>
      </w:r>
    </w:p>
    <w:p>
      <w:pPr>
        <w:spacing w:after="0" w:line="223" w:lineRule="exact"/>
        <w:rPr>
          <w:sz w:val="20"/>
          <w:szCs w:val="20"/>
          <w:color w:val="auto"/>
        </w:rPr>
      </w:pPr>
    </w:p>
    <w:p>
      <w:pPr>
        <w:jc w:val="both"/>
        <w:ind w:right="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Debt </w:t>
      </w:r>
      <w:r>
        <w:rPr>
          <w:rFonts w:ascii="Times New Roman" w:cs="Times New Roman" w:eastAsia="Times New Roman" w:hAnsi="Times New Roman"/>
          <w:sz w:val="18"/>
          <w:szCs w:val="18"/>
          <w:color w:val="auto"/>
        </w:rPr>
        <w:t>— Principal payments required on long-term debt outstanding at March 31, 2026, was $20.0 million. Please refer to the section titled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“Liquidity” in Note 1 for a discussion of changes in commitments.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Operating leases </w:t>
      </w:r>
      <w:r>
        <w:rPr>
          <w:rFonts w:ascii="Times New Roman" w:cs="Times New Roman" w:eastAsia="Times New Roman" w:hAnsi="Times New Roman"/>
          <w:sz w:val="18"/>
          <w:szCs w:val="18"/>
          <w:color w:val="auto"/>
        </w:rPr>
        <w:t>— As of March 31, 2026, estimated contractual obligations for operating lease payments were $2.4 million due within 22 months.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Significant Judgments, and Use of Estimates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financial statements, which have been prepared in accordance with GAAP. The preparation of our financial statements and related disclosures requires us to make estimates and judgments that affect the reported amounts of assets, liabilities, expenses and the disclosure of our contingent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Information about our significant accounting policies and how estimates are involved in the preparation of our financial statements are described in our Annual Report on Form 10-K filed with the SEC on February 24, 2026. There have been no material changes to our significant accounting policies and estimates during the three months ended March 31, 2026.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See Note 2 to our financial statements included elsewhere in this Quarterly Report on Form 10-Q for a description of recent accounting pronouncements applicable to our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(the “Exchange Act”), that are designed to ensure that information required to be disclosed in the reports that we file or submit under the Exchange Act is (1) recorded, processed, summarized and reported within the time periods specified in the Securities and Exchange Commission’s rules and forms and (2) accumulated and communicated to our management, including our Chief Executive Officer and Chief Financial Officer,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8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of the end of the period covered by this Quarterly Report. Based on such</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evaluation, our Chief Executive Officer and Chief Financial Officer have concluded that these disclosure controls and procedures were effective at a reasonable assurance level as of March 31, 2026.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 13a-15(d) and 15d-15(d) of the Exchange Act during the quarter ended March 31, 2026 by this Quarterly Report on Form 10-Q that have materially affected, or are reasonably likely to materially affect, our internal control over financial reporting.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Effectiveness of Controls and Procedures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management team, including our Chief Executive Officer and Chief Financial Officer, believes that our disclosure controls and procedures and internal controls over financial reporting are designed to provide reasonable assurance of achieving their objectives and are effective at the reasonable assurance level. However, the effectiveness of any internal control over financial reporting is subject to inherent limitations, including the exercise of judgment in designing, implementing, operating, and evaluating the controls and procedures, and the inability to completely eliminate all potential for misconduct. Because of the inherent limitations in all control systems, no evaluation of controls can provide absolute assurance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any cost-effective control system, misstatements due to error or fraud may occur and not be detected.</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July 7, 2025, we filed patent infringement complaints against Natus Medical Incorporated and related subsidiaries (“Natus”) with the U.S. International Trade Commission (“USITC”) and the U.S. District Court for the District of Delaware (the “District Court”), alleging that Natus is infringing on six patents owned by us related to important features of the Ceribell EEG headband and electrode design through Natus’s making, using, selling, offering for sale in the United States, and/or importing into the United States, of rapid point-of-care EEG monitoring products (the “Natus Products”), and that Natus is engaging in unfair competition. We have requested that the USITC investigate these claims and issue an exclusion order to bar the importation of any infringing Natus Products into the United States. We have also requested in the District Court a permanent injunction against the Natus Products and an award of damages sufficient to compensate us for the alleged infringement, as well as other costs and expenses in this action. On August 6, 2025, the USITC instituted an investigation of these claims pursuant to Section 337 of the Tariff Act of 1930 and on August 12, 2025, the District Court stayed the pending patent infringement action until the final determination of the USITC investigation.</w:t>
      </w:r>
    </w:p>
    <w:p>
      <w:pPr>
        <w:spacing w:after="0" w:line="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may become involved in other various legal proceedings arising from the normal course of business activities. We are not presently a party to any litigation the outcome of which, we believe, if determined adversely to us, would individually or taken together, materially and adversely affect our business, financial condition, or results of operations. Involvement in legal proceedings is costly and can impose a significant burden on management and employees. The results of any current or future litigation cannot be predicted with certainty, and regardless of the outcome, litigation can have an adverse impact on us because of legal expenses and settlement costs, diversion of management attention, and resources and other factors.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Investing in our common stock involves a high degree of risk. You should carefully consider the risks described below, as well as the other information in this Quarterly Report, including our financial statements and the related notes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before deciding whether to invest in our common stock. The occurrence of any of the events or developments described below could have a material adverse effect on our business, financial condition, results of operations, and prospects. In such an event, the market price of our common stock could decline, and you may lose all or part of your investment. Additional risks and uncertainties not presently known to us or that we currently believe are not material may also impair our business, financial condition, results of operations, and prospects.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and Industry Risk Factors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have experienced rapid growth, which may strain our resources and make it difficult to evaluate our business and future prospects. If we are unable to manage our expansion effectively, our business could be materially and adversely affected.</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were founded in 2014 and began selling Ceribell headbands, recorder, and portal in 2018. Since our formation in 2014, we have achieved several key operational milestones that we believe position us for continued growth and success, including our receipt of 510(k) clearance from the FDA for our recorder and headband in 2017, our first commercial sales in 2018, our receipt of 510(k) clearance from the FDA for an early version of Clarity in 2019, and our growth to over 300 employees as of March 31, 2026. Accordingly, we have a limited operating history, which makes evaluation of our future prospects difficult. In that time, we have experienced periods of significant growth in revenue and employees and rapid changes in our business, which have required us to scale the size of our organization and infrastructure.</w:t>
      </w:r>
    </w:p>
    <w:p>
      <w:pPr>
        <w:spacing w:after="0" w:line="7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Any growth that we experience in the future will require us to further expand our sales and marketing and research and development personnel (including those with software and hardware expertise), our manufacturing operations, and our general and administrative infrastructure. In addition to the need to scale our operational capacity, future growth will impose significant added responsibilities on management, including the need to identify, recruit, train, and integrate additional employees. Rapid expansion in personnel could impact our capacity to manufacture, market, sell, and support our products, which could result in inefficiencies, unanticipated costs, and disruptions to our operations, and could also pose challenges to retaining our existing employees, including through increased reliance on overtime that could result in greater attrition and reduced productivity. While our quarterly revenues have generally increased since our commercial launch, our results of operations have fluctuated in the past, and our future quarterly and annual results of operations may fluctuate as we focus on increasing demand for our products. We may need to make business decisions that could adversely affect our results of operations and prospects, such as modifications to our pricing and reimbursement strategy, business structure, or operations.</w:t>
      </w:r>
    </w:p>
    <w:p>
      <w:pPr>
        <w:spacing w:after="0" w:line="188"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challenges we face in managing our business, including the changing reimbursement and regulatory landscapes, place significant demands on our management, financial, operational, manufacturing, technological, and other resources, and we expect that managing our business will continue to require us to develop and improve our operational, financial and other internal controls, reporting systems, and procedures at a pace consistent with our growth. Continued growth increases challenges in areas such as recruiting and retaining sufficient skilled personnel, providing adequate training and supervision to maintain high-quality product standards and regulatory compliance, and preserving our culture and values. We have also had, and may in the future experience, delays with onboarding new accounts due to scheduling and other logistical issues. We may not be able to address these challenges in a cost-effective manner, or at all. As we grow, we may also need to invest significant resources to improve and expand our manufacturing capabilities and technology, and we may not be able to do so in a cost-effective manner or at all. We cannot assure you that changes in scale, quality, or compliance assurance, including those related to any future additional indications for the Ceribell System, will be successfully implemented or that appropriate personnel will be available to facilitate the management of our business. Failure to implement necessary quality and compliance procedures, transition to new manufacturing processes or supply chains, or hire or maintain necessary personnel could result in higher costs or an inability to meet demand. In addition, our business is affected by general macroeconomic and business conditions around the world, including the impacts of inflation, increased interest rates, market instability, geopolitical conditions and conflicts, health crises, and natural disasters. If we do not effectively manage our growth and the various challenges we face, we may not be able to execute on our business plan, respond to competitive pressures, take advantage of market opportunities, satisfy customer requirements, or maintain high-quality products, which could have a material adverse effect on our business, financial condition, results of operations, and prospects.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net losses, and we expect to incur additional substantial losses in the foreseeable future.</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incurred net losses since inception, and we expect to incur additional substantial losses in the foreseeable future. For the quarter ended March 31, 2026, we incurred a net loss of $19.7 million. As of March 31, 2026, we had an accumulated deficit of $240.1 million. We also expect our operating expenses to increase in future periods, and if our revenue growth does not increase to more than offset these anticipated increases in our operating expenses, we may not be able to achieve or maintain profitability, and our business,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financial condition, results of operations, and prospects will be harmed. Since inception, we have spent significant amounts to develop the Ceribell System and related algorithms, to fund clinical studies, to develop and build our manufacturing capacities, to scale our commercial operations, and to recruit and retain key talent.</w:t>
      </w:r>
    </w:p>
    <w:p>
      <w:pPr>
        <w:spacing w:after="0" w:line="17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have encountered and will continue to encounter risks and difficulties frequently experienced by growing companies, including increasing expenses as we continue to grow our business. We expect our operating expenses to increase significantly over the next several years as we continue to expand our operations and infrastructure and continue to develop the Ceribell System and related algorithms, including for any future additional indications. In addition to the anticipated costs of growing our business, we also expect to incur additional legal, accounting, and other expert expenses as we grow. These investments may be more costly than we expect, and if we do not achieve the benefits anticipated from these investments, or if the realization of these benefits is delayed, they may not result in increased revenue or growth in our business. If our growth rate were to decline significantly or become negative, it could adversely affect our business, financial condition, results of operations, and prospects.</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cannot assure you that we will achieve profitability in the future or that, if we do become profitable, we will be able to sustain or increase profitability. Our prior losses, combined with potential future losses, have had and will continue to have an adverse effect on our stockholders’ equity and working capital.</w:t>
      </w:r>
    </w:p>
    <w:p>
      <w:pPr>
        <w:spacing w:after="0" w:line="2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sales from the use of the Ceribell System for our revenue. If we are unable to successfully achieve substantial market acceptance and adoption of the Ceribell System, or any of our future products, or if confidence in our products is diminished, our business, financial condition, results of operations, and prospects would be harmed.</w:t>
      </w:r>
    </w:p>
    <w:p>
      <w:pPr>
        <w:spacing w:after="0" w:line="6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expect that revenue from sales of the Ceribell System will continue to account for almost all of our revenue for the foreseeable future. Continued and widespread market acceptance of alternatives to conventional EEG systems, particularly in the acute care setting, is critical to our future success. The size of our customer base and our ability to acquire new customers is critical to our success as well. Thus, our commercial success will depend in large part on further adoption of the Ceribell System by hospital customers and healthcare professionals and an increase in the number of patients evaluated with it in the acute care setting, as well as on our ability to retain existing customers. Existing customers may choose to terminate or not renew their subscription typically on 30 days’ notice to us without payment of a penalty or termination fee, and we may not be able to replace any customers that elect to terminate or not renew their subscriptions with us.</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spend significant amounts on marketing and brand-building initiatives to increase market awareness of the Ceribell System, reinforce the importance of prompt diagnosis of non-convulsive status epilepticus, and highlight the limitations of conventional EEG systems. We believe these programs are essential to increasing adoption; however, these initiatives may not be successful or cost-effective. If our marketing efforts prove less successful than anticipated, we may not be able to recover our spend, and our rates of customer acquisition or retention may fail to meet market expectations.</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Various factors can contribute to our ability to effectively engage and retain customers and their use of our products. For example, hospitals and healthcare professionals may be reluctant to purchase or use the Ceribell System due to familiarity with conventional EEG systems that are well-established and known to them, and because they must continue to use conventional EEG systems outside of the acute care setting. Our ability to grow sales of the Ceribell System and drive market acceptance will depend on successfully educating hospitals and healthcare professionals of the relative benefits of the Ceribell System compared to the standard of care, which includes conventional EEG systems in the acute care setting, as well as educating such hospitals or healthcare professionals regarding the uses and limitations of the Ceribell System.</w:t>
      </w:r>
    </w:p>
    <w:p>
      <w:pPr>
        <w:spacing w:after="0" w:line="18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If healthcare professionals do not perceive our products to be useful, effective, reliable, and trustworthy, or if we are unable to provide sufficient training to healthcare professionals or harmonize our products with hospital information technology systems, we may not be able to attract or retain customers. Healthcare professionals may perceive the Ceribell System to be less useful if they do not subscribe for access to the Clarity algorithm as part of their use of the Ceribell System, whether because of incremental cost, lack of familiarity or trust in the algorithm’s diagnostic accuracy, or if, for similar reasons, they do not rely on the Clarity algorithm (including automated alerts) to interpret the EEG results produced by the Ceribell System. In addition, building a strong brand is critical to our success, but negative clinical research results or publicity or an adverse change to published or unpublished guidelines or recommendations from third parties (including, without limitation, medical societies) relating to the use, clinical benefit, or risk profile of the Ceribell System or AI-enabled devices, or reduced montage EEGs or rapid EEGs in general could result in negative perception by healthcare professionals and affect our brand and reputation. For example, Villamar et al. (2023), a study that retrospectively reviewed EEG recordings for 21 patients who were admitted to a medical intensive care unit after cardiac arrest, found that the Clarity algorithm that was in use at the time of the study did not detect seizures in the four patients who were experiencing them. While we constantly work to improve the Ceribell algorithm and overall Ceribell System, the technologies we work with are novel and complex, and we cannot assure you that there will not be additional negative reports on the Ceribell System in the future. Further, customers who are dissatisfied with their experiences with the Ceribell System may post negative reviews, and we have been, and may in the future become, the subject of blog, forum, or other social media postings that contain negative statements about us, which are outside of our control and</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may be inaccurate. Any negative publicity, whether real or perceived, disseminated by word-of-mouth, the general media, electronic or social networking platforms, competitor materials, or other methods, could harm our reputation and brand and could severely diminish consumer confidence in our products. Further, a shortage of neurologists or other clinicians (if any) available to read the results of the Ceribell System, could negatively affect the timely assessment of data from the Ceribell System. Lack of support for our products from healthcare professionals can affect how receptive physicians will be to use our products for their patients and could result in decreased demand for our products. Negative healthcare professional perception could also render us less attractive to future hospital customers, which could result in decreased sales of our products. A number of other factors, including the impacts of economic conditions and regulatory changes on hospital budgets and spending patterns, could potentially negatively affect new customer acquisitions and demand for our products.</w:t>
      </w:r>
    </w:p>
    <w:p>
      <w:pPr>
        <w:spacing w:after="0" w:line="29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industry, and competitive pressures could have a material adverse effect on our business, financial condition, results of operations, and prospects.</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market for EEG alternatives is competitive in terms of development, availability, pricing, product quality, and time-to-market. Our primary competition is from conventional EEG systems, which are used in the majority of hospitals in the United States that have resources to purchase and support EEG systems. These competitors have greater name and brand recognition, greater market share, greater resources, stronger financial profiles, and may have larger sales forces than we do, as well as legacy status among hospitals. For example, the two primary conventional EEG providers in the United States are Natus and Nihon Kohden, both of which have much longer operating histories than we do. We also face competition from companies that provide or are developing rapid EEG systems, including Nihon Kohden, Natus, and other companies, that can be used in the acute care and other settings (e.g., home and ambulance), or EEG systems specifically for use in the acute care setting, and conventional EEG providers may also seek to develop additional EEG systems. Our competitors may be able to offer products similar or superior to ours at a more attractive price than we can. Our competitors could also be better positioned to serve certain segments of our market, which could create additional price pressure. In light of these factors, our competitors may be able to respond more quickly and effectively than we can to new or changing opportunities, technologies, standards, or customer requirements. As a result, even if the Ceribell System is more effective than our competitors’ products, current or potential customers may accept competitive products, including conventional EEG systems and rapid EEG systems that can be used in multiple settings, in lieu of purchasing and using our products. In addition, because the Ceribell System is supplemental to, and not a replacement for, conventional EEG systems for rapid acute care diagnosis, customers may view our products as an additional expense and choose to purchase and maintain only conventional EEG systems. If we are unable to successfully compete, our business, financial condition, results of operations, and prospects could be materially and adversely affected.</w:t>
      </w:r>
    </w:p>
    <w:p>
      <w:pPr>
        <w:spacing w:after="0" w:line="30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Adapting our manufacturing and production capacities to evolving patterns of demand is expensive, time-consuming, and subject to significant uncertainties. We may not be able to adequately predict emerging customer trends and may be unable to adjust our production and inventory levels in a timely manner.</w:t>
      </w:r>
    </w:p>
    <w:p>
      <w:pPr>
        <w:spacing w:after="0" w:line="6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market the Ceribell System directly to potential customers in the United States, where we face the risk of significant changes in the demand for our products, including demand for our disposable Wearables based on usage rates. If demand decreases, we will need to implement capacity and cost reduction measures involving restructuring costs. If demand increases, we will be required to make capital expenditures related to increased production and expenditures to hire and train production, sales and marketing, and product support personnel. This would put pressure on our internal and third-party manufacturing capabilities. For example, a sudden increase in demand could require increased production of components, such as our disposable Wearables that are intended for single patient use, so that our customers can timely deliver care to their patients. Adapting to changes in demand inherently lags behind the actual changes because it takes time to identify the change the market is undergoing and to implement any measures to take as a result. Finally, capacity adjustments are inherently risky because there is imperfect information, and sales trends may rapidly intensify, ebb, or even reverse. We may be unable to accurately or timely predict trends in demand and customer behavior or to take appropriate measures to mitigate risks and react to opportunities resulting from such trends. Any inability in the future to identify or to adequately and effectively react to changes in demand could have a material adverse effect on our business, financial condition, results of operations, and prospects.</w:t>
      </w:r>
    </w:p>
    <w:p>
      <w:pPr>
        <w:spacing w:after="0" w:line="19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we may experience challenges managing the inventory of components of the Ceribell System, which can lead to excess inventory. Inventory levels in excess of customer demand may result in inventory write-downs or write-offs, which could impact our gross margins. Reserves and write-downs for discounts, promotions, and excess inventory are recorded based on our strategic plans and forecast of future demand. Actual future demand could be less than our forecast, which may result in additional reserves and write-downs in the future, or actual demand could be stronger than our forecast, which may result in a reduction to previously recorded reserves and write-downs in the future and increase the volatility of our operating results.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trade policy, tariffs, and our reliance on international manufacturing and supply chain operations expose us to foreign operational and trade risks that may adversely affect our business, results of operations, and financial condition.</w:t>
      </w:r>
    </w:p>
    <w:p>
      <w:pPr>
        <w:spacing w:after="0" w:line="2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U.S. government has implemented or proposed changes to international trade policy through the renegotiation or potential</w:t>
      </w:r>
    </w:p>
    <w:p>
      <w:pPr>
        <w:sectPr>
          <w:pgSz w:w="11900" w:h="16838" w:orient="portrait"/>
          <w:cols w:equalWidth="0" w:num="1">
            <w:col w:w="11240"/>
          </w:cols>
          <w:pgMar w:left="320" w:top="117" w:right="339" w:bottom="1440" w:gutter="0" w:footer="0" w:header="0"/>
        </w:sectPr>
      </w:pP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termination of existing trade agreements and the imposition of tariffs on a wide range of products from China, Vietnam, countries in EMEA, and other regions. In response, China and other countries have imposed or proposed additional tariffs and trade restrictions on imports from the United States. Trade relations between the United States and China remain volatile and uncertain. In 2025, the U.S. imposed additional tariffs on imports from China, Vietnam, and other regions and announced and subsequently paused implementation of certain tariffs. These actions and related retaliation have created significant market uncertainty and may affect the prices of and demand for our products, negatively impacting our results of operations.</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rely on manufacturing facilities and third-party suppliers outside the United States, including in China and Vietnam, for the primary assembly and inspection of our Wearables and for a significant portion of our components. We rely on two primary contract manufacturers in China and maintain contractors in China who perform monitoring and quality inspection services. Our operations also depend on the availability of raw materials and components.</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suppliers and manufacturers in China expose us to political, legal, and economic risks, including deterioration of U.S.–China relations and changes in U.S. and Chinese laws and regulations relating to sanctions, taxation, import and export restrictions, tariffs, environmental protection, intellectual property, currency controls, cybersecurity, labor and human rights practices, privacy, and public health. Tariffs on products imported from China could adversely affect our suppliers’ operations, potentially causing disruptions or requiring us to transition to alternative manufacturers.</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the Uyghur Forced Labor Prevention Act could prohibit the importation of products or components if any portion of our supply chain is determined to involve forced labor in the Xinjiang Uyghur Autonomous Region. Trade regulations in China remain fluid, and sustained geopolitical tensions could result in additional tariffs, trade restrictions, or a global economic slowdown.</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Increased tariffs and countermeasures could raise costs, limit material availability, disrupt global supply chains, increase market volatility, and create operational challenges, materially adversely affecting our sales, gross margins, and customer demand.</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Although we have engaged vendors and a contract manufacturer in Vietnam to mitigate certain supply chain risks, these efforts may not be effective, may increase capital and operating costs, and could adversely affect our operating results. Labor costs in China have increased and may continue to rise, and shortages of qualified workers could further constrain production and increase costs passed on to us.</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international operations also expose us to risks including logistics disruptions, higher component costs, quality control issues, political and economic instability, geopolitical conflicts, outbreaks of contagious diseases, regulatory restrictions, intellectual property protection challenges, currency fluctuations, adverse tax consequences, lack of long-term supplier commitments, supplier failures, and labor disputes or natural disasters.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Geopolitical conflicts may increase our costs and disrupt our supply chain.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Ongoing geopolitical tensions and military conflict in the Middle East, including the conflict involving Iran, have disrupted, and may continue to disrupt, global energy and transportation markets, including shipping through the Strait of Hormuz, a critical corridor for international trade. These developments may result in increased fuel and logistics costs, reduced shipping availability, and broader supply chain constraints.</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rely on third-party manufacturers and suppliers, including in China and Vietnam, for the production and assembly of our products and components. As a result, supply chain and transportation disruptions, as well as increases in supplier and logistics costs, may delay our ability to obtain components and deliver finished products and increase our operating costs. In addition, increased costs incurred by our suppliers or contract manufacturers may be passed through to us, which could adversely affect our gross margins.</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Geopolitical instability may also contribute to broader macroeconomic impacts, including inflationary pressures and financial market volatility. The duration and severity of these developments are uncertain, and any escalation could exacerbate these risks. If we are unable to effectively manage these impacts, our business, financial condition, results of operations, and prospects could be adversely affected.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innovate at the pace of our competitors, we may not be able to develop or exploit new technologies in time to remain competitive.</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For us to remain competitive, it is essential to be at the forefront of new technologies, including in the rapidly evolving area of AI. If we are unable to meet customer demands for new technology, or if the technologies we introduce are viewed less favorably than our competitors’ products, our results of operations and future prospects may be negatively affected. To meet our customers’ needs in these areas, we must continuously work on our product design, develop our algorithms, and invest in and develop new technologies. We will also need to anticipate customer demand with respect to these technologies and which technological advances are most desirable in the EEG monitoring products and any future additional products we market. This need will require our employees to continue learning and adapting to new technologies, and will require us to compete for highly skilled talent in a competitive market. Our operating results depend to a significant extent on our ability to anticipate and adapt to technological changes in the EEG monitoring market, maintain</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innovation, maintain a strong product pipeline, and reduce or maintain low costs for producing high-quality EEG monitoring products. Any inability to do so could have a material adverse effect on our business, financial condition, results of operations, and prospects.</w:t>
      </w:r>
    </w:p>
    <w:p>
      <w:pPr>
        <w:spacing w:after="0" w:line="26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AI presents risks and challenges that can impact our business, including by posing security risks to our confidential information, proprietary information, and personal data.</w:t>
      </w:r>
    </w:p>
    <w:p>
      <w:pPr>
        <w:spacing w:after="0" w:line="26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Issues in the development and use of AI, including the algorithms used in the Clarity platform and other AI-enabled features of the Ceribell System, combined with an uncertain regulatory environment, may result in reputational harm, liability, or other adverse consequences to our business operations. As with many technological innovations, AI presents risks and challenges that could impact our business. We may adopt and integrate AI tools, including generative AI tools, for specific use cases reviewed by legal and information security. Our vendors may incorporate generative AI tools into their offerings without disclosing this use to us, and the providers of these generative AI tools may not meet existing or rapidly evolving regulatory or industry standards with respect to privacy and data protection and may inhibit our or our vendors’ ability to maintain an adequate level of service and experience.</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If we, our vendors, or our third-party partners experience an actual or perceived breach or privacy or security incident because of the use of AI, we may lose valuable intellectual property and confidential information and our reputation and the public perception of the effectiveness of our security measures could be harmed. Further, bad actors around the world use increasingly sophisticated methods, including the use of AI, to engage in illegal activities involving the theft and misuse of personal information, confidential information, and intellectual property. Any of these outcomes could damage our reputation, result in the loss of valuable property and information, and have a material adverse effect on our business, financial condition and results of operations.</w:t>
      </w:r>
    </w:p>
    <w:p>
      <w:pPr>
        <w:spacing w:after="0" w:line="75"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future sales in international markets will subject us to additional costs and risks that may have a material adverse effect on our business, financial condition, results of operations, and prospects.</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To date, all of our sales have been to customers in the United States. We intend to enter into international markets in the future, and there are significant costs and risks inherent in conducting business in international markets. Upon our expansion into foreign markets, we will be subject to new business risks, in addition to regulatory risks. See the risk factor titled, “We face risks related to obtaining necessary foreign regulatory clearance or approvals.” In addition, expansion into foreign markets will impose additional burdens on our executive and administrative personnel, finance and legal teams, sales and marketing teams, and general managerial resources.</w:t>
      </w:r>
    </w:p>
    <w:p>
      <w:pPr>
        <w:spacing w:after="0" w:line="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have limited experience with international regulatory regimes and market practices, and we may not be able to penetrate or successfully generate sales in new markets. We may also encounter difficulty expanding into international markets because of limited brand recognition in certain parts of the world, leading to delayed acceptance of our products by potential customers in these international markets. In addition, international markets may have different reimbursement pathways that present additional challenges and make those markets less commercially viable. If we are unable to expand internationally and manage the complexity of international sales operations successfully, it could have a material adverse effect on our business, financial condition, results of operations, and prospects. If our efforts to introduce our products into foreign markets are not successful, we may have expended significant resources without realizing the expected benefit. Ultimately, the investment required for expansion into foreign markets could exceed the results of operations generated from this expansion.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attract and retain senior management and other key personnel, our business may be materially and adversely affected.</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success depends in part on our continued ability to attract, retain, and motivate highly qualified management, sales and marketing, and research and development personnel, including those with hardware expertise and software expertise, in particular in the area of AI. We are highly dependent upon our senior management team as well as our senior technology personnel. We have experienced, and may in the future experience, planned or unplanned departures of members of our senior management team or senior technology personnel. Any loss of services, whether planned or unplanned, of any of the members of our senior management team could adversely affect our business until a suitable replacement can be found.</w:t>
      </w:r>
    </w:p>
    <w:p>
      <w:pPr>
        <w:spacing w:after="0" w:line="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Competition for qualified personnel in the medical device field in general and the EEG field specifically is intense, due to the limited number of individuals who possess the training, skills, and experience required by our industry. We intend to continue to review and, where necessary, strengthen our senior management as the needs of our business develop, including through internal promotion and external hires. However, there may be a limited number of people with the requisite competencies to serve in these positions, and we cannot assure you that we will be able to locate or employ such qualified personnel on terms acceptable to us or at all. We also face significant competition for personnel where our main office is located in the San Francisco Bay Area. To attract and maintain key personnel, we need to remain competitive in our “total rewards” offers to employees, including attractive cash compensation, equity, and benefits packages. While we regularly assess market trends for any changes in compensation across all functions, we need to remain diligent in our compensation benchmarking, especially for key personnel, to ensure we are providing attractive offers to new employees and compensating existing employees well. Therefore, the loss of one or more of our key personnel, whether planned or unplanned, or our failure to attract and retain additional key personnel, could have a material adverse effect on our business, financial condition, results</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operations, and prospects. In addition, to the extent we hire personnel from competitors, we have been, and may in the future be, subject to allegations that they have been improperly solicited or that they have divulged proprietary or other confidential information, or that their former employers own their research output.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maintain our culture, our business may be negatively affected.</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Maintaining a positive company culture is necessary to enable us to retain and hire key talent and have a cohesive, aligned employee base. Our ability to maintain this culture will directly affect the continued growth and success of our company. Our culture could face sustainability challenges as we continue to grow. Potential obstacles include reduced adoption of our culture by new employees, limited ability to maintain consistency of culture within business teams, and failure to attract and retain leaders who are mission-minded and support our culture.</w:t>
      </w:r>
    </w:p>
    <w:p>
      <w:pPr>
        <w:spacing w:after="0" w:line="2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develop new products and effectively manage their introduction or improve our existing products, our business may be adversely affected.</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must successfully manage introductions of new or enhanced products or new or enhanced features of the Ceribell System and Clarity, including those related to any future indications in addition to seizure. Introductions of new products or features of the Ceribell System and Clarity could also adversely impact the sales of our existing products to customers. For instance, the introduction or announcement of a new or advanced Ceribell System could shorten the life cycle of our existing devices or reduce demand for them, potentially reducing any benefits of successful new product or enhancement introductions and leading to challenges in managing the inventory of existing products. In addition, new or enhanced products may have higher manufacturing, marketing, information technology, or other costs than our existing products, or lower market acceptance, which could negatively impact our gross margins and operating results. As the technological complexity of our products increases, the infrastructure to support our products, such as our design and manufacturing processes and technical support for our products, may also become more complex. Accordingly, if we fail to effectively manage introductions of new or advanced products, our business may be adversely affected.</w:t>
      </w:r>
    </w:p>
    <w:p>
      <w:pPr>
        <w:spacing w:after="0" w:line="40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products are complex to design and manufacture and can contain defects. The production and sale of defective products could adversely affect our business, financial condition, results of operations, and prospects. If product liability lawsuits are brought against us, we may incur substantial liabilities and may be required to limit sales of our products.</w:t>
      </w:r>
    </w:p>
    <w:p>
      <w:pPr>
        <w:spacing w:after="0" w:line="6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Ceribell System contains highly complex electronic components, which are sourced from external third parties, and there is an inherent risk that defects may occur in the production of any of our products. Although we rely on the suppliers’ internal procedures designed to minimize risks that may arise from quality issues, there can be no assurance that we or our suppliers will be able to eliminate or mitigate occurrences of these issues and associated liabilities. In addition to the risk of product returns by our customers due to product defects, we face exposure to product liability claims in the event that any of our devices are alleged to have resulted in personal injury, over- or under-reporting of seizures resulting in inappropriate diagnosis or treatment, damage to property, or otherwise to have caused harm. We may be sued if any of our devices allegedly causes injury or is found to be otherwise unsuitable during product testing, manufacturing, marketing, sale, or use. For example, Clarity is not designed to detect all short seizures, and users of the Ceribell System may allege the failure to detect all short seizures is a defect. Any such product liability claims may include allegations of defects in manufacturing, defects in design, a failure to warn of dangers or limitations inherent in the product, negligence, strict liability, and a breach of warranty. If we cannot successfully defend ourselves against product liability claims, we may incur substantial liabilities or be required to limit sales of our products. Even successful defense would require significant financial and management resources. Regardless of the merits or eventual outcome, liability claims may result in:</w:t>
      </w:r>
    </w:p>
    <w:p>
      <w:pPr>
        <w:spacing w:after="0" w:line="82"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current or future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customers and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investigations, product recalls, withdrawals or labeling, marketing or promotional restrictions;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sell our current or any future products.</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inability to obtain and maintain sufficient product liability insurance at an acceptable cost and scope of coverage to protect against potential product liability claims could prevent or inhibit the sale of our current or any future products we develop. Although we currently carry product liability insurance, any claim that may be brought against us could result in a court judgment or settlement in an</w:t>
      </w:r>
    </w:p>
    <w:p>
      <w:pPr>
        <w:sectPr>
          <w:pgSz w:w="11900" w:h="16838" w:orient="portrait"/>
          <w:cols w:equalWidth="0" w:num="1">
            <w:col w:w="11240"/>
          </w:cols>
          <w:pgMar w:left="320" w:top="117" w:right="339" w:bottom="1440" w:gutter="0" w:footer="0" w:header="0"/>
        </w:sectPr>
      </w:pP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funds to pay such amounts. Moreover, in the future, we may not be able to maintain insurance coverage at a reasonable cost or in sufficient amounts to protect us against losses. The production and sale of defective products in the future could have a material adverse effect on our business, financial condition, results of operations, and prospects.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size and expected growth of our addressable market has not been established with precision, and may be smaller than we estimate.</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estimates of the addressable market for our current products and any future products are based on a number of internal and third-party estimates and assumptions, including the prevalence of seizures in the acute care setting and additional indications we intend to expand into, and the level of underutilization of EEG in the acute care setting. While we believe our assumptions and the data underlying our estimates are reasonable, these assumptions and estimates may not be correct. As a result, our estimates of the addressable market for our current or future products may prove to be incorrect. If the actual number of patients who would benefit from our products and services, the price at which we can sell future products or services or the addressable market for our products or services is smaller than we estimate, it could have a material adverse effect on our business, financial condition, results of operations, and prospects.</w:t>
      </w:r>
    </w:p>
    <w:p>
      <w:pPr>
        <w:spacing w:after="0" w:line="2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Alternative technologies or therapies addressing seizure, non-convulsive status epilepticus or other indications we intend to expand into could materially adversely affect our business, financial condition, results of operations, and prospects.</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medical research were to lead to the discovery of alternative therapies or technologies that address seizure, status epilepticus or other indications we intend to expand into in a way that is or is perceived to be more accurate, reliable, cost-effective, or otherwise improved relative to the Ceribell System, for example through alternative monitoring or testing technologies, medication, or therapies, the demand for our products could decrease significantly, leading to a material adverse effect on our business, financial condition, results of operations, and prospects.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 the future be deemed to manufacture or contract to manufacture products that contain conflict minerals.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may in the future be deemed to manufacture or contract to manufacture products that contain certain minerals that have been designated as “conflict minerals” under the Dodd-Frank Wall Street Reform and Consumer Protection Act. As a result, in future periods, we may be required to diligence the origin of such minerals and disclose and report whether or not such minerals originated in the Democratic Republic of the Congo or adjoining countries. The implementation of these new requirements could adversely affect the sourcing, availability, and pricing of materials used in the manufacture of our products. In addition, we may incur additional costs to comply with the disclosure requirements, including costs related to determining the source of any relevant minerals and metals used in our products.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Macroeconomic conditions could materially adversely affect our business, financial condition, results of operations, and prospects.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Macroeconomic conditions, such as high inflationary pressure, changes to monetary policy, high interest rates, volatile currency exchange rates, credit and debt concerns, decreasing consumer confidence and spending, including capital spending, concerns about the stability and liquidity of certain financial institutions, the introduction of or changes in tariffs or trade barriers, and global recessions can adversely impact demand for our products, which could negatively impact our business, financial condition, results of operations, and prospects. Recent macroeconomic conditions have been adversely impacted by geopolitical instability and military hostilities in multiple geographies, including the conflict involving Iran, as well as monetary and financial uncertainties.</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impacts of these macroeconomic conditions, and the actions taken by governments, central banks, companies, and consumers in response, have resulted in, and may continue to result in, higher inflation in the United States and globally, which is likely, in turn, to lead to an increase in costs and may cause changes in fiscal and monetary policy, including additional increases in interest rates. Other adverse impacts of recent macroeconomic conditions have been, and may continue to be, supply chain constraints, logistics challenges, liquidity concerns in the broader financial services industry, and fluctuations in labor availability.</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 higher inflationary environment, we may be unable to raise the prices of our products sufficiently to keep up with the rate of inflation. A higher inflationary environment can also negatively impact raw material, component, and logistics costs that, in turn, may increase the costs of producing and distributing our products.</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Hospitals, in particular, are experiencing and may continue to experience financial and operational pressures as a result of staffing shortages, the supply chain environment, and high inflation, which could impact their ability to access capital markets and other funding</w:t>
      </w:r>
    </w:p>
    <w:p>
      <w:pPr>
        <w:sectPr>
          <w:pgSz w:w="11900" w:h="16838" w:orient="portrait"/>
          <w:cols w:equalWidth="0" w:num="1">
            <w:col w:w="11240"/>
          </w:cols>
          <w:pgMar w:left="320" w:top="117" w:right="339" w:bottom="1440" w:gutter="0" w:footer="0" w:header="0"/>
        </w:sectPr>
      </w:pP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sources, increase the cost of funding, or impede their ability to comply with debt covenants, all of which could impede their ability to provide patient care and impact their profitability. To the extent that hospitals face financial pressures, delayed access, or loss of access to uninsured deposits, reductions in government spending or higher interest rates, hospitals’ ability or willingness to spend on equipment may be adversely impacted, all of which could have a material adverse effect on our business, financial condition, results of operations, and prospects.</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Also, we have experienced, and may continue to experience, supply chain constraints, including difficulties obtaining a sufficient supply or increased prices of component materials used in our products. Increased interest rates may make access to credit more difficult, which may result in the insolvency of key suppliers, which would exacerbate supply chain challenges. Such supply chain constraints could cause us to fail to meet product demand or maintain our margins.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Shutdowns of the U.S. federal government could materially adversely affect our business, financial condition, results of operations, and prospects.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U.S. federal government has shut down multiple times in the past, and certain regulatory agencies, including the FDA, the Centers for Medicare</w:t>
      </w:r>
    </w:p>
    <w:p>
      <w:pPr>
        <w:spacing w:after="0" w:line="27" w:lineRule="exact"/>
        <w:rPr>
          <w:sz w:val="20"/>
          <w:szCs w:val="20"/>
          <w:color w:val="auto"/>
        </w:rPr>
      </w:pPr>
    </w:p>
    <w:p>
      <w:pPr>
        <w:jc w:val="both"/>
        <w:ind w:firstLine="8"/>
        <w:spacing w:after="0" w:line="253" w:lineRule="auto"/>
        <w:tabs>
          <w:tab w:leader="none" w:pos="19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Medicaid Services (“CMS”), the USITC, the U.S. Patent and Trademark Office (“USPTO”), the U.S. Department of Defense, and the U.S. Department of Veterans Affairs, have had to furlough employees and suspend some of their activities. A prolonged shutdown could delay regulatory reviews and approvals, litigation proceedings, or government program implementations and could ultimately disrupt or delay our research and development, manufacturing, commercialization, or intellectual property enforcement activities. Any such delays or disruptions could have a material adverse effect on our business, financial condition, results of operations, and prospects.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Related to Regulatory Matters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adequate reimbursement becomes unavailable for the diagnostic tests using our products, it could diminish our sales or affect our ability to sell the Ceribell System profitably.</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Diagnostic tests performed with the Ceribell System are generally reimbursed under existing physician and hospital codes. Our ability to increase sales of the Ceribell System depends, in significant part, on the availability of adequate coverage and reimbursement from third-party payers, including governmental payers (such as the Medicare and Medicaid programs in the United States), managed care organizations, and private health insurers. Third-party payers decide which diagnostic tests they will cover and establish reimbursement rates for those tests. We do not bill any third-party payers for the Ceribell System. Instead, we invoice healthcare providers and the cost is bundled into the reimbursement received by healthcare providers for the tests using the Ceribell System.</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expect the Ceribell System will continue to be purchased by hospitals who will then seek reimbursement from third-party payers. Reimbursement for the hospital services during an inpatient stay generally is made under a prospective payment system that is determined by a classification system known as diagnosis-related groups, which are assigned using a number of factors including the principal diagnosis, major procedures, discharged status, patient age, and complicating secondary diagnoses, among other things. In August 2023, CMS approved an NTAP under the Medicare inpatient prospective payment system for our newest Clarity algorithm, effective October 1, 2023. The NTAP designation for a product lasts for no more than three years for a specific indication. Once our new Clarity algorithm is no longer eligible for NTAP, the additional cost associated with the use of our products could affect our customers’ profit margin. In light of the potential additional associated cost, some of our target customers may be unwilling to adopt our products and some of our existing customers may terminate their contracts with us.</w:t>
      </w:r>
    </w:p>
    <w:p>
      <w:pPr>
        <w:spacing w:after="0" w:line="19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While third-party payers currently cover and provide reimbursement for tests using the Ceribell System, we can give no assurance that these third-party payers will continue to provide coverage and adequate reimbursement, or that current reimbursement levels for the tests will continue. Third-party payers, whether foreign or domestic, or governmental or commercial, are developing increasingly sophisticated methods of controlling healthcare costs. In addition, no uniform policy of coverage and reimbursement for tests using our products exists among third-party payers. Therefore, coverage and reimbursement for tests using our products can differ significantly from payer to payer. Other competitive products may be more widely covered or subject to different reimbursement policies and requirements, which could impact demand for our products.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Furthermore, the overall amount of reimbursement available for EEG monitoring and seizure diagnosis could decrease in the future. We cannot be sure that the reimbursement amounts available for hospital services and tests using the Ceribell System will not reduce or otherwise negatively impact the demand for our products. Further, coverage policies and third-party reimbursement rates may change at any time. Even if favorable coverage and reimbursement status is attained, less favorable coverage policies and reimbursement rates may be implemented in the future. Failure by users of the Ceribell System to obtain adequate reimbursement for these tests would have a material adverse effect on our business, financial condition, results of operations, and prospects.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continued commercialization of our products depends in part on the extent to which governmental authorities and health insurers provide coverage and adequate reimbursement levels. Failure to obtain and maintain coverage and adequate reimbursement for our products could limit our ability to market those products and decrease our ability to generate revenue.</w:t>
      </w:r>
    </w:p>
    <w:p>
      <w:pPr>
        <w:spacing w:after="0" w:line="6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While third-party payers generally currently cover and provide reimbursement for diagnostic tests using the Ceribell System, there is significant uncertainty related to the insurance coverage and reimbursement of newly approved and launched products. In the United States, third-party payers, including private and governmental payers, such as the Medicare and Medicaid programs, play an important role in determining the extent to which new devices will be covered. The Medicare and Medicaid programs increasingly are used as models in the United States for how private payers and other governmental payers develop their coverage and reimbursement policies for medical devices. Some third-party payers may require pre-approval of coverage for new or innovative devices before they will reimburse healthcare providers who use such devices.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addition, customers that use our products may be </w:t>
      </w:r>
      <w:r>
        <w:rPr>
          <w:rFonts w:ascii="Times New Roman" w:cs="Times New Roman" w:eastAsia="Times New Roman" w:hAnsi="Times New Roman"/>
          <w:sz w:val="18"/>
          <w:szCs w:val="18"/>
          <w:color w:val="231F20"/>
        </w:rPr>
        <w:t>subject to reimbursement claim denials upon submission of their claims. Customers may also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subject to recovery of overpayments if a payer makes payment for the claim and subsequently determines that the payer’s coding, billing, or coverage policies were not followed. These events, or any other decline in the amount payers are willing to reimburse our customers, could make it difficult for existing customers to continue using or to adopt our products and could create additional pricing pressure for us. If we are forced to lower the price we charge for our products, our gross margins will decrease, which could have a material adverse effect on our business, financial condition, results of operations, and prospects.</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Obtaining coverage and reimbursement can be a time-consuming process that could require us to provide supporting scientific, clinical, and cost-effectiveness data for the use of our products. We may not be able to provide data sufficient to satisfy governmental and other third-party payers that diagnostic tests using our products should be covered and reimbursed. In addition, payers continually review new and existing technologies for possible coverage and can, without notice, deny or reverse coverage for new or existing products and tests. There can also be no assurance that third-party payer policies will provide coverage for tests using our products.</w:t>
      </w:r>
    </w:p>
    <w:p>
      <w:pPr>
        <w:spacing w:after="0" w:line="1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Further, we believe that future coverage and reimbursement may be subject to increased restrictions, such as additional prior authorization requirements, both in the United States and in international markets, which may impact utilization of our products and have a material adverse effect on our business, financial condition, results of operations, and prospects. In Europe, reimbursement is entirely regulated at member state level, varies significantly between countries, and member states are facing increased pressure to limit public healthcare spending. Third-party coverage and reimbursement for our products or any of our products in development for which we may receive regulatory clearance, certification, or approval may not be available or adequate in either the United States or international markets. If demand for our products is adversely affected by third-party reimbursement policies and decisions, it could have a material adverse effect on our business, financial condition, results of operations, and prospects.</w:t>
      </w:r>
    </w:p>
    <w:p>
      <w:pPr>
        <w:spacing w:after="0" w:line="29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federal and state fraud and abuse laws and transparency laws, and any failure to comply could subject us to substantial penalties or other adverse consequences. In addition, any challenge to or investigation into our practices under these laws could cause adverse publicity and be costly to respond to, and thus could harm our business.</w:t>
      </w:r>
    </w:p>
    <w:p>
      <w:pPr>
        <w:spacing w:after="0" w:line="6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There are numerous U.S. federal and state laws pertaining to healthcare fraud and abuse, including anti-kickback, false claims, and transparency laws regarding payments and other transfers of value made to physicians and other healthcare professionals. Our business practices and </w:t>
      </w:r>
      <w:r>
        <w:rPr>
          <w:rFonts w:ascii="Times New Roman" w:cs="Times New Roman" w:eastAsia="Times New Roman" w:hAnsi="Times New Roman"/>
          <w:sz w:val="18"/>
          <w:szCs w:val="18"/>
          <w:color w:val="231F20"/>
        </w:rPr>
        <w:t>relationships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providers are subject to scrutiny under these laws. The healthcare laws and regulations that may affect our ability to operate include, but are not limited to:</w:t>
      </w:r>
    </w:p>
    <w:p>
      <w:pPr>
        <w:spacing w:after="0" w:line="68" w:lineRule="exact"/>
        <w:rPr>
          <w:sz w:val="20"/>
          <w:szCs w:val="20"/>
          <w:color w:val="auto"/>
        </w:rPr>
      </w:pPr>
    </w:p>
    <w:p>
      <w:pPr>
        <w:jc w:val="both"/>
        <w:ind w:left="1020" w:hanging="503"/>
        <w:spacing w:after="0" w:line="258"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and entities from soliciting, offering, receiving, or providing remuneration, directly or indirectly, in cash or in kind, to induce either the referral of an individual or furnishing or arranging for a good or service, for which payment may be made, in whole or in part, under federal healthcare programs, such as Medicare and Medicaid. The U.S. government has interpreted this law broadly to apply to the marketing and sales activities of medical device manufacturers. In addition, a person or entity does not need to have actual knowledge of the statute or specific intent to violate it to have committed a violation;</w:t>
      </w:r>
    </w:p>
    <w:p>
      <w:pPr>
        <w:spacing w:after="0" w:line="75" w:lineRule="exact"/>
        <w:rPr>
          <w:rFonts w:ascii="Times New Roman" w:cs="Times New Roman" w:eastAsia="Times New Roman" w:hAnsi="Times New Roman"/>
          <w:sz w:val="18"/>
          <w:szCs w:val="18"/>
          <w:color w:val="auto"/>
        </w:rPr>
      </w:pPr>
    </w:p>
    <w:p>
      <w:pPr>
        <w:jc w:val="both"/>
        <w:ind w:left="1020" w:hanging="503"/>
        <w:spacing w:after="0" w:line="254"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and civil monetary penalties laws, including the federal civil False Claims Act, which prohibit, among other things, individuals or entities from knowingly presenting, or causing to be presented, claims for payment from Medicare, Medicaid, or other federal healthcare programs that are false or fraudulent; knowingly making, using, or causing to be made or used, a false record or statement material to a false or fraudulent claim, or knowingly making a false statement to avoid, decrease, or conceal an obligation to pay money to the federal government. In addition, certain marketing practices that, for example, induce providers to upcode to a higher reimbursement service or site of service, may also violate false claims laws. Moreover, the government may assert that a claim including items or services resulting from a violation of the federal Anti-Kickback Statute constitutes a false or fraudulent claim for purposes of the federal civil False Claims Act. Private individuals can bring False Claims Act “qui tam” actions, on behalf of the government and such individuals, commonly known as “whistleblowers,” may share in amounts paid by the entity to the government in fines or settlement;</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left="102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of 1996, as amended by the Health Information Technology for Economic and Clinical Health Act of 2009, and regulations implemented thereunder (collectively, “HIPAA”), which, in addition to privacy protections applicable to healthcare providers and other entities, prohibits, among other things, executing a scheme to defraud any healthcare benefit program and making false statements relating to healthcare matters. Similar to the federal Anti-Kickback Statute, a person or entity does not need to have actual knowledge of the statute or specific intent to violate it to have committed a violation;</w:t>
      </w:r>
    </w:p>
    <w:p>
      <w:pPr>
        <w:spacing w:after="0" w:line="75" w:lineRule="exact"/>
        <w:rPr>
          <w:rFonts w:ascii="Times New Roman" w:cs="Times New Roman" w:eastAsia="Times New Roman" w:hAnsi="Times New Roman"/>
          <w:sz w:val="18"/>
          <w:szCs w:val="18"/>
          <w:color w:val="auto"/>
        </w:rPr>
      </w:pPr>
    </w:p>
    <w:p>
      <w:pPr>
        <w:jc w:val="both"/>
        <w:ind w:left="1020" w:hanging="503"/>
        <w:spacing w:after="0" w:line="25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which requires certain applicable manufacturers of drugs, devices, biologics, and medical supplies for which payment is available under certain federal healthcare programs, to monitor and report to CMS, certain payments and other transfers of value to physicians (defined to include doctors, dentists, optometrists, podiatrists, and chiropractors), certain other non-physician practitioners (physician assistants, nurse practitioners, clinical nurse specialists, anesthesiologist assistants, certified registered nurse anesthetists, anesthesiology assistants, and certified nurse midwives), and teaching hospitals, and to report annually ownership and investment interests held by physicians and their immediate family members;</w:t>
      </w:r>
    </w:p>
    <w:p>
      <w:pPr>
        <w:spacing w:after="0" w:line="79"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consumer protection and unfair competition laws, which broadly regulate marketplace activities and activities that potentially harm customers; and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 equivalents of each of the above federal laws, state anti-kickback, and false claims laws; state laws requiring device companies to comply with specific compliance standards, restrict payments made to healthcare providers and other potential referral sources, and report information related to payments and other transfers of value to healthcare providers or marketing expenditures; and state laws related to insurance fraud in the case of claims involving private insurers.</w:t>
      </w:r>
    </w:p>
    <w:p>
      <w:pPr>
        <w:spacing w:after="0" w:line="1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These laws and regulations, among other things, constrain our business, marketing and other promotional and research activities by limiting the kinds of financial arrangements, including sales programs, we may have with hospitals, physicians, or other potential purchasers of our products. In particular, these </w:t>
      </w:r>
      <w:r>
        <w:rPr>
          <w:rFonts w:ascii="Times New Roman" w:cs="Times New Roman" w:eastAsia="Times New Roman" w:hAnsi="Times New Roman"/>
          <w:sz w:val="18"/>
          <w:szCs w:val="18"/>
          <w:color w:val="231F20"/>
        </w:rPr>
        <w:t>laws and regulations may restrict or prohibit a wide range of pricing, discounting, marketing and promotion, sales commission, customer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incentive programs, and other business arrangements, as well as interactions with healthcare professionals through consultant arrangements, product training, sponsorships, or other activities. </w:t>
      </w:r>
      <w:r>
        <w:rPr>
          <w:rFonts w:ascii="Times New Roman" w:cs="Times New Roman" w:eastAsia="Times New Roman" w:hAnsi="Times New Roman"/>
          <w:sz w:val="18"/>
          <w:szCs w:val="18"/>
          <w:color w:val="000000"/>
        </w:rPr>
        <w:t>Efforts to ensure that our business arrangements with third parties will comply with applicable healthcare 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other laws and regulations will involve substantial costs. It is possible that governmental authorities will conclude that our business practices, including arrangements with teleneurology providers and customers for the provision of remote EEG interpretation services or agreements we have entered into with physicians who are paid, in part, in the form of stock or stock options, do not comply with current or future statutes, regulations, agency guidance, or case law involving applicable fraud and abuse or other healthcare laws and regulations. Due to the breadth of these laws, the narrowness of statutory exceptions and regulatory safe harbors available, and the range of interpretations to which they are subject, governmental authorities may possibly conclude that our business practices may not comply with healthcare laws and regulations.</w:t>
      </w:r>
    </w:p>
    <w:p>
      <w:pPr>
        <w:spacing w:after="0" w:line="19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To enforce compliance with the healthcare regulatory laws, certain enforcement bodies have recently increased their scrutiny of interactions between healthcare companies and healthcare providers, which has led to a number of investigations, prosecutions, convictions, and settlements in the healthcare industry. Responding to investigations can be time-and resource-consuming and can divert management’s attention from the business. We may be subject to private qui tam actions brought by individual whistleblowers on behalf of the federal or state governments, with potential liability under the federal False Claims Act including mandatory treble damages and significant per-claim penalties. </w:t>
      </w:r>
      <w:r>
        <w:rPr>
          <w:rFonts w:ascii="Times New Roman" w:cs="Times New Roman" w:eastAsia="Times New Roman" w:hAnsi="Times New Roman"/>
          <w:sz w:val="18"/>
          <w:szCs w:val="18"/>
          <w:color w:val="231F20"/>
        </w:rPr>
        <w:t>In addition, as a result of these investigations and qui tam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actions, we may have to agree to additional compliance and reporting requirements as part of a consent decree or corporate integrity agreement. Any such investigation or settlement could increase our costs or otherwise have a material adverse effect on our business, financial condition, results of operations, and prospects. Even an unsuccessful challenge or investigation into our practices could cause adverse publicity and be costly to respond to.</w:t>
      </w:r>
    </w:p>
    <w:p>
      <w:pPr>
        <w:spacing w:after="0" w:line="19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federal and state laws described above or any other current or future fraud and abuse or other healthcare laws and regulations that apply to us, we may be subject to significant penalties, including significant criminal, civil, and administrative penalties, damages, fines, exclusion from participation in government programs, such as Medicare and Medicaid, imprisonment, contractual damages, reputation harm, oversight if we become subject to a consent decree or corporate integrity agreement, or disgorgement, and we could be required to curtail, restructure or cease our operations. Any of the foregoing consequences will have an adverse effect on our business, financial condition, results of operations, and prospects.</w:t>
      </w:r>
    </w:p>
    <w:p>
      <w:pPr>
        <w:spacing w:after="0" w:line="2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consultants and other commercial partners may engage in misconduct or other improper activities, including non-compliance with regulatory standards and requirements.</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 xml:space="preserve">We are exposed to the risk that our employees, consultants, and other commercial partners and business associates may engage in fraudulent or illegal activity. Misconduct by these parties could include intentional, reckless, or negligent conduct or other unauthorized activities that violate the regulations of the FDA and other regulators (both domestic and foreign), including those laws requiring the reporting of true, complete, and accurate information to such regulators, manufacturing standards, healthcare fraud and abuse laws, and regulations in the United States and internationally or laws that require the true, complete, and accurate reporting of financial information or data. In particular, sales, marketing, and business arrangements in the healthcare </w:t>
      </w:r>
      <w:r>
        <w:rPr>
          <w:rFonts w:ascii="Times New Roman" w:cs="Times New Roman" w:eastAsia="Times New Roman" w:hAnsi="Times New Roman"/>
          <w:sz w:val="18"/>
          <w:szCs w:val="18"/>
          <w:color w:val="231F20"/>
        </w:rPr>
        <w:t>industry, including the sale of medical devices, are subject to extensive laws and regulations intended to prevent fraud, misconduct, kickbacks,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self-dealing, and other abusive practices. It is not always possible to identify and deter misconduct by our employees, consultants,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possible exclusion from participation in Medicare, Medicaid and other federal healthcare programs, contractual damages, reputational harm, diminished profits and future earnings, </w:t>
      </w:r>
      <w:r>
        <w:rPr>
          <w:rFonts w:ascii="Times New Roman" w:cs="Times New Roman" w:eastAsia="Times New Roman" w:hAnsi="Times New Roman"/>
          <w:sz w:val="18"/>
          <w:szCs w:val="18"/>
          <w:color w:val="000000"/>
        </w:rPr>
        <w:t>oversight if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we become subject to a consent decree or corporate integrity agreement, </w:t>
      </w:r>
      <w:r>
        <w:rPr>
          <w:rFonts w:ascii="Times New Roman" w:cs="Times New Roman" w:eastAsia="Times New Roman" w:hAnsi="Times New Roman"/>
          <w:sz w:val="18"/>
          <w:szCs w:val="18"/>
          <w:color w:val="231F20"/>
        </w:rPr>
        <w:t>and curtailment of operations, any of which could adversely affect our business,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financial condition, results of operations, and prospects. Whether or not we are successful in defending against such actions or investigations, we could incur substantial costs, including legal fees and reputational harm, and divert the attention of management in defending ourselves against any of these claims or investigations.</w:t>
      </w:r>
    </w:p>
    <w:p>
      <w:pPr>
        <w:spacing w:after="0" w:line="2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Healthcare policy changes, including recently enacted legislation reforming the U.S. healthcare system, could have a material adverse effect on our business, financial condition, results of operations, and prospects.</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the United States, there have been and continue to be a number of legislative and regulatory initiatives to contain healthcare costs. Federal and state lawmakers regularly propose and, at times, enact legislation that would result in significant changes to the healthcare system, some of which are intended to contain or reduce the costs of medical products and services. Current and future legislative proposals to further reform healthcare or reduce healthcare costs may limit coverage of or lower reimbursement for the diagnostic tests associated with the use of our products. The cost containment measures that payers and providers are instituting and the effect of any healthcare reform initiative implemented in the future could impact our revenue from the sale of our products.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By way of example, in the United States, the Affordable Care Act (the “ACA”) made a number of substantial changes in the way healthcare is financed by both governmental and private insurers. Among other ways in which it may affect our business, the ACA implemented payment system reforms including a national pilot program on payment bundling to encourage hospitals, physicians, and other providers to improve the coordination, quality, and efficiency of certain healthcare services through bundled payment models; and expanded the eligibility criteria for Medicaid programs. There have been executive, judicial, and Congressional challenges to certain aspects of the ACA. On June 17, 2021, the U.S. Supreme Court dismissed the most recent challenge on procedural grounds that argued the ACA is unconstitutional in its entirety because the “individual mandate” was repealed by Congress.</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The Budget Control Act of 2011, among other things, reduced Medicare payments to providers, effective on April 1, 2013 and, due to subsequent legislative amendments to the statute, will remain in effect through 2032, unless additional Congressional action is taken. In addition, the American Taxpayer Relief Act of 2012, among other things, further reduced Medicare payments to several providers, including hospitals, and increased the statute of limitations period for the government to recover overpayments to providers from three to five years.</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More recently, the OBBB Act was signed into law, which included significant reforms to Medicaid, including an estimated $1 trillion in reduced federal Medicaid spending from 2025 through 2034, the imposition of work requirements for certain adult enrollees, more frequent eligibility redeterminations and increased cost-sharing for beneficiaries. These changes are expected to reduce overall Medicaid enrollment and access to care. Although the effect on our business is currently unknown, any decrease in the number of insured patients or reimbursement levels for our products could adversely affect our revenue and commercial prospects.</w:t>
      </w:r>
    </w:p>
    <w:p>
      <w:pPr>
        <w:spacing w:after="0" w:line="1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expect additional state and federal healthcare policies and reform measures to be adopted in the future, any of which could limit reimbursement for healthcare products and services or otherwise result in reduced demand for our products or additional pricing pressure and have a material adverse effect on our industry generally and on our customers. We cannot predict what other healthcare programs and regulations will ultimately be implemented at the federal or state level or whether any future legislation or regulation in the United States may negatively affect our business, financial condition, results of operations, and prospects. The continuing efforts of the government, insurance companies, managed care organizations, and other payers of healthcare services to contain or reduce costs of healthcare may adversely affect our ability to set a price that we believe is fair for our products, our ability to generate revenue and achieve or maintain profitability, and the availability of capital.</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Any changes of, or uncertainty with respect to, future coverage or reimbursement rates could affect demand for our products, which could have a material adverse effect on our business, financial condition, results of operations, and prospects.</w:t>
      </w:r>
    </w:p>
    <w:p>
      <w:pPr>
        <w:spacing w:after="0" w:line="26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and operations are subject to extensive government regulation and oversight in the United States, and our failure to comply with applicable requirements could harm our business.</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products are regulated as medical devices in the United States. Medical devices and their manufacturers and product developers are subject to extensive regulation in the United States, including by the FDA. The FDA regulates, among other things, with respect to medical devices: design, development, and manufacturing; testing, labeling, content, and language of instructions for use and storage; clinical trials; product safety; establishment registration and device listing; marketing, sales, and distribution; premarket clearance, classification, and approval or certification; recordkeeping procedures; advertising and promotion; recalls and field safety corrective actions; post-market surveillance, including reporting of deaths or serious injuries and malfunctions that, if they were to recur, could lead to death or serious injury; post-market studies; and product import and export.</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regulations to which we are subject are complex, burdensome to understand and apply and have tended to become more stringent over time. Regulatory changes could result in restrictions on our ability to carry on or expand our operations, higher than anticipated costs or lower than anticipated sales. The FDA enforces its regulatory requirements through, among other means, periodic unannounced inspections. We do not know whether we or any of our contract manufacturers will be found compliant in connection with any future FDA or foreign inspections. Failure to comply with applicable regulations could jeopardize our ability to sell our products and result in enforcement actions such as: warning letters; fines; injunctions; civil penalties; termination of distribution; import alerts; recalls or seizures of products; delays in the introduction of products into the market; total or partial suspension of production; refusal to grant future clearances or approvals; withdrawals or suspensions of clearances or approvals, resulting in prohibitions on sales of our products; and in the most serious cases, criminal penalties.</w:t>
      </w:r>
    </w:p>
    <w:p>
      <w:pPr>
        <w:spacing w:after="0" w:line="29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maintain marketing authorizations for our products, or to timely obtain necessary marketing authorizations for our future products, may have a material adverse effect on our business, financial condition, results of operations, and prospects.</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 xml:space="preserve">In the United States, before we can market a new medical device, or a new use of, or other significant modification to an existing, marketed medical device, we must first receive either clearance under Section 510(k) of the Federal Food, Drug and Cosmetic Act (the “FDCA”), approval of a premarket approval application (“PMA”), or grant of a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request from the FDA, unless an exemption applies. In the 510(k) clearance process, before a device may be marketed, the FDA must determine that a proposed device is “substantially equivalent” to a legally-marketed “predicate” device, which includes a device that has been previously cleared through the 510(k) process, a device that was legally marketed prior to May 28, 1976 (pre-amendments device), a device that was originally on the U.S. market pursuant to an approved PMA and later down-classified, or a 510(k)-exempt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 In the process of obtaining PMA approval, the FDA must determine that a proposed device is safe and effective for its intended use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 In the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process, a manufacturer whose novel device under the FDCA would otherwise be automatically classified as Class III and require the submission and approval of a PMA prior to marketing is able to request down-classification of the device to Class I or Class II on the basis that the device presents a low or moderate risk. If the FDA grants the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request, the applicant will receive authorization to market the device. This device type may be used subsequently as a predicate device for future 510(k) submissions.</w:t>
      </w:r>
    </w:p>
    <w:p>
      <w:pPr>
        <w:spacing w:after="0" w:line="19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The PMA approval, 510(k) clearance and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processes can be expensive, lengthy, and uncertain. The FDA’s 510(k) clearance process usually takes from three to 12 months, but can take longer. The process of obtaining a PMA is much more costly and uncertain than the 510(k) clearance process and generally takes from one to three years, or even longer, from the time the application is submitted to the FDA. In addition, a PMA generally requires the performance of one or more clinical trials. Clinical data may also be required in connection with an application for 510(k) clearance or a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request. Despite the time, effort and cost, a device may not obtain marketing authorization by the FDA. We have obtained 510(k) clearances for our commercialized medical devices, and we must obtain marketing authorization for any future devices we develop, unless they are exempt. Marketing authorizations for any of our future products, if granted, may include significant limitations on the indicated uses for the device, which may limit the potential commercial market for the device.</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the United States, any modification to a medical device for which we have obtained marketing authorization may require us to submit a new 510(k) premarket notification and obtain clearance, to submit a PMA and obtain FDA approval, or to submit a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request prior to implementing the change. For example, any modification to a 510(k)-cleared device that could significantly affect its safety or effectiveness, or that would constitute a major change in its intended use, design or manufacture, generally requires a new</w:t>
      </w:r>
    </w:p>
    <w:p>
      <w:pPr>
        <w:sectPr>
          <w:pgSz w:w="11900" w:h="16838" w:orient="portrait"/>
          <w:cols w:equalWidth="0" w:num="1">
            <w:col w:w="11240"/>
          </w:cols>
          <w:pgMar w:left="320" w:top="117" w:right="339" w:bottom="1440" w:gutter="0" w:footer="0" w:header="0"/>
        </w:sectPr>
      </w:pP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510(k) clearance or other marketing authorization. The FDA requires every manufacturer to make such determinations in the first instance, but the FDA may review any manufacturer’s decision. The FDA may not agree with a manufacturer’s decisions regarding whether new clearances or approvals are necessary. We may make modifications or add additional features in the future to our medical devices that we believe do not require a new 510(k) clearance,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request, or approval of a PMA. If the FDA disagrees with our determination and requires us to seek new marketing authorizations for the modifications for which we have concluded that new marketing authorizations are unnecessary, we may be required to cease marketing or to recall the modified product until we obtain such marketing authorization, and we may be subject to significant regulatory fines or penalties. If the FDA requires us to go through a lengthier, more rigorous examination for future products or modifications to existing products than we had expected, product introductions or modifications could be delayed or canceled, which could adversely affect our business.</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FDA can delay, limit or deny marketing authorization of a device for many reasons, including:</w:t>
      </w:r>
    </w:p>
    <w:p>
      <w:pPr>
        <w:spacing w:after="0" w:line="117" w:lineRule="exact"/>
        <w:rPr>
          <w:sz w:val="20"/>
          <w:szCs w:val="20"/>
          <w:color w:val="auto"/>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to the satisfaction of the FDA that our products are substantially equivalent to a predicate device or are safe and effective for their intended uses;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disagreement of the FDA with the design or implementation of our clinical trials or the interpretation of data from preclinical studies or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adverse device effects experienced by participants in our clinical trials;</w:t>
      </w:r>
    </w:p>
    <w:p>
      <w:pPr>
        <w:spacing w:after="0" w:line="115" w:lineRule="exact"/>
        <w:rPr>
          <w:rFonts w:ascii="Times New Roman" w:cs="Times New Roman" w:eastAsia="Times New Roman" w:hAnsi="Times New Roman"/>
          <w:sz w:val="18"/>
          <w:szCs w:val="18"/>
          <w:color w:val="auto"/>
        </w:rPr>
      </w:pPr>
    </w:p>
    <w:p>
      <w:pPr>
        <w:ind w:left="1020" w:hanging="503"/>
        <w:spacing w:after="0" w:line="284"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data from our preclinical studies and clinical trials may be insufficient to support clearance,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or approval, where required;</w:t>
      </w:r>
    </w:p>
    <w:p>
      <w:pPr>
        <w:spacing w:after="0" w:line="5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that the clinical and other benefits of the device outweigh the risks;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process or facilities we use may not meet applicable requirements; and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marketing authorization regulations of the FDA to change significantly in a manner rendering our clinical data or regulatory filings insufficient for marketing authorization.</w:t>
      </w:r>
    </w:p>
    <w:p>
      <w:pPr>
        <w:spacing w:after="0" w:line="162"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In addition, in January 2026, we received Breakthrough Device Designation from the FDA for our Ceribell LVO System, a portable EEG-based stroke detection and monitoring system in development intended for use in hospital settings to monitor adult patients for whom a reliable neurological exam for LVO stroke are often challenging and to notify medical professionals of suspected LVO stroke, which notifications are intended to be confirmed by CT or MR angiography prior to initiation of treatment. Breakthrough Device Designation provides certain benefits, including more interactive and timely communications with FDA staff, potential use of post-market data collection to facilitate expedited development and review, opportunities for more efficient and flexible clinical study design, and prioritized review of premarket submissions. However, there can be no guarantee that these benefits will materialize or significantly impact our development and regulatory approval process. Even where our product candidates have received Breakthrough Device Designation, we may not experience a faster development process, review, or approval compared to conventional FDA procedures. Breakthrough Device Designation does not alter the regulatory standards for marketing authorization or guarantee that we will ultimately obtain FDA clearance or approval for the designated indication. Furthermore, the FDA may rescind Breakthrough Device Designation if it believes that the designation is no longer supported by data from our clinical development program. As with all FDA marketing authorizations, we will need to continue to comply with applicable regulations and standards, which may change over time.</w:t>
      </w:r>
    </w:p>
    <w:p>
      <w:pPr>
        <w:spacing w:after="0" w:line="190"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Even if we successfully apply for marketing authorization for future products, there is no guarantee that we will obtain the marketing authorizations within the expected timeline, or at all. Staff reductions in the FDA office charged with regulating devices may cause delay.</w:t>
      </w:r>
    </w:p>
    <w:p>
      <w:pPr>
        <w:spacing w:after="0" w:line="26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testing process is complex, lengthy, can be expensive, and carries uncertain outcomes. Future trials and studies by us or others may fail to replicate positive results observed to date.</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conduct our own clinical studies and provide support for third party–initiated trials that evaluate different aspects of the Ceribell System. Clinical testing is difficult to design and implement, can take many years, can be expensive, and carries uncertain outcomes. The results of preclinical studies and clinical trials of our products conducted to date and ongoing or future studies and trials of our current, planned, or future products may not be predictive of the results of later clinical trials or real-world performance, and interim results of a clinical trial do not necessarily predict final results. The data and results from our clinical studies do not ensure that we will achieve similar results in future clinical trials, are not head to head studies and not directly comparable with each other, as they have different sample sizes, designs, limitations, assumptions, and objectives, and are conducted on different patient populations at different sites by different researchers. In addition, as some of these studies are prospective studies, they may not reflect real-world performance. Some of our studies have not been peer reviewed or published, and peer reviewers may disagree with the methodologies or conclusions of such studies and may not deem them worthy of publication. In addition, preclinical and clinical data are often susceptible to various interpretations and analyses, and many companies that have believed their products performed satisfactorily in</w:t>
      </w:r>
    </w:p>
    <w:p>
      <w:pPr>
        <w:sectPr>
          <w:pgSz w:w="11900" w:h="16838" w:orient="portrait"/>
          <w:cols w:equalWidth="0" w:num="1">
            <w:col w:w="11240"/>
          </w:cols>
          <w:pgMar w:left="320" w:top="117" w:right="339" w:bottom="1440" w:gutter="0" w:footer="0" w:header="0"/>
        </w:sectPr>
      </w:pP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preclinical studies and earlier clinical trials have nonetheless failed to replicate results in later clinical trials, or have viewed such data in different ways than regulators.</w:t>
      </w:r>
    </w:p>
    <w:p>
      <w:pPr>
        <w:spacing w:after="0" w:line="5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risk that future trials and studies of the Ceribell System fail to replicate positive results observed to date is increased because most of our studies and trials are conducted on small samples, not powered for statistical significance, controlled for other clinical variables, or have other design limitations and almost all such studies were conducted or sponsored by us. Independent studies with larger samples or different designs may not replicate results observed to date. In addition, the performance of the Clarity algorithm is typically evaluated by comparing the algorithm results to a retrospective review of the EEG by a panel of neurologists. There is a high degree of inter-rater variability in the interpretation of EEGs by clinicians, such that Ceribell System study results may vary from study to study depending on the size and composition of the neurologist panel. Clinical studies or investigations on the Ceribell System have produced, and may in the future produce, negative or inconclusive results. Furthermore, others, including healthcare professionals and regulators, may perceive a conflict of interest with studies supported, sponsored, or funded by us or conducted by our employees or consultants, and may not find results of such studies to be compelling or credible. As a result of the foregoing, we may decide, or regulators may require us, to conduct additional clinical and nonclinical testing in addition to those we have planned. The initiation and completion of clinical studies may be prevented, delayed, or halted for numerous reasons. We may experience delays in our clinical trials for a number of reasons, which could adversely affect the costs, timing, or successful completion of our clinical trials, including related to the following:</w:t>
      </w:r>
    </w:p>
    <w:p>
      <w:pPr>
        <w:spacing w:after="0" w:line="82"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disagree as to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and/or institutional review boards (“IRBs”), or other bodies may not authorize us or our investigators to commence a clinical trial, or to conduct or continue a clinical trial at a prospective or specific trial site;</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reach agreement on acceptable terms with third-party researchers, clinical trial sites, or prospective contract research organizations (“CROs”), the terms of which can be subject to extensive negotiation and may vary significantly among different researchers, trial sites, and CROs;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subjects or patients required for clinical trials may be larger than we anticipate, enrollment in these clinical trials may be insufficient or slower than we anticipate, and the number of clinical trials being conducted at any given time may be high and result in fewer available patients for any given clinical trial, or patients may drop out of these clinical trials at a higher rate than we anticipate;</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have to suspend or terminate clinical trials for various reasons, including occurrence of adverse events or other findings that the subjects in our clinical trials are being exposed to unacceptable health risks;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to amend clinical trial protocols or conduct additional studies to reflect changes in regulatory requirements or guidance, which we may be required to submit to an IRB, or other bodies and/or regulatory authorities for re-examination;</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IRBs, other bodies, or other parties may require or recommend that we or our investigators suspend or terminate clinical research for various reasons, including safety signals or noncompliance with regulatory requirements;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may be greater than we anticipate;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may not adhere to the clinical protocol or may drop out of a clinical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recruit a sufficient number of clinical trial sites;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IRBs, or other bodies may fail to approve or subsequently find fault with our manufacturing processes or facilities of third-party manufacturers with which we enter into agreements for clinical and commercial supplies, the supply of devices or other materials necessary to conduct clinical trials may be insufficient, inadequate or not available at an acceptable cost, or we may experience interruptions in supply;</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authorization or regulations of FDA may change in a manner rendering our clinical data insufficient for marketing authorization;</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submit an investigational device exemption (“IDE”) application to the FDA, which must become effective prior to commencing certain human clinical trials of medical devices, and the FDA may reject our IDE application and notify us that we may not begin clinical trials, or place restrictions on the conduct of such trials; similar requirements may apply in foreign jurisdictions; and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or future products may have undesirable side effects or other unexpected characteristics.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Any of these occurrences may significantly harm our business, financial condition, results of operations, and prospects. In addition, many of the factors that cause, or lead to, a delay in the commencement or completion of clinical trials may also ultimately lead to the denial of marketing authorization of any medical device.</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Patient enrollment in clinical trials, and completion of patient follow-up, if applicable, depend on many factors, including the size of the patient population, the nature of the trial protocol, the eligibility criteria for the clinical trial, competing clinical trials, and clinicians’ and patients’ perceptions as to the potential advantages of the product being studied. Patients participating in our clinical trials may drop out before completion of the trial or experience adverse medical events unrelated to an investigational device. Delays in patient enrollment or failure of patients to continue to participate in a clinical trial may delay commencement or completion of the clinical trial, cause an increase in the costs of the clinical trial and delays, or result in the failure of the clinical trial.</w:t>
      </w:r>
    </w:p>
    <w:p>
      <w:pPr>
        <w:spacing w:after="0" w:line="18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Clinical trials must be conducted in accordance with the laws and regulations of the FDA and other applicable regulatory authorities’ legal requirements, regulations, or guidelines, and are subject to oversight by these governmental agencies and IRBs, or other bodies at the medical institutions where the clinical trials are conducted. In addition, clinical trials must be conducted with supplies of our devices produced under current good manufacturing practice (“cGMP”) or similar foreign requirements, and other regulations applicable to the location where the clinical trial is conducted. We rely on third-party researchers and clinical trial sites, and may in the future rely on CROs, to ensure the proper and timely conduct of our clinical trials, and while we have agreements governing their committed activities, we have limited influence over their actual performance. We depend on these third parties to conduct our clinical trials in compliance with good clinical practice (“GCP”), requirements. To the extent they fail to enroll participants for our clinical trials, fail to conduct the study to GCP standards or are delayed for a significant time in the execution of trials, including achieving full enrollment, we may be affected by increased costs, trial delays or both. In addition, if we conduct clinical trials in other countries in the future, we may be subject to further delays and expenses as a result of increased shipment costs and additional regulatory requirements, and the engagement of non-U.S. third-party contractors may expose us to risks associated with clinical investigators who are unknown to the FDA, and different standards of diagnosis, screening, and medical care. See the risk factor titled, “</w:t>
      </w:r>
      <w:r>
        <w:rPr>
          <w:rFonts w:ascii="Times New Roman" w:cs="Times New Roman" w:eastAsia="Times New Roman" w:hAnsi="Times New Roman"/>
          <w:sz w:val="18"/>
          <w:szCs w:val="18"/>
          <w:i w:val="1"/>
          <w:iCs w:val="1"/>
          <w:color w:val="auto"/>
        </w:rPr>
        <w:t>We rely on third parties to conduct and support our preclinical studies and clinical trials. These third parties may not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properly and successfully carry out their contractual duties or meet expected deadlines, which could harm our ability to obtain marketing authorization of or commercialize future products we develop.</w:t>
      </w:r>
      <w:r>
        <w:rPr>
          <w:rFonts w:ascii="Times New Roman" w:cs="Times New Roman" w:eastAsia="Times New Roman" w:hAnsi="Times New Roman"/>
          <w:sz w:val="18"/>
          <w:szCs w:val="18"/>
          <w:color w:val="auto"/>
        </w:rPr>
        <w:t>”</w:t>
      </w:r>
    </w:p>
    <w:p>
      <w:pPr>
        <w:spacing w:after="0" w:line="30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From time to time, we may publicly disclose interim, top-line or preliminary data from our clinical trials, which is based on a preliminary analysis of then-available data, and the results and related findings and conclusions are subject to change following a more comprehensive review of the data related to the particular trial or additional data collected at a later time.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trial, or different conclusions or considerations may qualify such results, once additional data have been received and fully evaluated. Interim, top-line, or preliminary data also remain subject to audit and verification procedures that may result in the final data being materially different from the interim, top-line, or preliminary data we previously announced. As a result, interim, top-line, and preliminary data should be viewed with caution until the final data are available. Adverse differences between interim data and final data could significantly harm our business prospects. Further, disclosure of interim data by us or by our competitors could result in volatility in our share price.</w:t>
      </w:r>
    </w:p>
    <w:p>
      <w:pPr>
        <w:spacing w:after="0" w:line="18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Further, others, including regulatory agencies or other bodies, may not accept or agree with our assumptions, estimates, calculations, conclusions, or analyses or may interpret or weigh the importance of data differently, which could impact the value of the particular trial, or the approvability or potential for commercialization of the particular medical device. In addition, the information we choose to publicly disclose regarding a particular study or clinical trial is based on what is typically extensive information, and others may not agree with what we determine is material or otherwise appropriate information to include in our disclosure. The interim, top-line, or preliminary data that we report may differ from final results, and regulatory authorities and other bodies may disagree with the conclusions reached, which may harm our ability to obtain marketing authorization for, and commercialize, our future products, which could harm our business, financial condition, results of operations, and prospects.</w:t>
      </w:r>
    </w:p>
    <w:p>
      <w:pPr>
        <w:spacing w:after="0" w:line="29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ongoing regulatory review and scrutiny. Failure to comply with post-marketing regulatory requirements could subject us to enforcement actions, including substantial penalties, and might require us to recall or withdraw a product from the market.</w:t>
      </w:r>
    </w:p>
    <w:p>
      <w:pPr>
        <w:spacing w:after="0" w:line="5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are subject to ongoing and extensive regulatory requirements governing, among other things, the manufacture, marketing, advertising, medical device reporting, sale, promotion, import, export, registration, and listing of devices. For example, medical device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manufacturers must submit certain reports to the FDA and keep required records as a condition of obtaining and maintaining marketing authorization. These reports include information about failures and certain adverse events potentially associated with the device after its marketing authorization. Failure to submit such reports, or failure to submit the reports in a timely manner, could result in enforcement action by the FDA. Following its review of the periodic reports, the FDA might ask for additional information or initiate further investigation.</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Regulatory changes could result in restrictions on our ability to continue or expand our operations, higher than anticipated costs, or lower than anticipated sales. We have ongoing responsibilities under FDA regulations, and the FDA and state regulatory authorities have broad enforcement powers. Our failure to comply with applicable regulatory requirements could result in enforcement action by the FDA or state regulatory authorities, which may include any of the following or other sanctions:</w:t>
      </w:r>
    </w:p>
    <w:p>
      <w:pPr>
        <w:spacing w:after="0" w:line="72"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or warning letters;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injunctions, consent decrees, and civil penalties;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termination of distribution, administrative detention, or seizure of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or repair, replacement, or refunds;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115" w:lineRule="exact"/>
        <w:rPr>
          <w:rFonts w:ascii="Times New Roman" w:cs="Times New Roman" w:eastAsia="Times New Roman" w:hAnsi="Times New Roman"/>
          <w:sz w:val="18"/>
          <w:szCs w:val="18"/>
          <w:color w:val="auto"/>
        </w:rPr>
      </w:pPr>
    </w:p>
    <w:p>
      <w:pPr>
        <w:ind w:left="1020" w:hanging="503"/>
        <w:spacing w:after="0" w:line="284"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delays in or refusal to grant our requests for future clearances,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classifications or approvals, or comparable foreign marketing authorizations of new products, new intended uses, or modifications to existing products;</w:t>
      </w:r>
    </w:p>
    <w:p>
      <w:pPr>
        <w:spacing w:after="0" w:line="5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withdrawals or suspensions of any granted marketing authorizations, resulting in prohibitions on sales of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refusal to issue certificates to foreign governments needed to export products for sale in other countries;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25"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Any of these sanctions could result in negative publicity, higher than anticipated costs or lower than anticipated sales and have a material adverse effect on our reputation, business, financial condition, results of operations, and prospects.</w:t>
      </w:r>
    </w:p>
    <w:p>
      <w:pPr>
        <w:spacing w:after="0" w:line="16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the FDA may change its marketing authorization policies affecting future products, adopt additional regulations or revise existing regulations, or take other actions, which may prevent or delay marketing authorization of any products under development or impact our ability to modify any products authorized for market on a timely basis. Such changes may also occur in foreign jurisdictions where we may market our products in the future. Such changes could impose additional requirements upon us that could delay our ability to obtain future marketing authorizations, increase the costs of compliance, or restrict our ability to maintain any marketing authorizations we have obtained. See the risk factor titled, “</w:t>
      </w:r>
      <w:r>
        <w:rPr>
          <w:rFonts w:ascii="Times New Roman" w:cs="Times New Roman" w:eastAsia="Times New Roman" w:hAnsi="Times New Roman"/>
          <w:sz w:val="18"/>
          <w:szCs w:val="18"/>
          <w:i w:val="1"/>
          <w:iCs w:val="1"/>
          <w:color w:val="auto"/>
        </w:rPr>
        <w:t>Legislative or regulatory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reforms in the United States may make it more difficult and costly for us to manufacture, market, or distribute our products, or to obtain marketing authorizations for any future products.</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must be manufactured in accordance with applicable laws and regulations, and we could be forced to recall our devices or terminate production if we fail to comply with these regulations.</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the United States, the methods used in, and the facilities used for, the manufacture of medical devices must comply with the FDA’s cGMPs for medical devices, known as the QMSR, which is a complex regulatory scheme that covers the procedures and documentation of the design, testing, production, process controls, quality assurance, labeling, packaging, handling, storage, distribution, installation, servicing, and shipping of medical devices. Furthermore, we are required to verify that our suppliers maintain facilities, procedures, and operations that comply with our quality standards and applicable regulatory requirements. The FDA enforces the QMSR through periodic announced or unannounced inspections of medical device manufacturing facilities, which may include the facilities of subcontractors. Our products are also subject to similar state regulations governing manufacturing.</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third-party manufacturers may not take the necessary steps to comply with applicable regulations, which could cause delays in the delivery of our medical devices. In addition, failure to comply with applicable FDA requirements or later discovery of previously unknown problems with our products or manufacturing processes could result in, among other things: warning letters or untitled letters; fines, injunctions, or civil penalties; suspension or withdrawal of marketing authorizations; seizures or recalls of our products; total or partial suspension of production or distribution; administrative or judicially imposed sanctions; the FDA’s refusal to grant pending or future clearances or approvals for our products or similar decisions by foreign regulatory authorities or notified bodies; clinical holds; refusal to permit the import or export of our products; and criminal prosecution of us, our suppliers, or our employees. If any of these events occurs, our reputation could be harmed, we could be exposed to product liability claims and we could lose customers and experience reduced sales and increased costs.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products may cause or contribute to adverse medical events which we may be required to report to the FDA, and if we fail to do so, we would be subject to sanctions that could harm our reputation, business, financial condition, results of operations, and prospects. In addition, the discovery of serious safety issues with our products, or a recall of our products either voluntarily or at the direction of the FDA, could have a negative impact on us.</w:t>
      </w:r>
    </w:p>
    <w:p>
      <w:pPr>
        <w:spacing w:after="0" w:line="6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It is possible that there may be side effects and adverse events associated with the use of our medical devices or any future devices we develop. For example, the Ceribell System has in certain instances issued false alarms, i.e., report seizure activity when there is no seizure, and in other instances has failed to report or under-reported seizure activity when there is seizure, and may continue to do so, all of which may lead to patients being misdiagnosed, receiving unnecessary medical procedures or treatments, or experiencing delays in receiving necessary medical procedures or treatments. Additionally, the Wearables used as part of the Ceribell System may cause skin irritation to patients or break down sooner than expected. Use of the Ceribell System, including both the Wearables and EEG recorder, may present infection control hazards to both patients and healthcare staff. The EEG recorder may also present additional hazards to patients and healthcare staff, including mechanical hazards, electrical hazards, and thermal hazards relating to the device’s integrated lithium-ion battery. Failure of the EEG recorder to transmit data to our portal due to software or hardware problems, incorrect setup or configuration, network incompatibility, or user error may lead to patients experiencing delays in receiving necessary medical procedures or treatments. The FDA’s medical device reporting regulations require us to assess reportability of adverse events that come to our attention and report to the FDA when we receive or become aware of information that reasonably suggests that one or more of our products may have caused or contributed to a death or serious injury or malfunctioned in a way that, if the malfunction were to recur, it could cause or contribute to a death or serious injury. The timing of our obligation to report is triggered by the date we become aware of the event as well as the nature of the event. We may fail to report events of which we become aware within the prescribed timeframe. We may also fail to recognize that we have become aware of a reportable event, especially if it is not reported to us as an adverse event or if it is an adverse event that is unexpected or removed in time from the use of the product. The FDA may also disagree with our determinations that an event was not reportable. To date, we have not filed any adverse event-related medical device reports with the FDA. If we fail to comply with our reporting obligations, the FDA could take action, including warning letters, untitled letters, administrative actions, criminal prosecution, imposition of civil monetary penalties, revocation of our marketing authorizations, seizure of our products, or delay in obtaining marketing authorizations for our future products.</w:t>
      </w:r>
    </w:p>
    <w:p>
      <w:pPr>
        <w:spacing w:after="0" w:line="19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FDA has the authority to require the recall of commercialized products in the event of material deficiencies or defects in design or manufacture of a product or in the event that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Depending on the corrective action we take to redress a product’s deficiencies or defects, the FDA may require, or we may decide, that we will need to obtain new marketing authorizations for the device before we may market or distribute the corrected device. Seeking such clearances or approvals may delay our ability to replace the recalled devices in a timely manner. Moreover, if we do not adequately address problems associated with our devices, we may face additional regulatory enforcement action, including FDA warning letters, product seizure, injunctions, administrative penalties, or civil or criminal fines.</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Companies are required to maintain certain records of recalls and corrections, even if they are not reportable to the FDA. We may initiate voluntary withdrawals or corrections for our products in the future that we determine do not require notification of the FDA. If the FDA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 Any corrective action, whether voluntary or involuntary, as well as defending ourselves in a lawsuit, will require the dedication of our time and capital, distract management from operating our business, and may harm our reputation, business, financial condition, results of operations, and prospects.</w:t>
      </w:r>
    </w:p>
    <w:p>
      <w:pPr>
        <w:spacing w:after="0" w:line="29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misuse or off-label use of our products may result in injuries that harm patients and lead to product liability suits, harm our reputation in the marketplace, or result in costly investigations, fines, or sanctions by regulatory bodies if we are deemed to have engaged in the promotion of these uses, any of which could be costly to our business.</w:t>
      </w:r>
    </w:p>
    <w:p>
      <w:pPr>
        <w:spacing w:after="0" w:line="6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commercial products, and any marketing authorization we may receive for future products, are, and will be, limited to specified indications for use. Our sales and marketing personnel, as well as our direct sales force, are trained to not promote our devices for uses outside of the FDA-authorized indications for use, known as “off-label uses.” We cannot, however, prevent a healthcare professional from using our devices off-label, when in the healthcare professional’s independent professional judgment he or she deems it appropriate. There may be increased risk of injury to patients if healthcare professionals attempt to use our devices off-label, which could harm our reputation in the marketplace among healthcare professionals and patients.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the FDA determines that our promotional materials or training constitute promotion of an off-label use, it could request that we modify our training or promotional materials or subject us to regulatory or enforcement actions, including the issuance or imposition of an untitled letter, which is used for violators that do not necessitate a warning letter, injunction, seizure, civil fine, or criminal penalties. It is also possible that other federal or state enforcement authorities might take action under other regulatory authority, such as false advertising and consumer protection laws, or false claims laws, if they consider our business activities to constitute promotion of an off-label use, which could result in significant penalties, including, but not limited to, criminal, civil, and administrative penalties, damages, fines, disgorgement, exclusion from participation in government healthcare programs, and the curtailment of our operations.</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healthcare professionals may misuse our products or use improper techniques if they are not adequately trained, potentially leading to injury and an increased risk of product liability. For example, healthcare professionals may misuse our single use, disposable Wearables by using them on more than one patient. If our devices are misused or used with improper technique, we may become subject to costly litigation by our customers or their patients. As described above, product liability claims could divert management’s attention from our core business, be expensive to defend, and result in sizeable damage awards against us that may not be covered by insurance, all of which would have a material adverse effect on our business, financial condition, results of operations, and prospects.</w:t>
      </w:r>
    </w:p>
    <w:p>
      <w:pPr>
        <w:spacing w:after="0" w:line="29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Legislative or regulatory reforms in the United States may make it more difficult and costly for us to manufacture, market, or distribute our products, or to obtain marketing authorizations for any future products.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From time to time, legislation is drafted and introduced in Congress that could significantly change the statutory provisions governing the regulation of medical devices. In addition, the FDA may change its policies, adopt additional regulations, or revise existing regulations, or take other actions, which may prevent or delay marketing authorization of any future products under development or impact our ability to modify any products for which we have already obtained marketing authorizations on a timely basis. For example, on February 2, 2026, the FDA’s final rule implementing the FDA’s QMSR became effective. The QMSR, which replaced the FDA’s former Quality System Regulation (“QSR”), sets forth the FDA’s cGMP requirements for medical devices, and among other things, incorporates by reference certain elements of the quality management system requirements of ISO 13485:2016. Although the FDA has stated that the standards contained in ISO 13485 2016 are substantially similar to those set forth in the QSR, and although our quality management system is designed to comply with ISO 13485, the FDA has indicated that ISO 13485 certification alone will not ensure compliance under the QMSR, nor will ISO certification exempt manufacturers from FDA inspection. The QMSR also includes certain compliance obligations, such as those relating to unique device identification, product traceability, and maintenance of complaint and service records, that align more closely with the FDA’s existing medical device requirements than with ISO standards. Accordingly, it remains unclear the extent to which the QMSR may impose additional or different regulatory requirements on us that could increase the costs of compliance or otherwise negatively affect our business.</w:t>
      </w:r>
    </w:p>
    <w:p>
      <w:pPr>
        <w:spacing w:after="0" w:line="19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FDA regulations and guidance are often revised or reinterpreted by the FDA in ways that may significantly affect our business and our products. Any new statutes, regulations or revisions or reinterpretations of existing regulations may make it more difficult and costly to manufacture, market, or distribute our commercialized products, or may impose additional costs, lengthen marketing authorization review times, or make it more difficult to obtain marketing authorizations for any future products we develop.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obtaining necessary foreign regulatory clearance or approvals.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intend to enter into international markets in the future. Upon our expansion into foreign markets, we will be subject to foreign regulatory requirements that we have limited experience with and vary widely from country to country and from the United States. The time required to obtain clearances or approvals required by other countries may be longer than that required for FDA clearance or approval, and requirements for such approvals may differ from FDA requirements. We may be unable to obtain regulatory approvals and may also incur significant costs in attempting to obtain foreign regulatory approvals. If we experience delays in receipt of approvals to market our products in new jurisdictions, or if we fail to receive these approvals, we may be unable to market our products in international markets in a timely manner, if at all, which could materially impact our international expansion and adversely affect our business as a whole. If any of these risks were to materialize, they could limit our expected international growth and profitability, which could have a material adverse effect on our business, financial condition, results of operations, and prospects.</w:t>
      </w:r>
    </w:p>
    <w:p>
      <w:pPr>
        <w:spacing w:after="0" w:line="29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the Foreign Corrupt Practices Act (the “FCPA”), economic and trade sanctions regulations, and similar laws could subject us to penalties and other adverse consequences.</w:t>
      </w:r>
    </w:p>
    <w:p>
      <w:pPr>
        <w:spacing w:after="0" w:line="5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are subject to the FCPA and other laws in the United States and elsewhere that prohibit improper payments or offers of payments to foreign governments and their officials and political parties for the purpose of obtaining or retaining business. Certain suppliers and manufacturers of our devices and components of our devices are located in countries known to experience corruption.</w:t>
      </w:r>
    </w:p>
    <w:p>
      <w:pPr>
        <w:sectPr>
          <w:pgSz w:w="11900" w:h="16838" w:orient="portrait"/>
          <w:cols w:equalWidth="0" w:num="1">
            <w:col w:w="11240"/>
          </w:cols>
          <w:pgMar w:left="320" w:top="117" w:right="339" w:bottom="1440" w:gutter="0" w:footer="0" w:header="0"/>
        </w:sectPr>
      </w:pP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Business activities in these countries create the risk of unauthorized payments or offers of payments by one of our employees, contractors, or agents that could be in violation of various laws, including the FCPA and anti-bribery laws in these countries, even though these parties are not always subject to our control. While we have implemented policies and procedures designed to discourage these practices by our employees, consultants, and agents and to identify and address potentially impermissible transactions under such laws and regulations, we cannot assure you that none of our employees, consultants, and agents will take actions in violation of our policies, for which we may be ultimately responsible.</w:t>
      </w:r>
    </w:p>
    <w:p>
      <w:pPr>
        <w:spacing w:after="0" w:line="1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are also subject to certain economic and trade sanctions programs that are administered by the U.S. Department of the Treasury’s Office of Foreign Assets Control which prohibit or restrict transactions to or from or dealings with specified countries, their governments, and in certain circumstances, their nationals, and with individuals and entities that are specially-designated nationals of those countries, narcotics traffickers and terrorists or terrorist organizations. For example, in December 2021, the U.S. Congress enacted the Uyghur Forced Labor Prevention Act in an effort to prevent what it views as forced labor and human rights abuses in the Xinjiang Uyghur Autonomous Region (the “XUAR”). If it is determined that our third-party suppliers and manufacturers produce or manufacture our components or products wholly or in part from the XUAR, then we could be prohibited from importing such components or products into the United States.</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Failure to comply with any of these laws and regulations or changes in this regulatory environment, including changing interpretations and the implementation of new or varying regulatory requirements by the government, may result in significant financial penalties or reputational harm, which could adversely affect our business, financial condition, results of operations, and prospects.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Various factors outside our direct control may negatively impact our manufacturing of the Ceribell System, which could have a material adverse effect on our business, financial condition, results of operations, and prospects.</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manufacture the Ceribell System at our manufacturing facilities in Sunnyvale, California, using Wearables supplied by third-party manufacturers located in China and Vietnam and components for our recorder procured from various suppliers and shipped to our facility for final assembly. While we believe that we currently have adequate manufacturing capacity and supplies for our products sufficient to meet our demand forecasts, if demand for the Ceribell System increases more rapidly than we anticipate, if we encounter problems with one or more of our manufacturers, including as a result of trade restrictions related to China, or if we secure regulatory approval to commercialize our products in additional geographies or indications, we may need to either expand our manufacturing capabilities, qualify new suppliers, or outsource to other manufacturers.</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third-party manufacturers may not take the necessary steps to comply with applicable regulations, which could cause delays in the delivery of our medical devices. The methods used in, and the facilities used for, the manufacture of medical devices sold in the United States must comply with the QMSR. See the risk factor titled, “</w:t>
      </w:r>
      <w:r>
        <w:rPr>
          <w:rFonts w:ascii="Times New Roman" w:cs="Times New Roman" w:eastAsia="Times New Roman" w:hAnsi="Times New Roman"/>
          <w:sz w:val="18"/>
          <w:szCs w:val="18"/>
          <w:i w:val="1"/>
          <w:iCs w:val="1"/>
          <w:color w:val="auto"/>
        </w:rPr>
        <w:t>Our products must be manufactured in accordance with applicable laws and regulations, and we could be forced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recall our devices or terminate production if we fail to comply with these regulations.</w:t>
      </w:r>
      <w:r>
        <w:rPr>
          <w:rFonts w:ascii="Times New Roman" w:cs="Times New Roman" w:eastAsia="Times New Roman" w:hAnsi="Times New Roman"/>
          <w:sz w:val="18"/>
          <w:szCs w:val="18"/>
          <w:color w:val="auto"/>
        </w:rPr>
        <w:t>” Manufacturers of medical device products often encounter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difficulties in production, including difficulties with production costs and yields, quality control, quality assurance testing, shortages of qualified personnel, as well as compliance with strictly enforced FDA requirements, other federal and state regulatory requirements and foreign regulations, to the extent applicable. If we fail to manufacture our products in compliance with the QMSR, or if our or our third-party suppliers’ manufacturing facilities suffer disruptions, supply chain issues, machine failures, slowdowns, or disrepair, we may not be able to fulfill customer demand and our business would be harmed.</w:t>
      </w:r>
    </w:p>
    <w:p>
      <w:pPr>
        <w:spacing w:after="0" w:line="18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Any contamination of the controlled environment, equipment malfunction, supply issues, natural disasters (including wildfires or earthquakes, to which our manufacturing facility in Sunnyvale, California may be especially susceptible), public health emergencies, personnel issues, including human error, or failure to strictly follow procedures can significantly reduce our yield. A drop in yield can increase our cost to manufacture our products or, in more severe cases, require us to halt the manufacture of our products until the problem is resolved. Identifying and resolving the cause of a drop in yield can require substantial time and resources. In addition, if demand for our products shifts such that our manufacturing facilities are operated below our forecasts for an extended period, we may adjust our manufacturing operations to reduce fixed costs, which could lead to uncertainty and delays in manufacturing times and quality during any transition period.</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manufacturing and distribution of our products are technically challenging. Changes that our suppliers may make, or additional requirements from regulatory agencies, outside of our direct control can have an impact on our processes, on quality and on the successful or timely delivery of our products to our customers. Mistakes and mishandling may occur, which can affect supply and delivery. As a result, our dependence on third-party, including single-source suppliers, subjects us to a number of risks that could impact our ability to manufacture our products and harm our business, financial condition, and results of operations, including:</w:t>
      </w:r>
    </w:p>
    <w:p>
      <w:pPr>
        <w:spacing w:after="0" w:line="75" w:lineRule="exact"/>
        <w:rPr>
          <w:sz w:val="20"/>
          <w:szCs w:val="20"/>
          <w:color w:val="auto"/>
        </w:rPr>
      </w:pPr>
    </w:p>
    <w:p>
      <w:pPr>
        <w:ind w:left="5540" w:right="3000" w:hanging="5023"/>
        <w:spacing w:after="0" w:line="407" w:lineRule="auto"/>
        <w:tabs>
          <w:tab w:leader="none" w:pos="103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supply resulting from modifications to, or discontinuation of, a supplier’s operations;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product shipments resulting from uncorrected defects, reliability issues, or a supplier’s failure to produce components that consistently meet our quality specifications;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analytical results or failure of analytical techniques that we depend on for quality control and release of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fluctuations due to a lack of long-term supply arrangements with our suppliers for key component or other supply chain constraints;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adequate supply in a timely manner or on commercially reasonable terms;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identifying and qualifying alternative suppliers for components in a timely manner;</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suppliers to comply with applicable provisions of the QMSR or other applicable laws or regulations enforced by the FDA and other regulatory authorities;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regulatory approvals of any changes to manufacturing, including the use of new suppliers;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latent defects that may become apparent after our products have been released and that may result in an adverse event or a recall of such products;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inclusion of vendors of raw materials not in compliance with regulatory requirements;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or other disasters, global pandemics, labor disputes, financial distress, lack of raw material supply, issues with facilities and equipment, international conflict or war, or other forms of disruption to business operations affecting our manufacturing operations and those of our third-party manufacturers and suppliers;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delays related to the evaluation and testing of our products or the use of components from alternative suppliers;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delivery by our suppliers of components, materials or services due to changes in demand from us or their other customers.</w:t>
      </w:r>
    </w:p>
    <w:p>
      <w:pPr>
        <w:spacing w:after="0" w:line="225"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occurrence of any of these issues could significantly harm our ability to manufacture our products and maintain sufficient quality standards, which would have a material adverse effect on our business, financial condition, results of operations, and prospects.</w:t>
      </w:r>
    </w:p>
    <w:p>
      <w:pPr>
        <w:spacing w:after="0" w:line="26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a number of manufacturers and suppliers in connection with the manufacture of the Ceribell System, which makes us vulnerable to supply shortages and price fluctuations that could have a material adverse effect on our business, financial condition, results of operations, and prospects.</w:t>
      </w:r>
    </w:p>
    <w:p>
      <w:pPr>
        <w:spacing w:after="0" w:line="6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source and rely upon components and sub-assemblies of the Ceribell System, as well as manufacturing services from approved manufacturers and suppliers, some of which are single-source suppliers.</w:t>
      </w:r>
    </w:p>
    <w:p>
      <w:pPr>
        <w:spacing w:after="0" w:line="16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These components, sub-assemblies and services are critical to us, and there are relatively few alternative sources of supply. Our suppliers generally are not under long-term contracts with us, and may experience delays or issues, stop producing our components or sub-assemblies, increase the prices they charge us, or elect to terminate their relationships with us. In any of these cases, we could face a delay of several months to identify, perform appropriate testing and qualify alternative manufacturers and suppliers with regulatory authorities, as we currently have transition plans for some but not all of our manufacturers and suppliers. In addition, the failure of our third-party manufacturers and suppliers to maintain acceptable quality requirements could result in quality issues, including recalls of our products. If one of our manufacturers or suppliers fails to maintain acceptable quality requirements, we may have to identify and qualify a new manufacturer or supplier. Although we require our third-party manufacturers and suppliers to supply us with materials, components, and services that meet our specifications and comply with applicable provisions of the QMSR and other applicable legal and regulatory requirements in our agreements and contracts, and we perform incoming inspection, testing, or other acceptance activities to ensure the materials and components meet our requirements, there is a risk that they may not supply components that meet our requirements or supply components in a timely manner.</w:t>
      </w:r>
    </w:p>
    <w:p>
      <w:pPr>
        <w:spacing w:after="0" w:line="19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do not have complete control over all aspects of the manufacturing process of, and are dependent on our manufacturing partners for compliance with cGMP regulations applicable to certain components of our products. Third-party manufacturers may not be able, or fail, to comply with cGMP regulations. If our third-party manufacturers cannot successfully manufacture our products that conform to our specifications and the strict regulatory requirements of the FDA, they will not be able to secure and/or maintain registration for their manufacturing facilities. In addition, we do not have complete control over the ability of our third-party manufacturers to maintain adequate quality control, quality assurance and qualified personnel. The failure of our manufacturing partners to maintain acceptable quality requirements could result in quality issues, including recalls of our products. If one of our manufacturing</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partners fails to maintain acceptable quality requirements or perform as agreed, we may have to identify and qualify a new supplier or develop in-house manufacturing capabilities, which could require significant capital investments.</w:t>
      </w:r>
    </w:p>
    <w:p>
      <w:pPr>
        <w:spacing w:after="0" w:line="16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number of third-party manufacturers and suppliers with the necessary manufacturing and regulatory expertise and facilities to produce our device components is limited and certification of a new manufacturer or supplier may be complex and time consuming. Any delay or interruption would likely lead to a delay or interruption in our manufacturing operations. The inclusion of substitute components must meet our product specifications and could require us to qualify the new manufacturer or supplier with the appropriate regulatory authorities, including the FDA. The added time and cost to arrange for alternative manufacturers or suppliers could harm our business. New manufacturers of any planned product would be required to qualify under applicable regulatory requirements and would need to have sufficient rights under applicable intellectual property laws to the method of manufacturing the planned product. Obtaining the necessary FDA or international approvals or other qualifications under applicable regulatory requirements and ensuring non-infringement of third-party intellectual property or other proprietary rights could result in a significant interruption of supply and could require the new manufacturer to bear significant additional costs that may be passed on to us.</w:t>
      </w:r>
    </w:p>
    <w:p>
      <w:pPr>
        <w:spacing w:after="0" w:line="29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and support our preclinical studies and clinical trials. These third parties may not properly and successfully carry out their contractual duties or meet expected deadlines, which could harm our ability to obtain marketing authorization of or commercialize future products we develop.</w:t>
      </w:r>
    </w:p>
    <w:p>
      <w:pPr>
        <w:spacing w:after="0" w:line="6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utilize and depend upon independent investigators and collaborators, such as third-party researchers, medical institutions, and strategic partners, to conduct and support portions of our preclinical studies and clinical trials under agreements with us, and may in the future rely on CROs. For some clinical research projects, we provide funding and for others, such as those supported by grants, we only provide access to our data or supply the Ceribell System at a discount. The terms of these agreements generally include joint publication rights and sole ownership of background intellectual property, as well as indemnification and insurance terms so that risk of injury or damages claims is appropriately allocated, guidelines for dispute resolution to address conflicts, and grounds for contract termination by each party.</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negotiate budgets and contracts with these third parties and may not be able to do so on favorable terms, which may result in delays to our development timelines and increased costs. We have relied heavily on these third parties for our preclinical studies and expect to continue to do so, and we control only certain aspects of their activities. As a result, we have less direct control over the conduct, timing, and completion of these preclinical studies and clinical trials and the management of data developed through preclinical studies and clinical trials than would be the case if we were relying entirely upon our own staff. Nevertheless, we are responsible for ensuring that each of our studies is conducted in accordance with applicable protocol, legal and regulatory requirements, and scientific standards and our reliance on third parties does not relieve us of our regulatory responsibilities. We and these third parties are required to comply with GCP requirements, which are regulations and guidelines enforced by the FDA and comparable foreign regulatory authorities for medical devices in clinical development. Regulatory authorities enforce these GCP requirements through periodic inspections of trial sponsors, principal investigators and trial sites.</w:t>
      </w:r>
    </w:p>
    <w:p>
      <w:pPr>
        <w:spacing w:after="0" w:line="18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we or any of these third parties fail to comply with applicable GCP regulations, the clinical data generated in our clinical trials may be deemed unreliable, and the FDA or other bodies may require us to perform additional clinical trials. We cannot assure you that, upon inspection, such regulatory authorities will determine that any of our clinical trials comply with the GCP regulations. In addition, our investigational devices must be produced in accordance with cGMP, which are now set forth in the QMSR (and were previously set forth in the QSR). Our failure or any failure by these third parties to comply with these regulations or to recruit a sufficient number of patients may require us to repeat clinical trials, which would delay the marketing authorization process. Moreover, our business may be implicated if any of these third parties violates federal, state or foreign fraud and abuse or false claims laws and regulations or healthcare privacy and security laws.</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Third parties conducting or supporting portions of our clinical trials are not our employees and, except for remedies available to us under our agreements with such third parties, we cannot control whether or not they devote sufficient time and resources to our investigational products. These third parties may also have relationships with other commercial entities, including our competitors, for whom they may also be conducting clinical trials, or other product development activities, which could affect their performance on our behalf. These third parties may not successfully carry out their contractual duties or obligations or meet expected deadlines. They may need to be replaced or the quality or accuracy of the clinical data they obtain may be compromised due to the failure to adhere to our clinical protocols or regulatory requirements or for other reasons. Accordingly, our clinical trials may be extended, delayed or terminated and we may not be able to complete development of, obtain marketing authorizations for or successfully commercialize our future devices.</w:t>
      </w:r>
    </w:p>
    <w:p>
      <w:pPr>
        <w:spacing w:after="0" w:line="19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Switching or adding third parties to conduct or support portions of our preclinical studies and clinical trials involves substantial cost and requires extensive management time and focus. In addition, there is a natural transition period when a new third party</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commences work. As a result, delays may occur, which could have an adverse impact on our product development, results of operations, and prospects.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Privacy Risk Factors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Actual or perceived failures to comply with applicable data privacy and security laws, regulations, standards and other requirements could adversely affect our business, financial condition, results of operations, and prospects.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we, and the third-party service providers on which we rely, are or may become subject to numerous state, federal, and foreign laws, requirements, and regulations, as well as contractual obligations and research protocols governing the collection, use, disclosure, retention, processing, maintenance, transfer, and security of personal information, such as information that we and our third-party service providers collect in connection with the use and development of the Ceribell System and the Clarity algorithm and in clinical trials or studies, including patient EEG data.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us or our service providers’ and contractors’ ability to operate in certain jurisdictions or to collect, store, transfer, use, process, and share personal information; necessitate the acceptance of more onerous obligations in our contracts; result in liability; impose additional costs on us; necessitate changes to our information technologies, systems and practices and those of third parties that process personal information on our behalf; and may require us to change our business model.</w:t>
      </w:r>
    </w:p>
    <w:p>
      <w:pPr>
        <w:spacing w:after="0" w:line="19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the United States, numerous state and federal laws, regulations, standards, and other legal obligations, including consumer protection laws and regulations, which govern the collection, dissemination, use, access to, confidentiality, security, transfer, disclosure, and processing of personal information, including health-related information, could apply to our operations or the operations of our customers. For example, HIPAA imposes privacy, security, and breach notification obligations on certain healthcare providers, health plans, and healthcare clearinghouses, known as covered entities, as well as their business associates that perform certain services that involve creating, receiving, maintaining, or transmitting individually identifiable health information for or on behalf of such covered entities, and their covered subcontractors. Among other requirements, HIPAA requires business associates to develop and maintain policies with respect to the protection of, use and disclosure of protected health information (“PHI”), including the adoption of administrative, physical, and technical safeguards to protect such information, certain notification requirements in the event of a breach of unsecured PHI, and requirements to report breaches of unsecured PHI to covered entities within 60 days of discovery of the breach by the business associate or its agents. Depending on the facts and circumstances, we could be subject to significant civil, criminal, and administrative fines and penalties and/or additional reporting and oversight obligations if found to be in violation of HIPAA.</w:t>
      </w:r>
    </w:p>
    <w:p>
      <w:pPr>
        <w:spacing w:after="0" w:line="192"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Certain states have also adopted comparable privacy and security laws and regulations, which govern the privacy, collection, use, processing, disclosure, and protection of health-related and other personal information. Such laws and regulations will be subject to interpretation by various courts and other governmental authorities, thus creating potentially complex compliance issues for us and our customers. For example, the California Consumer Privacy Act, as amended by the California Privacy Rights Act (collectively,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Additional compliance investment and potential business process changes may also be required. Similar laws have been passed in other states and are continuing to be proposed at the state and federal level, reflecting a trend toward more stringent privacy legislation in the United States. For example, Washington State enacted the Washington My Health My Data Act, which broadly defines consumer health data, creates a private right of action to allow individuals to sue for violations of the law, imposes stringent consent requirements, and grants consumers certain rights with respect to their health data, including to request deletion of their information. The enactment of such laws could have potentially conflicting requirements that would make compliance challenging. In the event that we are subject to or affected by HIPAA, the CCPA, or other domestic privacy and data protection laws, any liability from failure to comply with the requirements of these laws could adversely affect our financial condition.</w:t>
      </w:r>
    </w:p>
    <w:p>
      <w:pPr>
        <w:spacing w:after="0" w:line="19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may in the future become subject to rapidly evolving data protection laws, rules and regulations in foreign jurisdictions, many of which have developed privacy and data protection requirements that impose requirements that differ substantially from those that apply within the United States. For example, in Europe, the European Union General Data Protection Regulation (the “EU GDPR”) and the United Kingdom General Data Protection Regulation and Data Protection Act 2018 (the “UK GDPR” and together with the EU GDPR referred to as the “GDPR”) governs the collection, use, disclosure, transfer, and other processing of personal data of individuals within the European Economic Area (the “EEA”) and United Kingdom (the “UK”) and imposes stringent requirements for data processors and controllers of such personal data or in the context of their activities within the EEA or UK. Companies that must comply with the GDPR face increased compliance obligations and risk, including more robust regulatory enforcement of data protection requirements and potential fines for noncompliance of up to €20 million or 4% of the annual global revenues of the noncompliant undertaking, whichever is greater. In addition to fines, a breach of the GDPR may result in regulatory investigations, reputational</w:t>
      </w:r>
    </w:p>
    <w:p>
      <w:pPr>
        <w:sectPr>
          <w:pgSz w:w="11900" w:h="16838" w:orient="portrait"/>
          <w:cols w:equalWidth="0" w:num="1">
            <w:col w:w="11240"/>
          </w:cols>
          <w:pgMar w:left="320" w:top="117" w:right="339" w:bottom="1440" w:gutter="0" w:footer="0" w:header="0"/>
        </w:sectPr>
      </w:pP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damage, orders to cease/ change our data processing activities, enforcement notices, assessment notices (for a compulsory audit), and/or civil claims (including class actions). The processing of “special category personal data” (such as personal data related to health and genetic information), which could become relevant to our operations in the context of our conduct of clinical trials, may also impose heightened compliance burdens under European data protection laws and is of interest to relevant regulators.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EEA, and the United States remains uncertain. As we continue to expand into other foreign countries and jurisdictions, we may be subject to additional laws and regulations that may affect how we conduct business. As we expand into foreign countries and jurisdictions, we will become subject to additional laws and regulations that will affect how we conduct business, and we expect the existing legal complexity and uncertainty regarding international personal data transfers to continue. As the regulatory guidance and enforcement landscape in relation to data transfers continue to develop, we could suffer additional costs, complaints and regulatory investigations or fines, and/or if we are otherwise unable to transfer personal data between and among countries and regions in which we operate, it could affect the manner in which we operate our business, the geographical location or segregation of our relevant systems and operations, and could adversely affect our financial results.</w:t>
      </w:r>
    </w:p>
    <w:p>
      <w:pPr>
        <w:spacing w:after="0" w:line="19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Federal Trade Commission (the “FTC”) also has authority to initiate enforcement actions against entities that mislead customers about HIPAA compliance, make deceptive statements about privacy and data sharing in privacy policies, fail to limit third-party use of health information, fail to implement policies to protect health information, or engage in other unfair practices that harm customers or that may violate Section 5 of the FTC Act. Even when HIPAA does not apply, failing to take appropriate steps to keep consumers’ personal information secure may constitute unfair acts or practices in or affecting commerce under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Additionally, federal and state consumer protection laws are increasingly being applied by FTC and states’ attorneys general to regulate the collection, use, storage, and disclosure of health-related and other personal information, through websites or otherwise, and to regulate the presentation of website content.</w:t>
      </w:r>
    </w:p>
    <w:p>
      <w:pPr>
        <w:spacing w:after="0" w:line="18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Although we work to comply with applicable laws, regulations and standards, our contractual obligations, research protocols, and other legal obligations, these requirements are evolving and may be modified, interpreted and applied in an inconsistent manner from one jurisdiction to another, and may conflict with one another or other legal obligations with which we must comply. Any actual or perceived failure by us or our employees, representatives, contractors, consultants, or other third parties to comply with such requirements or adequately address data privacy and security concerns, even if unfounded, could result in, among other adverse impacts, significant regulatory penalties and fines, our compliance with contracts entered into with our partners, collaborators, and other third-party payors, damage to our reputation, loss of customer confidence in our security measures, withdrawal or withholding of customer consent for using patient data, government investigations, and enforcement actions and litigation and claims by third parties, any of which could have a material adverse effect on our reputation, business, financial condition, results of operations, and prospects.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risks associated with our use and development of AI and machine learning models.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use and develop AI, machine learning and automated decision-making technologies, including proprietary AI and machine learning algorithms and models (collectively, “AI Technologies”), throughout our business, and are making significant investments in this area. For example, we use AI Technologies to power our Clarity algorithm and drive continuous improvements in the performance of the Ceribell System. New products that we develop, including expansion into new indications, are also likely to incorporate AI Technologies.</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expect that increased investment will be required in the future to continuously improve our use and development of AI Technologies. As with many technological innovations, there are significant risks involved in developing, maintaining, and deploying these technologies and there can be no assurance that the usage of or our investments in such technologies will always enhance our products or be beneficial to our business, including our efficiency or results of operations.</w:t>
      </w:r>
    </w:p>
    <w:p>
      <w:pPr>
        <w:spacing w:after="0" w:line="1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particular, if the models underlying our AI Technologies are: incorrectly designed or implemented; trained or reliant on incomplete, inadequate, inaccurate, biased, or otherwise poor quality data, or on data to which we do not have sufficient rights or in relation to which we and/or the providers of such data have not implemented sufficient legal compliance measures; used without sufficient oversight and governance to ensure their responsible use; misused or used outside of scope of applicable regulatory authorizations; and/or adversely impacted by unforeseen defects, technical challenges, cybersecurity threats, or material performance issues, the performance of our products and business, as well as our reputation and the reputations of our customers, could suffer or we could incur liability resulting from the violation of laws or contracts to which we are a party, regulatory enforcement actions, or civil claims.</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For the Clarity algorithm, as well as for any potential future AI Technology driven products, performance of the algorithm is generally assessed by comparing the output of the algorithm against a clinically derived reference standard (“ground truth”) for a specified dataset. This applies to internal evaluation of an algorithm’s performance, supporting external presentations and publications, and testing to support regulatory submissions. The Clarity algorithm output will not always agree with the opinion of a qualified</w:t>
      </w:r>
    </w:p>
    <w:p>
      <w:pPr>
        <w:sectPr>
          <w:pgSz w:w="11900" w:h="16838" w:orient="portrait"/>
          <w:cols w:equalWidth="0" w:num="1">
            <w:col w:w="11240"/>
          </w:cols>
          <w:pgMar w:left="320" w:top="117" w:right="339" w:bottom="1440" w:gutter="0" w:footer="0" w:header="0"/>
        </w:sectPr>
      </w:pP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neurologist, and in some cases multiple qualified neurologists will not agree with each other. While we constantly work to improve our product and algorithm, the AI Technologies we work with are novel and complex, and we cannot assure you that our AI Technologies will be able to perform as intended under all circumstances.</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For example, an earlier version of the Clarity algorithm was found to be unable to detect seizure or status epilepticus in certain ICU patients who had cardiac arrest. Further, the data that we use to train our AI Technologies includes data collected from EEGs performed on patients by our customers, and we are dependent upon our ability to obtain the right to use such patient data to continue to develop our products, including within appropriate time frames and on commercially reasonable terms. If we are unable to obtain sufficient rights to use such data under applicable regulatory frameworks or our agreements with our customers, or our customers were to withdraw or withhold their data from us, our ability to continue to develop our products and services to our customers, and our revenue prospects, could be materially adversely impacted.</w:t>
      </w:r>
    </w:p>
    <w:p>
      <w:pPr>
        <w:spacing w:after="0" w:line="18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regulatory framework for AI Technologies is rapidly evolving as many federal, state and foreign government bodies and agencies have introduced or are currently considering additional laws and regulations. The FDA has issued guidance documents relating to the incorporation of AI Technologies into medical devices. In addition, existing laws and regulations may be interpreted in ways that would affect the operation of our AI Technologies or could be rescinded or amended as new administrations take differing approaches to evolving AI Technologies. As a result, implementation standards and enforcement practices are likely to remain uncertain for the foreseeable future, and we cannot yet determine the impact future laws, regulations, standards, or market perception of their requirements may have on our business and may not always be able to anticipate how to respond to these laws or regulations.</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the United States, the Trump administration has rescinded an executive order relating to AI Technologies that was previously implemented by the Biden administration. The Trump administration may continue to rescind other existing federal orders and/or administrative policies relating to AI Technologies, or may implement new executive orders and/or other rule-making relating to AI Technologies in the future. Any such changes at the federal level could require us to expend significant resources to modify our products, services, or operations to ensure compliance or remain competitive. U.S. legislation related to AI Technologies has also been introduced at the federal level and is advancing at the state level. Such additional regulations may impact our ability to develop, use, and commercialize AI Technologies in the future.</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It is possible that further new laws and regulations will be adopted in the United States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the Ceribell System and business and the way in which we use AI Technologies. We may need to expend resources to adjust the Ceribell System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materially and adversely affect our business, financial condition, results of operations, and prospects.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may suffer in the event of information technology system failures, cyber attacks, or deficiencies in our cybersecurity.</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collect and maintain information in digital form that is necessary to conduct our business, and we are increasingly dependent on information technology systems and infrastructure to operate our business. In the ordinary course of our business, we collect, store, transmit, and process large amounts of confidential information, including intellectual property, proprietary business information, preclinical and clinical trial data, and personal information of clinical trial participants, patients of our customers, and our employees and contractors (collectively, “Confidential Information”). We may also share Confidential Information with our partners or other third parties in conjunction with our business. It is critical that we do so in a secure manner to maintain the confidentiality and integrity of such Confidential Information.</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information technology systems and those of our customers, third-party service providers, manufacturers, and other contractors or consultants are vulnerable to attack, damage and interruption from computer viruses and malware (e.g. ransomware), misconfigurations, “bugs” or other vulnerabilities, malicious code, natural disasters, terrorism, war, telecommunication and electrical failures, hacking, cyber attacks, phishing attacks and other social engineering schemes, employee theft or misuse, human error, unauthorized access, fraud, denial or degradation of service attacks, and sophisticated nation-state and nation-state-supported actors. We have also outsourced elements of our information technology infrastructure, and as a result a number of third-party vendors may or could have access to our confidential information. The risk of a security breach or disruption, particularly through cyber attacks or cyber intrusion, including by computer hackers, foreign governments and cyber terrorists, has generally increased as the number, intensity and sophistication of attempted attacks and intrusions from around the world have increased and evolved. If we or our third-party vendors were to experience a significant cybersecurity breach of our or their information systems or data, the costs associated with the investigation, remediation and potential notification of the breach to counter-parties and data subjects could be material. In addition, our</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remediation efforts may not be successful. If we do not allocate and effectively manage the resources necessary to build and sustain the proper technology and cybersecurity infrastructure, we could suffer significant business disruption, including transaction errors, supply chain or manufacturing interruptions, processing inefficiencies, data loss or the loss of or damage to intellectual property or other proprietary information. There can also be no assurance that our and our customers’, third-party service providers’, contractors’, and consultants’ cybersecurity risk management programs and processes, including policies, controls, or procedures, will be fully implemented, complied with or effective in protecting our systems, networks, and Confidential Information.</w:t>
      </w:r>
    </w:p>
    <w:p>
      <w:pPr>
        <w:spacing w:after="0" w:line="1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Attacks upon information technology systems are increasing in their frequency, levels of persistence, sophistication, and intensity, and are being conducted by sophisticated and organized groups and individuals with a wide range of motives and expertise. Furthermore, because the techniques used to obtain unauthorized access to, or to sabotage, information technology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 including AI – that are designed to circumvent controls, to avoid detection, and to remove or obfuscate forensic evidence.</w:t>
      </w:r>
    </w:p>
    <w:p>
      <w:pPr>
        <w:spacing w:after="0" w:line="18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and certain of our customers and service providers may be subject to cyber attacks and security incidents from time to time. While we do not believe that we have experienced any significant information technology system failure, accident, or security breach to date, if such an event were to occur and cause interruptions in our operations, it could result in a material disruption of our development programs and our business operations, whether due to a loss, corruption or unauthorized disclosure or misappropriation of our trade secrets, personal information, patient data collected from our customers or other Confidential Information or other similar disruptions. It could also expose us to risks, including an inability to provide our services and fulfill contractual demands, and could cause management distraction and the obligation to devote significant financial and other resources to mitigate such problems, which would increase our future information security costs, including through organizational changes, deploying additional personnel, reinforcing administrative, physical and technical safeguards, further training of employees, changing third-party vendor control practices, and engaging third-party subject matter experts and consultants and reduce the demand for our technology and services. If a security breach or other incident were to result in the unauthorized access to or unauthorized use, disclosure, release, or other processing of personal information, including the patient data of our customers, it may be necessary to notify individuals, governmental authorities, supervisory bodies, the media, and other parties pursuant to privacy and security laws and the costs associated with the investigation, remediation, and potential notification of the breach to third-parties and data subjects could be material.</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Any security compromise affecting us, our service providers, strategic partners, other contractors, consultants, or our industry, whether real or perceived, could harm our reputation, erode confidence in the effectiveness of our security measures and lead to regulatory scrutiny. To the extent that any disruption or security breach were to result in a loss of, or damage to, our data or systems, or inappropriate disclosure of confidential or proprietary or personal information, we could incur liability, including litigation exposure, penalties and fines, we could become the subject of regulatory action or investigation, our competitive position could be harmed and the further development and commercialization of our products and services could be delayed. If such an event were to occur and cause interruptions in our operations, it could result in a material disruption of our business. Furthermore, federal, state and international laws and regulations can expose us to enforcement actions and investigations by regulatory authorities, and potentially result in regulatory penalties, fines and significant legal liability, if our information technology security efforts fail. Any adverse impact to the availability, integrity, or confidentiality of our or third-party information technology systems or Confidential Information, whether actual or perceived, could result in liability, legal claims, or proceedings (such as class actions), regulatory investigations and enforcement actions, fines, and penalties, negative reputational impacts that cause us to lose existing or future customers, and/or significant incident response, system restoration or remediation, and future compliance costs, any of which could materially and adversely affect our business, financial condition, results of operations, and prospects.</w:t>
      </w:r>
    </w:p>
    <w:p>
      <w:pPr>
        <w:spacing w:after="0" w:line="19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existing general liability and cyber liability insurance policies may not cover, or may cover only a portion of, any potential claims related to security breaches to which we are exposed or may not be adequate to indemnify us for all or any portion of liabilities that may be imposed. We also cannot be certain that our existing insurance coverage will continue to be available on acceptable terms or in amounts sufficient to cover the potentially significant losses that may result from a security incident or breach or that the insurer will not deny coverage of any future claim. Accordingly, if our cybersecurity measures, and those of our customers and service providers, fail to protect against unauthorized access, attacks (which may include sophisticated cyber attacks), and the mishandling of data, then our reputation, business, financial condition, results of operations, and prospects could be materially and adversely affected.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will depend on our and our licensors’ ability to obtain, maintain, enforce, and protect our intellectual property rights.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success and ability to compete depends in part on our and our licensors’ ability to obtain, maintain, enforce, and protect issued patents, trademarks, trade secret, and other intellectual property rights and proprietary technology in the United States and elsewhere. If we cannot adequately obtain, maintain, and enforce our intellectual property rights and proprietary technology, competitors may be able</w:t>
      </w:r>
    </w:p>
    <w:p>
      <w:pPr>
        <w:sectPr>
          <w:pgSz w:w="11900" w:h="16838" w:orient="portrait"/>
          <w:cols w:equalWidth="0" w:num="1">
            <w:col w:w="11240"/>
          </w:cols>
          <w:pgMar w:left="320" w:top="117" w:right="339" w:bottom="1440" w:gutter="0" w:footer="0" w:header="0"/>
        </w:sectPr>
      </w:pP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use our technologies or the goodwill we have acquired in the marketplace and erode or negate any competitive advantage we may have and our ability to compete, which could harm our business and ability to achieve profitability and/or cause us to incur significant expenses. We generally seek to protect our proprietary position by filing patent applications that are important to our business. We also seek to protect our proprietary position by acquiring or in-licensing relevant issued patents or pending patent applications or other intellectual property or proprietary rights from third parties. If we are unable to obtain or maintain patent protection with respect to any proprietary technology, our business, financial condition, results of operations, and prospects could be materially harmed.</w:t>
      </w:r>
    </w:p>
    <w:p>
      <w:pPr>
        <w:spacing w:after="0" w:line="18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rely on a combination of contractual provisions, confidentiality procedures, and patent, trademark, copyright, trade secret and other intellectual property laws to protect the proprietary aspects of the Ceribell System, brand, technologies, trade secrets, know-how, and data. These legal measures afford only limited protection, and competitors or others may gain access to or use our intellectual property rights and proprietary information. In addition, patents have a limited lifespan. In the United States, for example, the natural expiration of a utility patent is generally 20 years from the earliest effective non-provisional filing date. Our success will depend, in part, on preserving our trade secrets, maintaining the security of our data and know-how, and obtaining, maintaining, and enforcing other intellectual property rights. We may not be able to obtain, maintain, and/or enforce our intellectual property or other proprietary rights necessary to our business or in a form that provides us with a competitive advantage.</w:t>
      </w:r>
    </w:p>
    <w:p>
      <w:pPr>
        <w:spacing w:after="0" w:line="1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patent prosecution process is expensive, time-consuming, and complex, and we may not be able to file, prosecute, maintain, enforce, defend, or license all necessary or desirable patents or patent applications at a reasonable cost or in a timely manner, or in all jurisdictions. Moreover, pending patent applications cannot be enforced against third parties practicing the technology claimed in such applications unless, and until, patents issue from such applications, and then only to the extent the issued claims cover relevant product, service, or the technology. There can be no assurance that our current or future patent applications will result in patents being issued or that our issued patents will afford sufficient protection against competitors or other third parties with similar products, services or technologies competitive with ours, nor can there be any assurance that the patents issued will not be infringed, designed around, or invalidated by third parties.</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Even issued patents may later be found invalid or unenforceable or may be modified or revoked in proceedings instituted by third parties before various patent offices or in courts. The degree of future protection for our and our licensors’ intellectual property or other proprietary rights is uncertain. Only limited protection may be available and may not adequately protect our rights or permit us to gain or keep any competitive advantage. These uncertainties and/or limitations in our ability to properly protect the intellectual property or other proprietary rights relating to our products, services and technologies could have a material adverse effect on our business, financial condition, results of operations, and prospects.</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cannot be certain that the claims in our U.S. pending patent applications, corresponding international patent applications and patent applications in certain foreign territories, or those of our licensors, will be considered patentable by the USPTO courts in the United States or by the patent offices and courts in foreign countries, nor can we be certain that the claims in our future issued patents will not be found invalid or unenforceable if challenged. Our ability to obtain and maintain valid and enforceable patents depends in part on whether the differences between our inventions and the prior art allow our inventions to be patentable over the prior art. Additionally, regardless of when filed, we may fail to identify relevant third-party patents or patent applications, or we may incorrectly conclude that a third-party patent is invalid or not infringed by our products, services, technologies, or activities. Therefore, we cannot be certain that we or our licensors were the first to make the inventions claimed in any of our owned or in-licensed patents or pending patent applications, or that we or our licensors were the first to file for patent protection of such inventions.</w:t>
      </w:r>
    </w:p>
    <w:p>
      <w:pPr>
        <w:spacing w:after="0" w:line="19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Failure to obtain, maintain, and/or enforce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United States and other jurisdictions we depend upon may not provide sufficient protection in the future to prevent the infringement, use, violation or misappropriation of our patents, trademarks, data, technology, and other intellectual property rights by others, and may not provide an adequate remedy if our intellectual property rights are infringed, misappropriated, or otherwise violated by others.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degree of future protection for our intellectual property rights is uncertain, and we cannot ensure that:</w:t>
      </w:r>
    </w:p>
    <w:p>
      <w:pPr>
        <w:spacing w:after="0" w:line="117" w:lineRule="exact"/>
        <w:rPr>
          <w:sz w:val="20"/>
          <w:szCs w:val="20"/>
          <w:color w:val="auto"/>
        </w:rPr>
      </w:pPr>
    </w:p>
    <w:p>
      <w:pPr>
        <w:ind w:left="520" w:hanging="512"/>
        <w:spacing w:after="0" w:line="282"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develop, manufacture and/or commercialize similar or alternative products, services, or technologies that do not infringe, misappropriate, or violate any patents or other intellectual property rights that we own or have rights to;</w:t>
      </w:r>
    </w:p>
    <w:p>
      <w:pPr>
        <w:spacing w:after="0" w:line="53"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issued to us will provide a basis for an exclusive market for our products, services, or technologies, will provide us with any competitive advantages or will not be challenged, invalidated, modified, revoked, or circumvented by third parties;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challenged patents will be found to ultimately be valid and enforceable;</w:t>
      </w:r>
    </w:p>
    <w:p>
      <w:pPr>
        <w:spacing w:after="0" w:line="11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patents, or any of our pending patent applications, if issued, will include claims having a scope sufficient to protect our products, services, or technologies;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0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pending patent applications will issue as patents, or even if issued, will include claims with a scope sufficient to protect our products, services, or technologies;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able to successfully develop, manufacture, and commercialize our products, services, or technologies on a substantial scale before relevant patents we may have expire;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make the inventions covered by each of our patents and pending patent applications or we were the first to file patent applications for such inventions;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develop additional proprietary inventions, products, services, or technologies that are separately patentable;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activities, products, services, or technologies will not infringe upon the patents of others.</w:t>
      </w:r>
    </w:p>
    <w:p>
      <w:pPr>
        <w:spacing w:after="0" w:line="3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identify our patentable inventions or adequately protect our patent rights, the commercial value of our products, services or technologies may be adversely affected and our competitive position may be harmed.</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rely in part on our portfolio of issued patents and pending patent applications in the United States and other countries to protect our intellectual property and competitive position. However, it is also possible that we may fail to identify patentable aspects of inventions made in the course of the development, manufacture, and commercial activities conducted by or on behalf of us before it is too late to obtain patent protection on such inventions. If we fail to timely file for patent protection in any jurisdiction, we may be precluded from doing so at a later date. Although we enter into non-disclosure and confidentiality agreements with parties who have access to patentable aspects of our research and development output, such as our employees, outside scientific collaborators, suppliers, consultants, advisors, and other third parties, any of these parties may breach the agreements and disclose such output before a patent application is filed, thereby jeopardizing our ability to seek patent protection.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any of our patents or pending patent applications, or that we were the first to file for patent protection of such inventions. Moreover, should we become a licensee of a third party’s patents or patent applications, depending on the terms of any future in-licenses to which we may become a party, we may not have the right to control the preparation, filing, and prosecution of patent applications, or to maintain or enforce the patents, covering technology in-licensed from third parties. Therefore, these patents and patent applications may not be prosecuted, maintained, and/or enforced in a manner consistent with the best interests of our business. While we generally apply for patents in those countries where we intend to make, have made, use, import, offer for sale, or sell our products or services or otherwise practice our technology, we may not accurately predict all of the countries where patent protection will ultimately be desirable. Furthermore, the issuance of a patent does not give us the right to practice the patented invention. Third parties may have blocking patents that could prevent us from importing, using, manufacturing, and/or commercializing our own products or services, or otherwise practicing our own technology. Any of these outcomes could impair our ability to prevent competition from third parties, which may have an adverse impact on our business.</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patent positions of companies, including our patent position, may involve complex legal and factual questions that have been the subject of much litigation in recent years, and, therefore, the scope of any patent claims that we have or may obtain cannot be predicted with certainty. Accordingly, we cannot provide any assurances about which of our patent applications will issue, the breadth of any resulting patent, whether any of the issued patents will be found to be infringed, invalid, or unenforceable or will be threatened or challenged by third parties, that any of our issued patents have, or that any of our currently pending or future patent applications that mature into issued patents will include, claims with a scope sufficient to protect our products, services, or technology. Our pending and future patent applications may not result in the issuance of patents or, if issued, may not issue in a form that will be advantageous to us. The coverage claimed in a patent application can be significantly reduced before the patent is issued, and its scope can be reinterpreted after issuance. We cannot offer any assurances that the breadth of our issued patents will be sufficient to stop a competitor from developing, manufacturing, and commercializing one or more products, services, or technologies in a non-infringing manner that would be competitive with one or more of our products, services, or technologies, or otherwise provide us with any competitive advantage. Furthermore, any successful challenge to these patents or any other patents owned by or licensed to us after patent issuance could deprive us of rights necessary for our commercial success. Further, there can be no assurance that we will have adequate resources to enforce our patents.</w:t>
      </w:r>
    </w:p>
    <w:p>
      <w:pPr>
        <w:spacing w:after="0" w:line="19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Though an issued patent is presumed valid and enforceable, its issuance is not conclusive as to its validity or its enforceability and it may not provide us with adequate proprietary protection or competitive advantages against competitors with similar products or services. Patents, if issued, may be challenged, deemed unenforceable, invalidated, narrowed, or circumvented. Proceedings challenging our patents or patent applications could result in either loss of the patent, or denial of the patent application or loss or reduction in the scope of one or more of the claims of the patent or patent application. Any successful challenge to our patents and patent applications could deprive us of exclusive rights necessary for our commercial success. In addition, defending such challenges in such proceedings may be costly. Thus, any patents that we own or in-license may not provide the anticipated level of, or any, protection against</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competitors. Furthermore, an adverse decision may result in a third party receiving a patent right sought by us, which in turn could affect our ability to develop, manufacture, commercialize, import, or otherwise use our products, services, or technologies.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Some of our patents and patent applications are and, may in the future be, co-owned with third parties. If we are unable to obtain an exclusive license to any such third- party co-owners’ interest in such patents or patent applications, such co-owners may be able to license their rights to other third parties, including our competitors, and our competitors could market competing products, services, or technologies. In addition, we may need the cooperation of any such co-owners of our patents to enforce such patents against third parties, and such cooperation may not be provided to us.</w:t>
      </w:r>
    </w:p>
    <w:p>
      <w:pPr>
        <w:spacing w:after="0" w:line="2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similar provisions during the patent application process. In addition, periodic maintenance fees, renewal fees, annuity fees, and various other government fees on issued patents often must be paid to the USPTO and foreign patent agencies over the lifetime of the patent and/or applications and any patent rights we may obtain in the future. While an unintentional lapse of a patent or patent application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There could also be delays at the USPTO caused by staffing cuts and other U.S. government actions as a result of the U.S. Department of Government Efficiency or other executive actions to reduce the size of the U.S. government. If we or our patent licensors fail to maintain the patents and patent applications that we in-license, we may not be able to stop a competitor from marketing products, services, or technologies that are the same as or similar to our products, services, or technologies, which would have a material adverse effect on our business, financial condition, results of operations, and prospects.</w:t>
      </w:r>
    </w:p>
    <w:p>
      <w:pPr>
        <w:spacing w:after="0" w:line="29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U.S. or foreign patent laws or their interpretations could diminish the value of our patents in general, thereby impairing our ability to protect our current and future products, services, or technologies, and could increase the uncertainties and costs surrounding the prosecution of our patent applications and the enforcement or defense of our current or future patents.</w:t>
      </w:r>
    </w:p>
    <w:p>
      <w:pPr>
        <w:spacing w:after="0" w:line="6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ability to obtain patents and the breadth of any patents obtained is uncertain in part because, to date, some legal principles remain unresolved, and there has not been a consistent policy regarding the breadth or interpretation of claims allowed in patents in the United States and other countries. Changes in either patent laws or in interpretations of patent laws in the United States and other countries may diminish the value of our intellectual property rights or narrow the scope of our patent protection, which in turn could diminish the commercial value of our products, services, and technologies.</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Patent reform legislation may pass in the future that could lead to additional uncertainties and increased costs surrounding the prosecution, enforcement, and defense of our patents and applications. Furthermore, the U.S. Supreme Court and the U.S. Court of Appeals for the Federal Circuit have made, and will likely continue to make, changes in how the patent laws of the United States are interpreted. The U.S. Supreme Court has ruled on several patent cases in recent years, either narrowing the scope of patent protection available in certain circumstances or weakening the rights of patent owners in certain situations.</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to increasing uncertainty with regard to our ability to obtain patents in the future, this combination of events has created uncertainty with respect to the value of patents, once obtained. Depending on actions by the United States Congress, the federal courts and the USPTO, the laws and regulations governing patents could change in unpredictable ways that would weaken our ability to obtain new patents or to enforce patents that we own or that we might obtain or license in the future. An inability to obtain, enforce, and defend patents covering our proprietary technologies would materially and adversely affect our business, financial condition, results of operations, and prospects.</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Similarly, foreign courts have made, and will likely continue to make, changes in how the patent laws in their respective jurisdictions are interpreted. Changes in patent laws and regulations in other countries or jurisdictions, changes in the governmental bodies that enforce them, or changes in how the relevant governmental authority enforces patent laws or regulations may weaken our ability to obtain new patents or to enforce patents that we own or may obtain in the future. Further, the laws of some foreign countries do not protect proprietary rights to the same extent or in the same manner as the laws of the United States. In addition, any protection afforded by foreign patents may be more limited than that provided under U.S. patent and intellectual property laws. We may encounter significant problems in enforcing and defending our intellectual property both in the United States and abroad. For example, if the issuance in a given country of a patent covering an invention is not followed by the issuance in other countries of patents covering the</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same invention, or if any judicial interpretation of the validity, enforceability or scope of the claims or the written description or enablement in a patent issued in one country is not similar to the interpretation given to the corresponding patent issued in other countries, our ability to protect our intellectual property rights in those countries may be limited. We cannot predict future changes in the interpretation of patent laws in the United States and other countries or changes to patent laws that might be enacted into law by U.S. and foreign legislative bodies. Those changes may materially affect our patents or patent applications and our ability to obtain additional patent protection in the future. Any of the foregoing could have a material adverse effect on our competitive position, business, financial condition, results of operations, and prospects.</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June 2023, the European Unitary Patent system and the European Unified Patent Court (“UPC”) were launched. European patent applications now have the option, upon grant of a patent, of becoming a Unitary Patent which is subject to the jurisdiction of the UPC. In addition, conventional European patents, both already granted at the time the new system began and granted thereafter, are subject to the jurisdiction of the UPC, unless actively opted out. This was a significant change in European patent practice, and deciding whether to opt-in or opt-out of Unitary Patent practice entail strategic and cost considerations. The UPC provides third parties with a new forum to centrally revoke our European patents and makes it possible for a third party to obtain pan-European injunctions against us. It will be several years before we will understand the scope of patent rights that will be recognized and the strength of patent remedies that will be provided by the UPC. While we have the right to opt our patents out of the UPC over the first seven years of the court’s existence, doing so may preclude us from realizing the benefits of the UPC. Moreover, the decision whether to opt-in or opt-out of Unitary Patent status will require coordinating with co-applicants, if any, adding complexity to any such decision.</w:t>
      </w:r>
    </w:p>
    <w:p>
      <w:pPr>
        <w:spacing w:after="0" w:line="18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legal systems in certain countries may also favor state-sponsored or companies headquartered in particular jurisdictions over our first-in-time patents and other intellectual property protection. We are aware of incidents where such entities have stolen the intellectual property of domestic companies in order to create competing products and we believe we may face such circumstances ourselves in the future. For example, through its “Annual Special 301 Report on Intellectual Property,” the Office of the United States Trade Representative has been reporting on the adequacy and effectiveness of intellectual property protection in a number of foreign countries that are U.S. trading partners and their protection and enforcement of intellectual property rights. Placement of a country on the Priority Watch List indicates that particular problems exist in that country with respect to intellectual property protection, enforcement, or market access for persons relying on intellectual property rights. Countries placed on the Priority Watch List are the focus of increased bilateral attention concerning the specific problem areas. It is possible that we will not be able to enforce our intellectual property rights against third parties that misappropriate our proprietary technology in those countries.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on our products, services, and technologies in all countries throughout the world would be prohibitively expensive, and the laws of foreign countries may not protect our rights to the same extent as the laws of the United States. The requirements for patentability may differ in certain countries, particularly in developing countries. In addition, the laws of some foreign countries do not protect intellectual property rights to the same extent as federal and state laws in the United States. Consequently, we may not be able to prevent third-parties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services, or technologies and, further, may export otherwise infringing products, services, or technologies to territories where we have patent protection, but enforcement is not as strong as that in the United States. These products, services, or technologies may compete with our products, services, or technologies, and our patents or other intellectual property rights may not be effective or sufficient to prevent such competition.</w:t>
      </w:r>
    </w:p>
    <w:p>
      <w:pPr>
        <w:spacing w:after="0" w:line="18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Various companies have encountered significant problems in protecting and defending intellectual property rights in certain foreign jurisdictions. The legal systems of certain countries may not favor the enforcement of patents and other intellectual property protection, particularly those relating to medical devices and related services and technologies, which could make it difficult for us to stop the infringement of our patents or marketing of competing products, services, and technologies in violation of our intellectual property and proprietary rights. In addition, some jurisdictions, such as Europe, Japan, and China, may have a higher standard for patentability than in the United States, including, for example, imposing a high standard for making claim amendments and for the submission of supplemental experimental data during patent examination. Under those heightened patentability requirements, we may not be able to obtain sufficient patent protection in certain jurisdictions even though the same or similar patent protection can be secured in the United States and other jurisdictions.</w:t>
      </w:r>
    </w:p>
    <w:p>
      <w:pPr>
        <w:spacing w:after="0" w:line="19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Proceedings to enforce our intellectual property and proprietary rights in foreign jurisdictions could result in substantial costs and divert our efforts and attention from other aspects of our business, could put our patent rights at risk of being invalidated or interpreted narrowly, could put our owned or in-licensed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inadequate to obtain a significant commercial advantage from the intellectual property that we develop or license. Various countries outside the United States, including certain countries in Europe, India, and China, have compulsory licensing laws under which a patent owner may be compelled to grant licenses to third parties. If we are forced to grant a license to third parties with respect to any patents relevant to our business, our competitive position may be impaired, and our business, financial condition, results of operations, and prospects may be adversely affected. In addition, many countries limit the enforceability of patents against government agencies or government contractors. As a result, a patent owner in such countries may have limited remedies in certain circumstances, which could materially diminish the value of such patent. Accordingly, our efforts to enforce our intellectual property rights around the world may be inadequate to obtain a significant commercial advantage from the intellectual property that we develop or license.</w:t>
      </w:r>
    </w:p>
    <w:p>
      <w:pPr>
        <w:spacing w:after="0" w:line="18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Further, the standards applied by the USPTO and foreign patent offices in granting patents are not always applied predictably. As such, we do not know the degree of world-wide uniform protection that we will have on our technologies and products in the future.</w:t>
      </w:r>
    </w:p>
    <w:p>
      <w:pPr>
        <w:spacing w:after="0" w:line="26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successfully enforce our intellectual property rights, the commercial value of our products, services, or technologies may be adversely affected and our competitive position may be harmed.</w:t>
      </w:r>
    </w:p>
    <w:p>
      <w:pPr>
        <w:spacing w:after="0" w:line="51"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 xml:space="preserve">The medical device industry is highly competitive and litigious with respect to patents, trademarks, trade secrets, and other intellectual property rights. Companies in the medical device industry have used intellectual property litigation to gain a competitive advantage. Third parties, including our competitors, may currently, or in the future, infringe, misappropriate, or otherwise violate our issued patents or other intellectual property rights, and we may file lawsuits or initiate other proceedings to protect or enforce our patents or other intellectual property rights, which could be expensive, time-consuming, and unsuccessful. We regularly monitor for unauthorized use of our intellectual property rights and, from time to time, analyze whether to seek to enforce our rights against potential infringement, misappropriation, or violation of our intellectual property rights. However, the steps we have taken, and are taking, to protect our proprietary rights may not be adequate to enforce our rights as against such infringement, misappropriation, or violation of our intellectual property rights. In certain circumstances it may not be practicable or cost-effective for us to enforce our intellectual property rights fully, particularly in certain developing countries or where the initiation of a claim might harm our business relationships. We may also be hindered or prevented from enforcing our rights with respect to a government entity or instrumentality because of the doctrine of sovereign immunity. Our ability to enforce our patent or other intellectual property rights depends on our ability to detect infringement. It may be difficult to detect infringers who do not advertise the components or methods that are used in connection with their products, services, or technologies. Moreover, it may be difficult or impossible to obtain evidence of infringement in a competitor’s or potential competitor’s product, services, or technologies. Thus, we may not be able to detect unauthorized use of, or take appropriate steps to enforce, our intellectual property rights. Any inability to meaningfully enforce our intellectual property rights could harm our ability to compete and reduce demand for our products, services, and technologies. We are currently involved in litigation against Natus, which is more fully described in “Part II, Item 1. Legal Proceedings” of this report, to protect or enforce our intellectual property rights, and we may initiate or become subject to additional litigation in the future. Litigation is inherently uncertain, may result in counterclaims or challenges to the validity of our patents, and can be costly and time-consuming. An adverse result in any litigation proceeding could harm our business. In any lawsuit we bring to enforce our intellectual property rights, a court may refuse to stop the other party from manufacturing, commercializing, using or importing the product, service, offering or technology at issue on grounds that our intellectual property rights do not cover, and the other party is not infringing, violating or otherwise misappropriating our intellectual property, through the manufacture, commercialization, use or importation of the product, service, offering or technology in question. Any claims we assert against perceived infringers could also provoke these parties to assert counterclaims against us alleging that we infringe, misappropriate, or otherwise violate their intellectual property rights. If we initiate legal proceedings against a third party to enforce a patent covering a product, service, offering or technology, the defendant could counterclaim that such patent is invalid or unenforceable. In patent litigation in the United States, defendant counterclaims alleging invalidity or unenforceability are common, and there are numerous grounds upon which a third party can assert invalidity or unenforceability of a patent. Grounds for a validity challenge could be an alleged failure to meet any of several statutory requirements, including lack of patentable subject matter, novelty, obviousness, or non-enablement. Grounds for an unenforceability assertion could be an allegation that someone connected with prosecution of the patent withheld relevant information from USPTO, or made a misleading statement, during prosecution. Mechanisms for such challenges include re-examination,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interference proceedings, derivation proceedings, and equivalent proceedings in foreign jurisdictions (e.g., opposition proceedings). In a patent or other intellectual property proceeding, a court may decide that a patent or other intellectual property right of ours is invalid or unenforceable, in whole or in part, construe the patent’s claims or other intellectual property narrowly or refuse to stop the other party from manufacturing, commercializing, using or importing the product, service, offering, or technology at issue on the grounds that our patents or other intellectual property do not cover the manufacture, commercialization, use, or importation of the product, service, offering, or technology in question. Furthermore, even if our patents or other intellectual property rights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 An adverse result in any litigation or administrative proceeding could put one or more of our patents or other intellectual property rights at risk of being invalidated or interpreted narrowly, which could adversely affect our competitive business, financial condition, results of operations and prospects. Moreover, even if we are successful in any litigation, we may incur significant expense in connection with such proceedings, and the</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amount of any monetary damages may be inadequate to compensate us for damage as a result of the infringement and the proceedings. A legal proceeding, regardless of the outcome, could drain our financial resources and divert the time and effort of our management. Protracted litigation to defend or prosecute our intellectual property rights could result in our customers or potential customers deferring or limiting their purchase or use of the affected products until resolution of the litigation.</w:t>
      </w:r>
    </w:p>
    <w:p>
      <w:pPr>
        <w:spacing w:after="0" w:line="7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cannot guarantee that any of our patent searches or analyses, including but not limited to the identification of relevant patents, analysis of the scope of relevant patent claims or determination of the expiration of relevant patents, are complete or thorough, nor can we be certain that we have identified each and every third-party patent and pending application in the United States, Europe and elsewhere that is relevant to or necessary for the commercialization of our products in any jurisdiction. Patent applications in the United States, the European Union and elsewhere are published approximately 18 months after the earliest filing for which priority is claimed, with such earliest filing date being commonly referred to as the priority date. Additionally, pending patent applications that have been published can, subject to certain limitations, be later amended in a manner that could cover our products or the use of our products. After issuance, the scope of patent claims remains subject to construction as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United States, the European Union or elsewhere that we consider relevant may be incorrect, which may negatively impact our ability to develop and market our products. Our failure to identify and correctly interpret relevant patents may negatively impact our ability to develop and market our products, if approved.</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Although our agreements with third-party manufacturing partners generally seek to prevent them from misusing our intellectual property and trade secrets, or using our designs to manufacture products for our competitors, we may be unsuccessful in monitoring and enforcing our intellectual property rights against these manufacturing partners and may find counterfeit goods in the market being sold as our products or future products similar to ours produced for our competitors using our intellectual property. Although we take steps to stop counterfeits, we may not be successful and network operators who purchase these counterfeit goods may experience product defects or failures, harming our reputation and brand and causing us to lose future sales. Any of the foregoing could harm our business, financial condition and results of operations.</w:t>
      </w:r>
    </w:p>
    <w:p>
      <w:pPr>
        <w:spacing w:after="0" w:line="2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a party to intellectual property litigation or administrative proceedings that could be expensive, time-consuming, and unsuccessful, and could interfere with our ability to develop, manufacture, commercialize, import, or otherwise use our products, services, or technologies.</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commercial success depends, in part, on our ability to develop, manufacture, commercialize, import, or use our products, services, and technologies without infringing, misappropriating, or otherwise violating the intellectual property rights of third parties. Our industry has been characterized by extensive litigation regarding patents, trademarks, trade secrets, and other intellectual property rights, and companies in the industry have used intellectual property litigation to gain a competitive advantage. While we take steps to ensure that we do not infringe upon, misappropriate, or otherwise violate the intellectual property rights of others, there may be other more pertinent rights of which we are presently unaware.</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 xml:space="preserve">Third parties may initiate legal proceedings alleging that we are infringing, misappropriating, or otherwise violating their intellectual property rights. The outcomes of such proceedings are uncertain and could have a negative impact on the success of our business. It is possible that U.S. and foreign patents and pending patent applications controlled by third parties may be alleged to cover our products, services, and technologies, or that we may be accused of misappropriating third parties’ trade secrets or infringing third parties’ trademarks. We may in the future become party to, or be threatened with, adversarial proceedings or litigation regarding intellectual property rights with respect to our products, services, or technologies, including interference proceedings, post grant review,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before the USPTO or equivalent foreign regulatory authority. Furthermore, we may also become involved in other proceedings, such as reexamination, derivation, or opposition proceedings before the USPTO or other jurisdictional body relating to our intellectual property rights or the intellectual property rights of others. Third parties may assert infringement claims against us based on existing patents or patents that may be granted in the future, regardless of their merit. Because patent applications can take many years to issue and because publication schedules for pending applications vary by jurisdiction, there may be applications now pending of which we are unaware and which may result in issued patents, which our current or future products, services, or technologies infringe. Also, because the claims of published patent applications can change between publication and patent grant, there may be published patent applications that may ultimately issue with claims that we infringe. There is a risk that third parties may choose to engage in litigation with us to enforce or to otherwise assert their patent rights against us. Even if we believe such claims are without merit, a court of competent jurisdiction could hold that these third-party patents are valid and enforceable, and infringed by the use of our products, services, or technologies, which could have a negative impact on the commercial success of our current and any future products, services, or technologies. If we were to challenge the validity of any such third-party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We will have similar burdens to overcome in foreign courts in order to successfully challenge a third-party claim of patent infringement.</w:t>
      </w:r>
    </w:p>
    <w:p>
      <w:pPr>
        <w:spacing w:after="0" w:line="19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defense of any litigation or interference proceedings may fail and, even if successful, defending such claims brought against us would cause us to incur substantial expenses and distract our management and other employees. If such claims are successfully asserted against us, we could be forced to pay substantial damages. Further, if a patent infringement or other intellectual property rights-related lawsuit were brought against us, we could be forced, including by court order, to cease developing, manufacturing, commercializing, importing, or using the infringing product, service, or technology. In addition, we could be found liable for monetary damages, including treble damages and attorneys’ fees, if we are found to have willfully infringed a patent or other intellectual property right. Although patent, trademark, trade secret, and other intellectual property disputes have often been settled through licensing or similar arrangements, costs associated with such arrangements may be substantial and could include ongoing royalties. We may not be able to obtain licenses on commercially reasonable terms or at all, in which event our business would be materially and adversely affected. Even if we were able to obtain a license, the rights may be non-exclusive, which could result in our competitors and other third parties gaining access to the same intellectual property. Ultimately, if we are unable to obtain such licenses or make any necessary changes to our products, services, or technologies, we could be forced to cease some aspect of our business operations, which could harm our business significantly.</w:t>
      </w:r>
    </w:p>
    <w:p>
      <w:pPr>
        <w:spacing w:after="0" w:line="19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 finding of infringement or an unfavorable interference or derivation proceedings outcome could prevent us from developing, manufacturing, commercializing, importing, or using our products, services, or technologies, or force us to cease some or all of our business operations, which could materially harm our business. Claims that we have misappropriated the confidential information or trade secrets of third parties could have a similar negative impact on our business, financial condition, results of operations, and prospects. We may not have sufficient financial or other resources to conduct such litigation or proceedings adequately. Some of our competitors may be able to sustain the costs of litigation or administrative proceedings more effectively than we can because of greater financial resources and more mature and developed intellectual property portfolios. We could encounter delays in product introductions while we attempt to develop alternative products or technologies.</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If third parties assert infringement, misappropriation, or other claims against our customers, these claims may require us to initiate or defend protracted and costly litigation on behalf of our customers, regardless of the merits of these claims. If any of these claims succeed or settle, we may be forced to pay damages or settlement payments on behalf of our customers or may be required to obtain licenses for the products, services, or technologies they use. If we cannot obtain all necessary licenses on commercially reasonable terms, our customers may be forced to stop using our products, services, or technologies.</w:t>
      </w:r>
    </w:p>
    <w:p>
      <w:pPr>
        <w:spacing w:after="0" w:line="1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competitors, many of which have substantially greater resources and have made substantial investments in patent portfolios, trade secrets, trademarks, and competing technologies, may have applied for or obtained, or may in the future apply for or obtain, patents or trademarks that will prevent, limit, or otherwise interfere with our ability to make, use, sell, import, and/or export our products, services, or technologies. As the number of competitors in our market grows and the number of patents issued in this area increases, the possibility of patent infringement claims against us may increase. Moreover, individuals and groups that are non-practicing entities, commonly referred to as “patent trolls,” purchase patents, and other intellectual property assets for the purpose of making claims of infringement in order to extract settlements. From time to time, we may receive threatening letters, notices or “invitations to license,”</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or may be the subject of claims that our products, services, or technologies and business operations infringe, misappropriate, or otherwise violate the intellectual property rights of others. These matters can be time-consuming, costly to defend in litigation, divert management’s attention and resources, damage our reputation and brand, and cause us to incur significant expenses or make substantial payments. In addition, we purchase product components, including hardware and software, from suppliers, and the design of these components may be outside of our direct control. These suppliers may not indemnify us in the event that a third party alleges the use of such components infringes its intellectual property rights.</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Any lawsuits relating to intellectual property rights could subject us to significant liability for damages and invalidate our intellectual property. Any potential intellectual property litigation also could force us to do one or more of the following:</w:t>
      </w:r>
    </w:p>
    <w:p>
      <w:pPr>
        <w:spacing w:after="0" w:line="54" w:lineRule="exact"/>
        <w:rPr>
          <w:sz w:val="20"/>
          <w:szCs w:val="20"/>
          <w:color w:val="auto"/>
        </w:rPr>
      </w:pPr>
    </w:p>
    <w:p>
      <w:pPr>
        <w:ind w:left="520" w:hanging="512"/>
        <w:spacing w:after="0" w:line="282"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developing, making, selling, importing, or using products, services, or technologies that allegedly infringe, misappropriate, or otherwise violate the asserted intellectual property right;</w:t>
      </w:r>
    </w:p>
    <w:p>
      <w:pPr>
        <w:spacing w:after="0" w:line="53"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or royalties to the party whose intellectual property rights we may be found to be infringing, misappropriating, or otherwise violating;</w:t>
      </w:r>
    </w:p>
    <w:p>
      <w:pPr>
        <w:spacing w:after="0" w:line="53"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those products, services, or technologies that contain the allegedly infringing intellectual property, which could be costly, disruptive, and infeasible; and attempt to obtain a license to the relevant intellectual property rights from third parties, which may not be available on commercially reasonable terms or at all, or from third parties who may attempt to license rights that they do not have;</w:t>
      </w:r>
    </w:p>
    <w:p>
      <w:pPr>
        <w:spacing w:after="0" w:line="6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the opportunity to license our intellectual property rights to others or to collect royalty payments based upon successful protection and assertion of our intellectual property rights against others;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significant legal expenses; or</w:t>
      </w:r>
    </w:p>
    <w:p>
      <w:pPr>
        <w:spacing w:after="0" w:line="11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the attorney’s fees and costs of litigation to the party whose intellectual property rights we may be found to be infringing, misappropriating, or otherwise violating.</w:t>
      </w:r>
    </w:p>
    <w:p>
      <w:pPr>
        <w:spacing w:after="0" w:line="16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Third parties may also raise similar claims before administrative bodies in the United States or abroad, even outside the context of litigation. Such mechanisms include re-examination, post 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equivalent proceedings in foreign jurisdictions (for example, opposition proceedings). Such proceedings could result in revocation of or amendment to our patents in such a way that they no longer cover our products, services, or technologies. With respect to the validity question, for example, we cannot be certain that there is no invalidating prior art, of which we, our patent counsel, and the patent examiner were unaware during prosecution. If a third party were to prevail on a legal assertion of invalidity and/or unenforceability, we may lose at least part, and perhaps all, of the patent protection on our products, services, or technologies. Such a loss of patent protection would have a material adverse impact on our business, financial condition, results of operations, and prospects.</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 motions, or other interim developments. If securities analysts or investors perceive these results to be negative, it could have a material adverse effect on the price of shares of our common stock. Even if we ultimately prevail, a court may decide not to grant an injunction against further infringing activity and instead award only monetary damages, which may not be an adequate remedy. Furthermore, even if resolved in our favor, the monetary cost of such litigation and the diversion of the attention of our management could outweigh any benefit we receive as a result of the proceedings. Uncertainties resulting from the initiation and continuation of patent litigation or other proceedings could have a material adverse effect on our business. Any of the foregoing may cause us to incur substantial costs and could place a significant strain on our financial resources, divert the attention of management from our core business, and harm our reputation.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 rights.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may also be subject to claims that our current or former employees, contractors, or other third parties have an ownership interest in our current or future patents, patent applications, or other intellectual property rights, including as an inventor or co-inventor. We may be subject to ownership or inventorship disputes in the future arising, for example, from conflicting obligations of employees, consultants, or others who were or are involved in developing our products, services, or technologies. Although it is our policy to require our employees and contractors who may be involved in the conception or development of inventions to execute agreements assigning such inventions and intellectual property rights therein to us, we may be unsuccessful in executing such an agreement with each party who, in fact, conceives or develops inventions that we regard as our own, and we cannot be certain that our agreements with such parties will be upheld in the face of a potential challenge, or that they will not be breached, for which we may not have an adequate remedy. The assignment of inventions may not be self-executing, or the assignment agreements may be breached, and litigation may be necessary to defend against these and other claims challenging inventorship or ownership of inventorship. If we fail in defending any such claims, in addition to paying monetary damages, we may lose valuable intellectual property rights, such as exclusive ownership of, or the right</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use, valuable intellectual property rights, and other owners may be able to license their interest in such intellectual property rights to other third parties, including our competitors. Such an outcome could have a material adverse effect on our business. Even if we are successful in defending against such claims, litigation could result in substantial costs and be a distraction to management and other employees.</w:t>
      </w:r>
    </w:p>
    <w:p>
      <w:pPr>
        <w:spacing w:after="0" w:line="176"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addition, we may be subject to claims from third parties challenging inventorship or ownership of intellectual property rights we regard as our own, based on claims that our agreements with employees or consultants obligating them to assign their inventions and intellectual property rights therein to us are ineffective or in conflict with prior or competing contractual obligations to assign inventions and intellectual property rights therein to another employer, to a former employer, or to another person or entity. Many of our current and former employees and consultants were previously employed at or engaged by other medical device companies, including our competitors or potential competitors. Some of these employees and consultants have executed with such previous employment or engagements confidential information non-disclosure and non-use agreements and inventions assignment agreements, which may have included non-competition provisions. Although we try to ensure that such employees and consultants do not use or otherwise disclose confidential information or intellectual property rights of others in their work for us without such other person’s consent, we may be subject to claims that we or our current or former employees or consultants have, inadvertently or otherwise, infringed, violated, or otherwise misappropriated the confidential information or the intellectual property rights of these former employers, clients, or other third parties. To the extent that our current or former employees or consultants disclose or use confidential information or intellectual property rights owned by others in their work for us, disputes may arise as to the rights in any related or resulting inventions and litigation may be necessary to defend against these claims. It may also be necessary or we may desire to obtain a license to such third party’s intellectual property rights to settle any such claim; however, there can be no assurance that we would be able to obtain such license on commercially reasonable terms, if at all. If our defense to those claims fails, in addition to paying monetary damages or a settlement payment, a court could prohibit us from manufacturing, commercializing, using or importing the product, service, or technology features or practicing other intellectual property rights that are essential to our business, which could have a material adverse effect on our competitive position as well as our business, financial condition, results of operations, and prospects. In addition, we may lose valuable intellectual property rights or personnel. Even if we are successful in defending against these claims, litigation could result in substantial costs and could be a distraction to management and our employees. Any litigation or the threat thereof may adversely affect our ability to hire employees or contract with collaborators, partners, services provides, or contractors. A loss of key personnel or their work product could hamper or prevent our ability to develop, manufacture, commercialize, import, or use our products, services, or technologies, which could materially and adversely affect our business, financial condition, results of operations, and prospects.</w:t>
      </w:r>
    </w:p>
    <w:p>
      <w:pPr>
        <w:spacing w:after="0" w:line="29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certain intellectual property rights that are licensed to us. We may be unsuccessful in licensing or acquiring intellectual property rights from third parties that may be necessary to develop, manufacture, commercialize, import, or use our current and/or future products, services, or technologies.</w:t>
      </w:r>
    </w:p>
    <w:p>
      <w:pPr>
        <w:spacing w:after="0" w:line="6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“brain stethoscope” EEG sonification technology, which processes data and turns it into sound, that is used in the Ceribell System is protected by intellectual property rights that we in-license from Stanford University. See the section titled “Business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Stanford Agreement” in our Annual Report on Form 10-K. During the quarter ended June 30, 2025, we exercised our option to extend exclusivity under certain licensed patent rights owned or controlled by Stanford University through the expiration date of the last-to-expire licensed patent. While we believe this extension strengthens our intellectual property position, there can be no assurance that such exclusivity will be effective in all jurisdictions or that the underlying patents will not be challenged. Our rights to use such intellectual property rights in our business are also subject to the continuation of and our compliance with the terms of the license agreements between us and each of our licensors. In addition, the agreements under which we in-license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in-licensed, or in-license in the future, prevent, or impair our ability to maintain our licensing arrangements on commercially acceptable terms, we may be unable to successfully develop and commercialize the affected product candidates, which could have a material adverse effect on our business, financial condition, results of operations, and prospects.</w:t>
      </w:r>
    </w:p>
    <w:p>
      <w:pPr>
        <w:spacing w:after="0" w:line="19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Despite our best efforts, our current or future licensors might conclude that we materially breached our license agreements and might therefore terminate the license agreements, thereby removing our ability to develop and commercialize products and technology covered by these license agreements. If these in-licenses are terminated, this could have a material adverse effect on our competitive position, business, financial condition, results of operations, and prospects.</w:t>
      </w:r>
    </w:p>
    <w:p>
      <w:pPr>
        <w:spacing w:after="0" w:line="180"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A third party may hold intellectual property rights, including patent rights, that are important or necessary to the development, manufacture, commercialization, import or use of our current and/or future products, services, or technologies, in which case we would need to acquire or obtain a license to such intellectual property rights from such third party. A third party that perceives us to be a</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competitor may be unwilling to license or assign its intellectual property rights to us. In addition, the licensing or acquisition of third-party intellectual property rights is a competitive area, and other companies may also pursue similar strategies to license or acquire such third party’s intellectual property rights. Some of these companies may have a competitive advantage over us due to their size, capital resources and greater development, manufacturing, and commercialization capabilities. We also may be unable to license or acquire third party intellectual property rights on commercially reasonable terms that would allow us to make an appropriate return on our investment, or we may be unable to obtain any such license or acquisition at all. If we are unable to successfully license or acquire necessary third-party intellectual property rights, we may not be able to develop, manufacture, commercialize, import, or use our current and/or future products, services, or technologies, which could have a material adverse effect on our business, financial condition, results of operations, and prospects.</w:t>
      </w:r>
    </w:p>
    <w:p>
      <w:pPr>
        <w:spacing w:after="0" w:line="29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disclosure and use of our confidential information and trade secrets, the value of our products, services, and technologies and our business and competitive position could be harmed.</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addition to patent protection, we also rely on other intellectual property rights, including trade secrets, know-how, and/or other proprietary information that is not patentable or that we elect not to patent. However, trade secrets can be difficult to protect, and some courts are less willing or unwilling to protect trade secrets. To protect and maintain the confidentiality of our trade secrets and other proprietary information, we rely heavily on confidentiality provisions that we have in contracts with our employees, consultants, collaborators, and other third parties. We generally enter into confidentiality and inventions assignment agreements with our employees, consultants, and applicable third parties upon their commencement of a relationship with us. However, we cannot guarantee that we have entered into such agreements with each party that may have or have had access to our trade secrets or proprietary technology and processes, and we may not enter into such agreements with all employees, consultants, and third parties who have been involved in the development of our inventions. Although we generally require all of our employees, consultants, advisors, and any third parties who have access to our proprietary know-how, information, or technology to enter into confidentiality agreements, we cannot provide any assurances that all such agreements have been duly executed, and any of these parties may breach the agreements and disclose our proprietary information, including our trade secrets. We may also need to share our proprietary know-how with current or future partners, collaborators, contractors and others located in countries at heightened risk of theft of trade secrets, including through direct intrusion by private parties or foreign actors, and those affiliated with or controlled by state actors. As a result, we may encounter significant problems in protecting and defending our intellectual property both in the United States and abroad.</w:t>
      </w:r>
    </w:p>
    <w:p>
      <w:pPr>
        <w:spacing w:after="0" w:line="19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addition, despite the protections we place on our intellectual property and our other proprietary rights, monitoring unauthorized use and disclosure by employees, consultants, and other third parties who have access to such intellectual property or other proprietary rights is difficult, and we do not know whether the steps we have taken to protect our intellectual property or other proprietary rights will be adequate. Therefore, we may not be able to prevent the unauthorized disclosure or use of our technical knowledge or other trade secrets by such employees, consultants, advisors, or third parties, despite the existence of our protections, including non-disclosure and use restrictions. These agreements may not provide meaningful protection against the unauthorized disclosure or use or of our trade secrets, know-how, or other proprietary information in the event the unwanted use is outside the scope of the provisions of the contracts or in the event of any unauthorized use, misappropriation, or disclosure of such trade secrets, know-how or other proprietary information that we fail to detect. There can be no assurances that such employees, consultants, advisors, or third parties will not intentionally or unintentionally breach their agreements with us, that we will have adequate remedies for any breach, or that our trade secrets will not otherwise become known or independently developed by third parties, including our competitors. If any of our trade secrets were to be lawfully obtained or independently developed by a competitor, we would have no right to prevent them, or those to whom they communicate it, from using that information to compete with us. In addition to contractual measures, we try to protect the confidential nature of our proprietary information by maintaining physical security of our premises and electronic security of our information technology systems. Such security measures may not, for example, in the case of misappropriation of a trade secret by an employee, consultant or other third party with authorized access, provide adequate protection for our proprietary information. Our security measures may not prevent an employee, consultant, or other third party from misappropriating our trade secrets and providing them to a competitor, and recourse we take against such misconduct may not provide an adequate remedy to protect our interests fully.</w:t>
      </w:r>
    </w:p>
    <w:p>
      <w:pPr>
        <w:spacing w:after="0" w:line="19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If any of our trade secrets were to be disclosed to or independently developed by a competitor, our competitive position would be harmed. The exposure of our trade secrets and other proprietary information would impair our competitive advantages and could have a material adverse effect on our business, financial condition, results of operations, and prospects. In particular, a failure to protect our proprietary rights may allow competitors to copy our products, services, or technologies, which could adversely affect our pricing and market share. Unauthorized parties may also attempt to copy or reverse engineer certain aspects of our products, services, or technologies that we consider proprietary. Costly and time-consuming litigation could be necessary to enforce and determine the scope of our trade secret rights and related confidentiality, non-disclosure, and non-use provisions, and outcomes of such litigation are unpredictable. Enforcing a claim that a party illegally disclosed, used or misappropriated a trade secret can be difficult, expensive, and time-consuming, and the outcome is unpredictable. While we use commonly accepted security measures, trade secret violations are often a combination of federal and state law in the United States, and the criteria for protection of trade secrets can vary among different jurisdictions. If the steps we have taken to maintain our trade secrets are deemed inadequate, we may have insufficient recourse against third parties for</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misappropriating the trade secret. In addition, some courts are less willing or unwilling to protect trade secrets and agreement terms that address non-competition are difficult to enforce in many jurisdictions and might not be enforceable in certain cases. Finally, even if we were to be successful on the enforcement of our claims, we may not be able to obtain adequate remedies.</w:t>
      </w:r>
    </w:p>
    <w:p>
      <w:pPr>
        <w:spacing w:after="0" w:line="17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It is also possible that others may independently develop information or technologies that are the same as or similar to our trade secrets or other proprietary technologies and develop products, services, or technologies without obtaining access to our trade secrets or other proprietary information in which case we could not assert any intellectual property rights, including trade secret rights, against such parties in a manner that could prevent legal recourse by us. If we fail to obtain or maintain trade secret protection, or if any of our confidential or proprietary information, such as our trade secrets, were to be disclosed or used by others without our consent or otherwise misappropriated, or if any such information was independently developed by a competitor, or if our competitors obtain our trade secrets or independently develop products, services, or technologies that are the same as or similar to ours, our competitive market position could be materially and adversely harmed.</w:t>
      </w:r>
    </w:p>
    <w:p>
      <w:pPr>
        <w:spacing w:after="0" w:line="2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we may not be able to build brand name recognition in our markets of interest and our competitive position may be harmed.</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trademarks could be challenged, opposed, invalidated, infringed, and circumvented by third parties, and our trademarks could also be diluted, declared generic or descriptive, or found to be infringing on other marks. If any of the foregoing occurs, we could be forced to re-brand our company, products, services, or technologies, resulting in loss of brand recognition and requiring us to devote resources to advertising and marketing new brands, and suffer other competitive harm. Third parties may also adopt trademarks similar to ours, which could harm our brand identity and lead to market confusion. Further, there can be no assurance that competitors will not infringe our trademarks or that we will have adequate resources to enforce our trademarks. At times, competitors may adopt trade names or trademarks similar to ours, thereby impeding our ability to build brand identity and possibly leading to market confusion. Certain of our current or future trademarks may become so well known by the public that their use becomes generic and they lose trademark protection. Over the long term, if we are unable to establish name recognition based on our trademarks and trade names, then we may not be able to compete effectively. Any of the foregoing could have a material adverse effect on our competitive position, business, financial condition, results of operations, and prospects.</w:t>
      </w:r>
    </w:p>
    <w:p>
      <w:pPr>
        <w:spacing w:after="0" w:line="194"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rely on our trademarks, trade names, and brand names, such as our Clarity mark, to distinguish our products, services, and technologies from the products, services, and technologies of our competitors, and have registered or applied to register many of these trademarks in the United States and certain countries outside the United States; however, we have not yet registered all of our trademarks in all of our current and potential markets. There can be no assurance that all of our trademark applications will be approved for registration. During trademark registration proceedings, we may receive rejections. Although we are given an opportunity to respond to those rejections, we may be unable to overcome such rejections. In addition, in proceedings before the USPTO and comparable agencies in many foreign jurisdictions, third parties have opposed and may oppose in the future further our trademark applications and may seek to cancel trademark registrations or otherwise challenge our use of the trademarks. Opposition or cancellation proceedings may be filed against our trademark filings in these agencies, and such filings may not survive such proceedings. While we may be able to continue the use of our trademarks in the event registration is not available, particularly in the United States, where trademark rights are acquired based on use and not registration, third parties may be able to enjoin the continued use of our trademarks if such parties are able to successfully claim infringement in court. In addition,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 Our trademarks or trade names may be infringed, circumvented, declared generic, or determined to be violating or infringing on other marks.</w:t>
      </w:r>
    </w:p>
    <w:p>
      <w:pPr>
        <w:spacing w:after="0" w:line="30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contain third-party open source software components and failure to comply with the terms of the underlying open source software licenses could restrict our ability to sell our products, affect our ability to protect our proprietary information, and subject us to possible litigation.</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products contain software tools licensed by third parties under open source software licenses. Use and distribution of open source software may entail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modifications or derivative works using such open source software, depending on the type of open source software the licensee uses and how the licensee uses it. If we combine our proprietary software with open source software in a certain manner, we could, under certain open source software licenses, be required to make available the source code of certain of our proprietary software to the public for free. This could allow our competitors to create similar products with less development effort and time and ultimately could result in a loss of product sales and revenue. In addition, some companies that use third-party open source software have faced claims challenging their use of such open source software and their compliance with the terms of the applicable open source license. We may be subject to suits by third parties claiming ownership of what we believe to be open source software or claiming non-compliance with the applicable open source licensing</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terms. Use of open source software may also present additional security risks because the public availability of such software may make it easier for hackers and other third parties to compromise or attempt to compromise our technology platform and systems.</w:t>
      </w:r>
    </w:p>
    <w:p>
      <w:pPr>
        <w:spacing w:after="0" w:line="16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Although we typically review our use of open source software to avoid subjecting our products, services or technology to conditions we do not intend, the terms of many open source software licenses have not been interpreted by United States courts, and there is a risk that these licenses could be construed in a way that could impose unanticipated conditions or restrictions on our ability to commercialize our products, services or technology. Moreover, our processes for monitoring and controlling our use of open source software in our products, services or technology may not be effective. If we are held to have breached the terms of an open source software license, we could be required to seek licenses from third parties to continue offering our solutions on terms that are not economically feasible, to re-engineer our products, services, or technology, to discontinue the sale of our products, services, or technology if re-engineering could not be accomplished on a timely basis, to pay statutory or other damages to the license holder, or to make generally available, in source code form, our proprietary code, any of which could materially adversely affect our business, financial condition, results of operations, and prospects.</w:t>
      </w:r>
    </w:p>
    <w:p>
      <w:pPr>
        <w:spacing w:after="0" w:line="29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manufacturing restrictions related to licensed intellectual property rights that were developed with the financial assistance of United States government grants.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Under the Bayh-Dole Act, the federal government retains a “nonexclusive, nontransferable, irrevocable, paid-up license” in inventions produced with its financial assistance (“Government Funded Inventions”) for its own benefit. The Bayh-Dole Act provides federal agencies with march-in rights (“March-In Rights”), which allows a government agency, in specified circumstances, to require the patent owner or successors in title to the patent directed to such Government Funded Inventions (“Patent Owner”) to grant a “nonexclusive, partially exclusive or exclusive license” to a “responsible applicant or applicants,” which if exercised, would allow such government agency to require such Patent Owner to grant a non-exclusive, partially exclusive, or exclusive license in any field of use to a third-party designated by such agency. The Bayh-Dole Act also provides that the Patent Owner manufacture products embodying the respective Government Funded Inventions domestically in accordance with certain requirements. If this domestic manufacturing requirement is not met, the government agency that funded the relevant grant is entitled to exercise March-In Rights. We are subject to the Bayh-Dole Act with respect to licensed technology that was developed with United States government grants. Such licensed technology is used in our recorders. Further, we cannot be sure that if we acquire intellectual property rights in the future they will be free from government rights or regulations pursuant to the Bayh-Dole Act.</w:t>
      </w:r>
    </w:p>
    <w:p>
      <w:pPr>
        <w:spacing w:after="0" w:line="19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If we own, co-own, or in-license Government Funded Inventions that are critical to our business, our ability to enforce or otherwise exploit patents covering such technology may be adversely affected. Further, the exercise of March-In Rights, the requirement that we grant additional licenses to third parties, or the termination of our license of the relevant technologies could materially adversely affect our business, financial condition, results of operations and prospects. The restrictions of the Bayh-Dole Act may also limit our ability to manufacture our products in locations where it may be otherwise more favorable for us to do so, which could limit our ability to respond to competitive developments or otherwise adversely affect our results of operations. Any of the foregoing could have a material adverse effect on our business, financial condition, results of operations, and prospects.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Financial and Accounting Matters</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other tax attributes may be limited due to certain provisions of the Internal Revenue Code or state tax law.</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incurred substantial losses during our history and may never achieve profitability. U.S. federal net operating loss carryforwards (“NOLs”) we generated in tax years through December 31, 2017, may be carried forward for 20 years and may fully offset taxable income in the year utilized, and federal NOLs we generated in tax years beginning after December 31, 2017, may be carried forward indefinitely but may only be used to offset 80% of our taxable income annually for tax years beginning after December 31, 2020. As of December 31, 2025, we had NOLs of approximately $165.6 million for federal income tax purposes and $157.6 million for state income tax purposes.</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Realization of these NOLs depends on future taxable income, and there is a risk that our existing NOLs could expire unused and be unavailable to offset future taxable income, which could adversely affect our results of operations.</w:t>
      </w:r>
    </w:p>
    <w:p>
      <w:pPr>
        <w:spacing w:after="0" w:line="16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under Sections 382 and 383 of the Internal Revenue Code of 1986, as amended, if a corporation undergoes an “ownership change,” the corporation’s ability to use its pre-change federal NOLs and other tax attributes (such as tax credits) to offset its post-change taxable income and taxes may be limited. In general, an “ownership change” occurs if there is a greater than 50 percentage point change (by value) in a corporation’s equity ownership by certain stockholders over a rolling three-year period. Transactions that have occurred since our formation may result in an ownership change. In addition, we may experience ownership changes in the future as a result of subsequent shifts in our stock ownership (some of which shifts are outside our control). As a result, our ability to use pre-change federal NOLs and other tax attributes to offset future taxable income and taxes could be subject to limitations. Similar provisions</w:t>
      </w:r>
    </w:p>
    <w:p>
      <w:pPr>
        <w:sectPr>
          <w:pgSz w:w="11900" w:h="16838" w:orient="portrait"/>
          <w:cols w:equalWidth="0" w:num="1">
            <w:col w:w="11240"/>
          </w:cols>
          <w:pgMar w:left="320" w:top="117" w:right="339" w:bottom="1440" w:gutter="0" w:footer="0" w:header="0"/>
        </w:sectPr>
      </w:pP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state tax law may also apply. For these reasons, even if we achieve profitability, we may be unable to use a material portion of our NOLs and other tax attributes, which could materially and adversely affect our business, financial condition, results of operations, and prospects.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effective tax rate may vary significantly from period to period.</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Various internal and external factors may have favorable or unfavorable effects on our future effective tax rate. These factors include, but are not limited to, changes in tax laws, regulations, or rates, both within and outside the U.S., structural changes in our business, new accounting pronouncements or changes to existing accounting pronouncements, non-deductible goodwill impairments, changing interpretations of existing tax laws or regulations, changes in the relative proportions of revenue and income before taxes in the various jurisdictions in which we operate that have different statutory tax rates, the future levels of tax benefits of equity-based compensation, changes in overall levels of pretax earnings or changes in the valuation of our deferred tax assets and liabilities. Additionally, we could be challenged by state and local tax authorities as to the propriety of our sales tax compliance, and our results could be materially impacted by these compliance determinations.</w:t>
      </w:r>
    </w:p>
    <w:p>
      <w:pPr>
        <w:spacing w:after="0" w:line="1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our effective tax rate may vary significantly depending on the market price of our common stock. The tax effects of the accounting for share-based compensation may significantly impact our effective tax rate from period to period. In periods in which the market price of our common stock is higher than the grant price of the share-based compensation vesting in that period, we will recognize excess tax benefits that will decrease our effective tax rate. In future periods in which our stock price is lower than the grant price of the share-based compensation vesting in that period, our effective tax rate may increase. The amount and value of share-based compensation issued relative to our earnings in a particular period will also affect the magnitude of the impact of share-based compensation on our effective tax rate. These tax effects are dependent on the market price of our common stock, which we do not control, and a decline in our stock price could significantly increase our effective tax rate and adversely affect our financial condition.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tax rulings could adversely affect our effective tax rates, results of operations and financial condition.</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tax regimes we are subject to or operate under are unsettled and may be subject to significant change. This challenge will continue to increase as we expand our operations globally. Changes in tax laws, issuance of new tax rulings or changes in interpretations of existing laws could cause us to be subject to additional income-based taxes and non-income-based taxes, including payroll, sales, use, value-added, digital, net worth, property and goods and services taxes, which in turn could adversely affect our results of operations and financial condition. In particular, the U.S. government may enact significant changes to the taxation of business entities including, among others, an increase in the corporate income tax rate, the imposition of minimum taxes or surtaxes on certain types of income, significant changes to the taxation of income derived from international operations, and it may enact further limitations on the deductibility of business interest. For example, on August 16, 2022, the Inflation Reduction Act (the “IRA”) was signed into law in the U.S. Among other changes, the IRA, along with subsequent regulations, imposes a minimum tax on certain corporations with book income of at least $1 billion, subject to certain adjustments, and a 1% excise tax on certain stock buybacks and similar corporate actions. Furthermore, on July 4, 2025, the OBBB Act was enacted, introducing amendments to U.S. tax laws with various effective dates from 2025 to 2027, including changes to the treatment of research and development expenses under Section 174 of the Internal Revenue Code of 1986, as amended, modifications to the global intangible low-taxed income regime, new minimum or book-based taxes, and limitations on interest deductibility.</w:t>
      </w:r>
    </w:p>
    <w:p>
      <w:pPr>
        <w:spacing w:after="0" w:line="19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many countries in the European Union, as well as a number of other countries and organizations, have recently proposed or recommended changes to existing tax laws or have enacted new laws that could impact our tax obligations in the future. We are unable to predict what changes to the tax laws of the U.S. and other jurisdictions may be proposed or enacted in the future or what effect such changes would have on our business. Any of these or similar developments or changes to tax laws or rulings (which changes may have retroactive application) could adversely affect our effective tax rate and our results of operations and financial condition.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venture loan and security agreement contains restrictions that limit our flexibility in operating our business.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have entered into a venture loan and security agreement, dated as of February 6, 2024, by and among us, Horizon Technology Finance Corporation, as a lender and collateral agent, and Silicon Valley Bank, a division of First-Citizens Bank &amp; Trust Company (“SVB”), as a lender (the “VLSA”). Concurrent with the VLSA, we also entered into a Loan and Security Agreement with SVB for a senior revolving line of credit of up to $10.0 million (the “Revolving Facility”). As of March 31, 2026, $20.0 million in aggregate principal amount was outstanding under the VLSA, and no amount was outstanding under the Revolving Facility. The VLSA and the Revolving Facility contain various covenants that limit our ability to engage in specified types of transactions. These covenants limit our ability to, among other things:</w:t>
      </w:r>
    </w:p>
    <w:p>
      <w:pPr>
        <w:spacing w:after="0" w:line="79" w:lineRule="exact"/>
        <w:rPr>
          <w:sz w:val="20"/>
          <w:szCs w:val="20"/>
          <w:color w:val="auto"/>
        </w:rPr>
      </w:pPr>
    </w:p>
    <w:p>
      <w:pPr>
        <w:ind w:left="5540" w:right="4980" w:hanging="5023"/>
        <w:spacing w:after="0" w:line="342" w:lineRule="auto"/>
        <w:tabs>
          <w:tab w:leader="none" w:pos="1032"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 transfer, lease, or dispose of our assets subject to certain exclusions;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645160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incur, assume, guarantee, or assume additional indebtedness, other than certain permitted indebtedness;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encumber or permit liens on any of our assets other than certain permitted liens;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restricted payments, including paying dividends on, repurchasing, or making distributions with respect to any of our capital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specified investments;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with, or acquire any other entity, or sell or otherwise dispose of all or substantially all of our assets;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transactions with our affiliates.</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See also “Management’s Discussion and Analysis of Financial Condition and Results of Operations”—“Liquidity and Capital Resources” for more information regarding the covenants under the VLSA and the Revolving Facility. The covenants in the VLSA and the Revolving Facility limit our ability to take certain actions and, in the event that we breach one or more covenants, the lenders may choose to declare an event of default and require that we immediately repay all amounts outstanding of the aggregate principal amount, plus accrued interest, and foreclose on the collateral granted to it to secure such indebtedness. Such repayment could have a material adverse effect on our business, financial condition, results of operations, and prospects.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cash deposits with financial institutions exceed insured limits.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maintain the majority of our cash and cash equivalents in accounts with one or more U.S. financial institutions, and our deposits at these institutions exceed insured limits. Market conditions can impact the viability of financial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condition.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Ownership of Our Common Stock</w:t>
      </w:r>
    </w:p>
    <w:p>
      <w:pPr>
        <w:spacing w:after="0" w:line="33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we cannot be certain if the reduced reporting requirements applicable to emerging growth companies and smaller reporting companies will make our common stock less attractive to investors.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an “emerging growth company” as defined in the JOBS Act. We will remain an “emerging growth company” until the earliest to occur of:</w:t>
      </w:r>
    </w:p>
    <w:p>
      <w:pPr>
        <w:spacing w:after="0" w:line="117"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during which our total annual revenue equals or exceeds $1.235 billion (subject to adjustment for inflation);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following the fifth anniversary of the completion of our initial public offering (“IPO”);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during the previous three-year period, issued more than $1 billion in non-convertible debt;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are deemed to be a “large accelerated filer” under the Exchange Act.</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a result of our “emerging growth company” status, we may take advantage of exemptions from various reporting requirements that would otherwise be applicable to public companies including, but not limited to,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also are a “smaller reporting company” as defined in the Exchange Act.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Investors may find our common stock less attractive because we may rely on these exemptions. If some investors find our common stock less attractive as a result, there may be a less active trading market for our common stock and the market price of our common stock may be adversely affected and more volatile.</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 costs as a result of operating as a public company. We may fail to comply with the rules that apply to public companies, including Section 404 of the Sarbanes-Oxley Act of 2002, which could result in sanctions or other penalties that would seriously harm our business.</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incur significant legal, accounting and other expenses as a public company, including costs resulting from public company reporting obligations under the Exchange Act and regulations regarding corporate governance practices. The listing requirements of the Nasdaq Global Select Market and the rules of the SEC require that we satisfy certain corporate governance requirements relating to director independence, filing annual and interim reports, stockholder meetings, approvals and voting, soliciting proxies, conflicts of interest and a code of conduct. The reporting requirements, rules and regulations have and will likely continue to increase our legal and financial compliance costs and will make some activities more time-consuming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spacing w:after="0" w:line="18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are subject to Section 404 of The Sarbanes-Oxley Act of 2002 (“Section 404”) and the related rules of the SEC, which generally require our management to report on the effectiveness of our internal control over financial reporting. Our compliance with Section 404 requires that we incur substantial expense and expend significant management efforts.</w:t>
      </w:r>
    </w:p>
    <w:p>
      <w:pPr>
        <w:spacing w:after="0" w:line="17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During the course of our review and testing, we may identify deficiencies and be unable to remediate them before we must provide the required reports. Furthermore, if we have a material weakness in our internal controls over financial reporting, we may not detect errors on a timely basis and our financial statements may be materially misstated. We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 under the Exchange Act. Any failure to report our financial results on an accurate and timely basis could result in sanctions, lawsuits, delisting of our shares from the Nasdaq Global Select Market or other adverse consequences that would materially harm our business.</w:t>
      </w:r>
    </w:p>
    <w:p>
      <w:pPr>
        <w:spacing w:after="0" w:line="2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in the foreseeable future. As a result, your ability to achieve a return on your investment will depend on appreciation in the market price of our common stock.</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and we do not currently intend to pay any cash dividends on our capital stock in the foreseeable future. We currently intend to retain all available funds and any future earnings to fund the development and expansion of our business. Any future determination related to dividend policy will be made at the discretion of our Board of Directors, subject to applicable laws, and will depend upon, among other factors, our results of operations, prospects, financial condition, contractual restrictions and capital requirements. In addition, our ability to pay cash dividends on our capital stock is limited by the terms of the VLSA, and may be limited by the terms of any future debt or preferred securities we issue or any future credit facilities we enter into. Accordingly, investors must for the foreseeable future rely on sales of their common stock after price appreciation, which may never occur, as the only way to realize any future gains on their investments.</w:t>
      </w:r>
    </w:p>
    <w:p>
      <w:pPr>
        <w:spacing w:after="0" w:line="2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operating and financial performance in any given period does not meet the guidance provided to the public or the expectations of investment analysts, the market price of our common stock may decline.</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may, but are not obligated to, provide public guidance on our expected operating and financial results for future periods. Any such guidance will be comprised of forward-looking statements subject to the risks and uncertainties described in this Quarterly Report and in our other public filings and public statements. The ability to provide this public guidance, and the ability to accurately forecast our results of operations, will be impacted by a number of factors, many of which are out of our control. Our actual results may not always be in line with or exceed any guidance we have provided, especially in times of economic or regulatory uncertainty. If, in the future, our operating or financial results for a particular period do not meet any guidance provided or the expectations of investment analysts or investors generally, or if we reduce our guidance for future periods, the market price of our common stock may decline. Even if we do issue public guidance, there can be no assurance that we will continue to do so in the future.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securities issuances could result in significant dilution to our stockholders and impair the market price of our common stock.</w:t>
      </w:r>
    </w:p>
    <w:p>
      <w:pPr>
        <w:spacing w:after="0" w:line="229" w:lineRule="exact"/>
        <w:rPr>
          <w:sz w:val="20"/>
          <w:szCs w:val="20"/>
          <w:color w:val="auto"/>
        </w:rPr>
      </w:pPr>
    </w:p>
    <w:p>
      <w:pPr>
        <w:ind w:right="200" w:firstLine="449"/>
        <w:spacing w:after="0" w:line="258" w:lineRule="auto"/>
        <w:rPr>
          <w:sz w:val="20"/>
          <w:szCs w:val="20"/>
          <w:color w:val="auto"/>
        </w:rPr>
      </w:pPr>
      <w:r>
        <w:rPr>
          <w:rFonts w:ascii="Times New Roman" w:cs="Times New Roman" w:eastAsia="Times New Roman" w:hAnsi="Times New Roman"/>
          <w:sz w:val="18"/>
          <w:szCs w:val="18"/>
          <w:color w:val="auto"/>
        </w:rPr>
        <w:t>Future issuances of shares of our common stock, or the perception that these sales may occur, could depress the market price of our common stock and result in dilution to existing holders of our common stock. Also, to the extent outstanding options to purchase shares of our common stock are exercised or options, restricted stock units or other stock-based awards are issued or become vested, there will be further dilution. The amount of dilution could be substantial depending upon the size of the issuances or exercises. Furthermore, we may issue additional equity securities that could have rights senior to those of our common stock. As a result, holders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of our common stock bear the risk that future issuances of debt or equity securities may reduce the value of our common stock and further dilute their ownership interest.</w:t>
      </w:r>
    </w:p>
    <w:p>
      <w:pPr>
        <w:spacing w:after="0" w:line="26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business growth, and this capital might not be available on terms favorable to us, or at all, and may dilute existing stockholders’ ownership of our common stock.</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intend to continue to make investments to support our business growth and may require additional funds to respond to business challenges and opportunities, including the need to develop new products, enhance our existing products, enhance our operating infrastructure, potentially expand internationally, and potentially acquire complementary businesses and technologies. In order to achieve these objectives, we may make future commitments of capital resources. Accordingly, we may need to engage in equity or debt financings to secure additional funds.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In addition, the incurrence of indebtedness would increase our fixed obligations and include covenants or other restrictions that would impede our ability to manage our operations. Further, if additional financing is needed, we may not be able to obtain additional financing on terms favorable to us or at all. Our inability to obtain adequate financing or financing on terms satisfactory to us, when we require it, could significantly limit our ability to continue supporting our business growth and responding to business challenges and opportunities.</w:t>
      </w:r>
    </w:p>
    <w:p>
      <w:pPr>
        <w:spacing w:after="0" w:line="2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are able to exert significant control over matters subject to stockholder approval.</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of April 6, 2026, our executive officers, directors, owners of more than 5% of our capital stock and their respective affiliates beneficially owned approximately 45% of our common stock. Therefore, these stockholders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2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5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delay or prevent changes in control or changes in our management without the consent of our Board of Directors. These provisions include the following:</w:t>
      </w:r>
    </w:p>
    <w:p>
      <w:pPr>
        <w:spacing w:after="0" w:line="54" w:lineRule="exact"/>
        <w:rPr>
          <w:sz w:val="20"/>
          <w:szCs w:val="20"/>
          <w:color w:val="auto"/>
        </w:rPr>
      </w:pPr>
    </w:p>
    <w:p>
      <w:pPr>
        <w:ind w:left="1020" w:right="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may delay the ability of stockholders to change the membership of a majority of our Board of Directors;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alter our amended and restated bylaws without obtaining stockholder approval;</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at least 66 2/3% of the shares entitled to vote at an election of directors to adopt, amend or repeal our amended and restated bylaws or to repeal certain provisions of our amended and restated certificate of incorporation;</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our Board of Directors, which may delay the ability of our stockholders to force consideration of a proposal or to take action, including the removal of directors;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acquiror from</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conducting a solicitation of proxies to elect the acquiror’s own slate of directors or otherwise attempting to obtain control of us.</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also subject to the anti-takeover provisions contained in Section 203 of the General Corporation Law of the State of Delaware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2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our directors, officers, and other employees or agents may reduce our available funds to satisfy successful third-party claims against us and may reduce the amount of money available to us.</w:t>
      </w:r>
    </w:p>
    <w:p>
      <w:pPr>
        <w:spacing w:after="0" w:line="5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we will indemnify our directors and officers, in each case to the fullest extent permitted by Delaware law.</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addition, as permitted by Section 145 of the Delaware General Corporation Law, our amended and restated bylaws and our indemnification agreements that we have entered into with our directors, officers and certain other employees provide that:</w:t>
      </w:r>
    </w:p>
    <w:p>
      <w:pPr>
        <w:spacing w:after="0" w:line="54" w:lineRule="exact"/>
        <w:rPr>
          <w:sz w:val="20"/>
          <w:szCs w:val="20"/>
          <w:color w:val="auto"/>
        </w:rPr>
      </w:pPr>
    </w:p>
    <w:p>
      <w:pPr>
        <w:jc w:val="both"/>
        <w:ind w:left="1020" w:hanging="503"/>
        <w:spacing w:after="0" w:line="261"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 our discretion, indemnify employees and agents in those circumstances where indemnification is permitted by applicable law.</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conferred in our amended and restated bylaws are not exclusive, and we are authorized to enter into indemnification agreements with our directors, officers, employees, and agents and to obtain insurance to indemnify such persons.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retroactively amend our amended and restated bylaws provisions to reduce our indemnification obligations to directors, officers, employees, and agents.</w:t>
      </w:r>
    </w:p>
    <w:p>
      <w:pPr>
        <w:spacing w:after="0" w:line="26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is the exclusive forum for certain disputes between us and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alternative forum, the Court of Chancery of the State of Delaware (or, in the event that the Court of Chancery does not have jurisdiction, the federal district court for the District of Delaware or other state courts of the State of Delaware) is the exclusive forum for any derivative action or proceeding brought on our behalf, any action asserting a claim of breach of fiduciary duty owed by any of our directors, officers, or stockholders to us or to our stockholders, any action asserting a claim against us arising pursuant to the Delaware General Corporation Law, our amended and restated certificate of incorporation, or our amended and restated bylaws (as either may be amended from time to time), or any action asserting a claim against us that is 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also provides that the federal district courts of the United States of America are the exclusive forum for the resolution of any complaint asserting a cause of action against us or any of our directors, officers, employees, or agents and arising under the Securities Act. Nothing in our amended and restated certificate of incorporation or amended and restated bylaws precludes stockholders that assert claims under the Exchange Act from bringing such claims in state or federal court, subject to applicable law.</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any action the subject matter of which is within the scope described above is filed in a court other than a court located within the State of Delaware (a “Foreign Action”), in the name of any stockholder, such stockholder shall be deemed to have consented to the personal jurisdiction of the state and federal courts located within the State of Delaware in connection with any action brought in any such court to enforce the applicable provisions of our amended and restated certificate of incorporation and having service of process made upon such stockholder in any such action by service upon such stockholder’s counsel in the Foreign Action as agent for such stockholder. Although our amended and restated certificate of incorporation contains the choice of forum provision described above, it is possible that a court could find that such a provision is inapplicable for a particular claim or action or that such provision is unenforceable.</w:t>
      </w:r>
    </w:p>
    <w:p>
      <w:pPr>
        <w:spacing w:after="0" w:line="18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this choice of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If a court were to find the choice of forum provision contained in our amended and restated certificate of incorporation to be inapplicable or unenforceable in an action, we may incur additional costs associated with resolving such action in other jurisdictions, which could adversely affect our business, financial condition, results of operations, and prospects.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which could cause the value of your investment to decline.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may be highly volatile and could fluctuate or decline significantly in response to numerous factors, many of which are beyond our control, including:</w:t>
      </w:r>
    </w:p>
    <w:p>
      <w:pPr>
        <w:spacing w:after="0" w:line="54"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or results of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 in our financial performance from expectations of securities analysts;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our common stock by us or our stockholders, or the anticipation of such sales;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hedging activities by market participants;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products or features, technical innovations, acquisitions, strategic partnerships, joint ventures or capital commitments;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companies in our industry, including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third-party payor reimbursement policies;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obtain additional funding;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including price and volume fluctuations in the overall stock market;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threatened or filed against us;</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new legislation and pending lawsuits or regulatory actions, including interim or final rulings by judicial or regulatory bodies; and</w:t>
      </w:r>
    </w:p>
    <w:p>
      <w:pPr>
        <w:spacing w:after="0" w:line="53"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political conditions, election cycles, geopolitical actions, including unexpected changes in tariffs, trade barriers, price and exchange controls, and other regulatory requirements, war or incidents of terrorism, or responses to these events, many of which are outside of our control.</w:t>
      </w:r>
    </w:p>
    <w:p>
      <w:pPr>
        <w:spacing w:after="0" w:line="176" w:lineRule="exact"/>
        <w:rPr>
          <w:sz w:val="20"/>
          <w:szCs w:val="20"/>
          <w:color w:val="auto"/>
        </w:rPr>
      </w:pPr>
    </w:p>
    <w:p>
      <w:pPr>
        <w:ind w:right="240" w:firstLine="449"/>
        <w:spacing w:after="0" w:line="258" w:lineRule="auto"/>
        <w:rPr>
          <w:sz w:val="20"/>
          <w:szCs w:val="20"/>
          <w:color w:val="auto"/>
        </w:rPr>
      </w:pPr>
      <w:r>
        <w:rPr>
          <w:rFonts w:ascii="Times New Roman" w:cs="Times New Roman" w:eastAsia="Times New Roman" w:hAnsi="Times New Roman"/>
          <w:sz w:val="18"/>
          <w:szCs w:val="18"/>
          <w:color w:val="auto"/>
        </w:rPr>
        <w:t>In addition, extreme price and volume fluctuations in the stock markets have affected and continue to affect many medical devices and technology companies’ stock prices. Stock prices often fluctuate in ways unrelated or disproportionate to the companies’ operating performance. In the past, stockholders have filed securities class action litigation following periods of market volatility. This risk is especially relevant for us because medical technology companies have experienced significant stock price volatility in recent years. If we were to become involved in securities litigation, it could subject us to substantial costs, divert resources and the attention of management from our business and seriously harm our business.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8"/>
          <w:szCs w:val="18"/>
          <w:color w:val="auto"/>
        </w:rPr>
        <w:t>Moreover, because of these fluctuations, comparing our operating results on a period-to-period basis may not be meaningful. You should not rely on our past results as an indication of our future performance. This variability and unpredictability could also result in our failure to meet the expectations of industry or financial analysts or investors for any period. If our revenues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forecasts that we may provide.</w:t>
      </w:r>
    </w:p>
    <w:p>
      <w:pPr>
        <w:spacing w:after="0" w:line="2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continue to publish research or reports about our business, or if they issue an adverse or misleading opinion regarding our stock, our stock price and trading volume could decline.</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is influenced, in part, by the research and reports that industry or securities analysts publish about us or our business. If any of the analysts who cover us issue an adverse or misleading opinion regarding us, our business model, our intellectual property or our stock performance, or if our results of operations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engage in acquisitions or strategic partnerships, it may increase our capital requirements, dilute our stockholders, cause us to incur debt or assume contingent liabilities, and subject us to other risks.</w:t>
      </w:r>
    </w:p>
    <w:p>
      <w:pPr>
        <w:spacing w:after="0" w:line="5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From time to time, we may evaluate various acquisitions and strategic partnerships, including licensing or acquiring complementary offerings, intellectual property rights, technologies, or businesses. Any acquisition or strategic partnership may entail numerous risks, including:</w:t>
      </w:r>
    </w:p>
    <w:p>
      <w:pPr>
        <w:spacing w:after="0" w:line="54"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expenses and cash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additional indebtedness or contingent liabilities;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assimilation of operations, intellectual property, and products of an acquired company, including difficulties associated with integrating new personnel;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our management’s attention from our existing operations in pursuing such a strategic merger or acquisition;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personnel and uncertainties in our ability to maintain key business relationships;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the other party to such a transaction, including the prospects of that party and their existing products or future products and regulatory approvals;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if we undertake acquisitions or strategic partnerships, we may issue dilutive securities, assume or incur debt obligations, incur large one-time expenses, and acquire intangible assets that could result in significant future amortization expense. Moreover, we may not be able to locate suitable acquisition or partnership opportunities, and even if we do locate such opportunities, we may not be able to successfully bid for or obtain them due to competitive factors or lack of sufficient resources. This inability could impair our ability to grow or obtain access to technology or products that may be important to the development of our business.</w:t>
      </w:r>
    </w:p>
    <w:p>
      <w:pPr>
        <w:spacing w:after="0" w:line="28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we depend on may be adversely affected by natural disasters and other catastrophic events, and our business continuity and disaster recovery plans may not adequately protect us from a serious natural disaster or other catastrophic event. Any interruption in our operations or the operations of third parties who supply components or other materials for our products may have a material adverse effect on our business, financial condition, results of operations, and prospects.</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Severe weather, natural disasters and other catastrophic events, including pandemics or other public health crises (such as the COVID-19 pandemic), earthquakes, tsunamis, hurricanes, floods, fires, explosions, accidents, power outages, cyber attacks, telecommunications failures, mechanical failures, unscheduled downtimes, civil unrest, strikes, transportation interruptions, unpermitted discharges or releases of toxic or hazardous substances, other environmental risks, wars or other conflicts (including wars in Ukraine and the Middle East), sabotage, terrorist attacks, or other intentional acts of vandalism or misconduct could severely disrupt our</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operations, or the operations of third parties who manufacture or supply components or other materials for our products, and have a material adverse effect on our business, financial condition, results of operations, and prospects.</w:t>
      </w:r>
    </w:p>
    <w:p>
      <w:pPr>
        <w:spacing w:after="0" w:line="16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a natural disaster or other catastrophic event occurs that prevents us or third-party suppliers or manufacturers from using all or a significant portion of our or their headquarters or other facilities, that damages critical infrastructure or that otherwise disrupts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catastrophic event. The potential impact of any disruption would depend on the nature and extent of the damage caused by a disaster. We may incur substantial expenses as a result of the limited nature of our disaster recovery and business continuity plans, which, particularly when taken together with our lack of earthquake insurance, could have a material adverse effect on our business, financial condition, results of operations, and prospects.</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our corporate headquarters and manufacturing facilities are located in Sunnyvale, California, near major earthquake faults and fire zones. We do not carry earthquake insurance. Furthermore, integral parties in our supply chain are similarly vulnerable to natural disasters or other sudden, unforeseen, and severe adverse events. If such an event were to affect our supply chain, it could have a material adverse effect on our business, financial condition, results of operations, and prospects.</w:t>
      </w:r>
    </w:p>
    <w:p>
      <w:pPr>
        <w:spacing w:after="0" w:line="2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from legal and arbitration proceedings that may prevent us from pursuing our business activities or require us to incur additional costs in defending against claims or paying damages.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may become subject to legal disputes and regulatory proceedings in connection with our business activities involving, among other things, product liability, product defects, intellectual property infringement, employment matters, and/or alleged violations of other applicable laws in various jurisdictions. We may not be insured against all potential damages that may arise out of any claims to which we may be party in the ordinary course of our business. A negative outcome of these proceedings may prevent us from pursuing certain activities and/or require us to incur additional costs in order to do so and pay damages. In addition,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harm our business, financial condition, results of operations and prospects. Additionally, the significant increase in the cost of directors’ and officers’ liability insurance may cause us to opt for lower overall policy limits or to forgo insurance that we may otherwise rely on to cover significant defense costs, settlements, and damages awarded to plaintiffs.</w:t>
      </w:r>
    </w:p>
    <w:p>
      <w:pPr>
        <w:spacing w:after="0" w:line="18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outcome of pending or potential future legal and arbitration proceedings is difficult to predict with certainty. In the event of a negative outcome of any material legal or arbitration proceeding, whether based on a judgment or a settlement agreement, we could be obligated to make substantial payments, which could have a material adverse effect on our business, financial condition, results of operations, and prospects. In addition, the costs related to litigation and arbitration proceedings may be significant, and any legal or arbitration proceedings could have a material adverse effect on our business, financial condition, results of operations, and prospects.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must design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may not cover all potential losses or liabilities that may arise.</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not insured against all potential losses or liabilities that may arise, as insurance coverage may be unavailable, not cost-effective, or subject to significant limitations. For example, we are not insured against business interruptions suffered by third parties that we depend on, environmental liabilities or patent infringement, among other types of risks. Furthermore, no assurance can be given that an insurance carrier will not seek to cancel or deny coverage after a claim has occurred. If a loss or liability occurs that is not or not fully covered by insurance, we may be required to pay substantial amounts, which could adversely affect its cash position and results of operations.</w:t>
      </w:r>
    </w:p>
    <w:p>
      <w:pPr>
        <w:sectPr>
          <w:pgSz w:w="11900" w:h="16838" w:orient="portrait"/>
          <w:cols w:equalWidth="0" w:num="1">
            <w:col w:w="11240"/>
          </w:cols>
          <w:pgMar w:left="320" w:top="117" w:right="339" w:bottom="1440" w:gutter="0" w:footer="0" w:header="0"/>
        </w:sectPr>
      </w:pP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October 15, 2024, we completed our IPO, in which we issued and sold 12,196,969 shares of our common stock, which includes an additional 1,590,909 shares of common stock purchased by the underwriters pursuant to their option to purchase additional shares, at a price to the public of $17.00 per share. The proceeds to the Company from the IPO were approximately $188.2 million, net of underwriting discounts and commissions and estimated offering costs. There has been no material change in the intended use of proceeds from our IPO as described in our final prospectus pursuant to Rule 424(b), filed with the SEC on October 11, 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Rule 10b5-1 Trading Plans</w:t>
      </w:r>
    </w:p>
    <w:p>
      <w:pPr>
        <w:spacing w:after="0" w:line="11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During the quarter ended March 31, 2026, none of our directors or officers (as defined in Rule 16a-1(f) under the Securities Exchange Act of 1934, as amended) adopted, modified or terminated a “Rule 10b5-1 (c) trading arrangement” or a “non-Rule 10b5-1 trading arrangement”, as each term is defined in Item 408(a) of Regulation S-K.</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2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420" w:type="dxa"/>
            <w:vAlign w:val="bottom"/>
            <w:vMerge w:val="restart"/>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Provided</w:t>
            </w:r>
          </w:p>
        </w:tc>
        <w:tc>
          <w:tcPr>
            <w:tcW w:w="0" w:type="dxa"/>
            <w:vAlign w:val="bottom"/>
          </w:tcPr>
          <w:p>
            <w:pPr>
              <w:spacing w:after="0"/>
              <w:rPr>
                <w:sz w:val="1"/>
                <w:szCs w:val="1"/>
                <w:color w:val="auto"/>
              </w:rPr>
            </w:pPr>
          </w:p>
        </w:tc>
      </w:tr>
      <w:tr>
        <w:trPr>
          <w:trHeight w:val="107"/>
        </w:trPr>
        <w:tc>
          <w:tcPr>
            <w:tcW w:w="9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3520" w:type="dxa"/>
            <w:vAlign w:val="bottom"/>
            <w:gridSpan w:val="6"/>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20" w:type="dxa"/>
            <w:vAlign w:val="bottom"/>
            <w:vMerge w:val="restart"/>
          </w:tcPr>
          <w:p>
            <w:pPr>
              <w:jc w:val="center"/>
              <w:ind w:left="17"/>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8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Dated</w:t>
            </w:r>
          </w:p>
        </w:tc>
        <w:tc>
          <w:tcPr>
            <w:tcW w:w="9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9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5"/>
                <w:szCs w:val="15"/>
                <w:color w:val="auto"/>
              </w:rPr>
            </w:pPr>
          </w:p>
        </w:tc>
        <w:tc>
          <w:tcPr>
            <w:tcW w:w="2300" w:type="dxa"/>
            <w:vAlign w:val="bottom"/>
            <w:tcBorders>
              <w:bottom w:val="single" w:sz="8" w:color="auto"/>
            </w:tcBorders>
          </w:tcPr>
          <w:p>
            <w:pPr>
              <w:spacing w:after="0"/>
              <w:rPr>
                <w:sz w:val="15"/>
                <w:szCs w:val="15"/>
                <w:color w:val="auto"/>
              </w:rPr>
            </w:pPr>
          </w:p>
        </w:tc>
        <w:tc>
          <w:tcPr>
            <w:tcW w:w="3520" w:type="dxa"/>
            <w:vAlign w:val="bottom"/>
            <w:tcBorders>
              <w:bottom w:val="single" w:sz="8" w:color="auto"/>
            </w:tcBorders>
            <w:gridSpan w:val="6"/>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42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96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4"/>
                <w:szCs w:val="14"/>
                <w:color w:val="auto"/>
              </w:rPr>
            </w:pPr>
          </w:p>
        </w:tc>
        <w:tc>
          <w:tcPr>
            <w:tcW w:w="3720" w:type="dxa"/>
            <w:vAlign w:val="bottom"/>
            <w:tcBorders>
              <w:bottom w:val="single" w:sz="8" w:color="0000FF"/>
            </w:tcBorders>
            <w:gridSpan w:val="4"/>
          </w:tcPr>
          <w:p>
            <w:pPr>
              <w:spacing w:after="0" w:line="169" w:lineRule="exact"/>
              <w:rPr>
                <w:rFonts w:ascii="Times New Roman" w:cs="Times New Roman" w:eastAsia="Times New Roman" w:hAnsi="Times New Roman"/>
                <w:sz w:val="18"/>
                <w:szCs w:val="18"/>
                <w:color w:val="0000FF"/>
                <w:w w:val="98"/>
              </w:rPr>
            </w:pPr>
            <w:hyperlink r:id="rId193">
              <w:r>
                <w:rPr>
                  <w:rFonts w:ascii="Times New Roman" w:cs="Times New Roman" w:eastAsia="Times New Roman" w:hAnsi="Times New Roman"/>
                  <w:sz w:val="18"/>
                  <w:szCs w:val="18"/>
                  <w:color w:val="0000FF"/>
                  <w:w w:val="98"/>
                </w:rPr>
                <w:t>Amended and Restated Certificate of Incorporation.</w:t>
              </w:r>
            </w:hyperlink>
          </w:p>
        </w:tc>
        <w:tc>
          <w:tcPr>
            <w:tcW w:w="2100" w:type="dxa"/>
            <w:vAlign w:val="bottom"/>
            <w:gridSpan w:val="3"/>
          </w:tcPr>
          <w:p>
            <w:pPr>
              <w:spacing w:after="0"/>
              <w:rPr>
                <w:sz w:val="14"/>
                <w:szCs w:val="14"/>
                <w:color w:val="auto"/>
              </w:rPr>
            </w:pPr>
          </w:p>
        </w:tc>
        <w:tc>
          <w:tcPr>
            <w:tcW w:w="820" w:type="dxa"/>
            <w:vAlign w:val="bottom"/>
          </w:tcPr>
          <w:p>
            <w:pPr>
              <w:jc w:val="center"/>
              <w:ind w:left="17"/>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0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10/15/2024</w:t>
            </w:r>
          </w:p>
        </w:tc>
        <w:tc>
          <w:tcPr>
            <w:tcW w:w="920" w:type="dxa"/>
            <w:vAlign w:val="bottom"/>
          </w:tcPr>
          <w:p>
            <w:pPr>
              <w:jc w:val="center"/>
              <w:ind w:right="135"/>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17"/>
                <w:szCs w:val="17"/>
                <w:color w:val="auto"/>
              </w:rPr>
            </w:pPr>
          </w:p>
        </w:tc>
        <w:tc>
          <w:tcPr>
            <w:tcW w:w="5820" w:type="dxa"/>
            <w:vAlign w:val="bottom"/>
            <w:gridSpan w:val="7"/>
          </w:tcPr>
          <w:p>
            <w:pPr>
              <w:spacing w:after="0" w:line="196"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Amended and Restated Bylaws.</w:t>
              </w:r>
            </w:hyperlink>
          </w:p>
        </w:tc>
        <w:tc>
          <w:tcPr>
            <w:tcW w:w="820" w:type="dxa"/>
            <w:vAlign w:val="bottom"/>
          </w:tcPr>
          <w:p>
            <w:pPr>
              <w:jc w:val="center"/>
              <w:ind w:left="17"/>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10/15/2024</w:t>
            </w:r>
          </w:p>
        </w:tc>
        <w:tc>
          <w:tcPr>
            <w:tcW w:w="920" w:type="dxa"/>
            <w:vAlign w:val="bottom"/>
          </w:tcPr>
          <w:p>
            <w:pPr>
              <w:jc w:val="center"/>
              <w:ind w:right="135"/>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30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7"/>
                <w:szCs w:val="17"/>
                <w:color w:val="auto"/>
              </w:rPr>
            </w:pPr>
          </w:p>
        </w:tc>
        <w:tc>
          <w:tcPr>
            <w:tcW w:w="5820" w:type="dxa"/>
            <w:vAlign w:val="bottom"/>
            <w:gridSpan w:val="7"/>
          </w:tcPr>
          <w:p>
            <w:pPr>
              <w:spacing w:after="0" w:line="196"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Form of Common Stock Certificate.</w:t>
              </w:r>
            </w:hyperlink>
          </w:p>
        </w:tc>
        <w:tc>
          <w:tcPr>
            <w:tcW w:w="820" w:type="dxa"/>
            <w:vAlign w:val="bottom"/>
          </w:tcPr>
          <w:p>
            <w:pPr>
              <w:jc w:val="center"/>
              <w:ind w:left="17"/>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9/19/2024</w:t>
            </w:r>
          </w:p>
        </w:tc>
        <w:tc>
          <w:tcPr>
            <w:tcW w:w="920" w:type="dxa"/>
            <w:vAlign w:val="bottom"/>
          </w:tcPr>
          <w:p>
            <w:pPr>
              <w:jc w:val="center"/>
              <w:ind w:right="115"/>
              <w:spacing w:after="0" w:line="196" w:lineRule="exact"/>
              <w:rPr>
                <w:sz w:val="20"/>
                <w:szCs w:val="20"/>
                <w:color w:val="auto"/>
              </w:rPr>
            </w:pPr>
            <w:r>
              <w:rPr>
                <w:rFonts w:ascii="Times New Roman" w:cs="Times New Roman" w:eastAsia="Times New Roman" w:hAnsi="Times New Roman"/>
                <w:sz w:val="18"/>
                <w:szCs w:val="18"/>
                <w:color w:val="auto"/>
              </w:rPr>
              <w:t>4.01</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17"/>
                <w:szCs w:val="17"/>
                <w:color w:val="auto"/>
              </w:rPr>
            </w:pPr>
          </w:p>
        </w:tc>
        <w:tc>
          <w:tcPr>
            <w:tcW w:w="58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8"/>
              </w:rPr>
              <w:t>Certification of Principal Executive Officer Pursuant to Rules 13a-14(a) and 15d-</w:t>
            </w:r>
          </w:p>
        </w:tc>
        <w:tc>
          <w:tcPr>
            <w:tcW w:w="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20" w:type="dxa"/>
            <w:vAlign w:val="bottom"/>
          </w:tcPr>
          <w:p>
            <w:pPr>
              <w:jc w:val="center"/>
              <w:ind w:right="133"/>
              <w:spacing w:after="0" w:line="19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860" w:type="dxa"/>
            <w:vAlign w:val="bottom"/>
            <w:tcBorders>
              <w:right w:val="single" w:sz="8" w:color="0000FF"/>
            </w:tcBorders>
            <w:gridSpan w:val="3"/>
            <w:shd w:val="clear" w:color="auto" w:fill="0000FF"/>
          </w:tcPr>
          <w:p>
            <w:pPr>
              <w:spacing w:after="0" w:line="20" w:lineRule="exact"/>
              <w:rPr>
                <w:sz w:val="1"/>
                <w:szCs w:val="1"/>
                <w:color w:val="auto"/>
              </w:rPr>
            </w:pPr>
          </w:p>
        </w:tc>
        <w:tc>
          <w:tcPr>
            <w:tcW w:w="232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8"/>
              </w:rPr>
              <w:t>14(a) under the Securities Exchange Act of 1934, as Adopted Pursuant to Section</w:t>
            </w:r>
          </w:p>
        </w:tc>
        <w:tc>
          <w:tcPr>
            <w:tcW w:w="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60" w:type="dxa"/>
            <w:vAlign w:val="bottom"/>
            <w:tcBorders>
              <w:right w:val="single" w:sz="8" w:color="0000FF"/>
            </w:tcBorders>
            <w:gridSpan w:val="3"/>
            <w:shd w:val="clear" w:color="auto" w:fill="0000FF"/>
          </w:tcPr>
          <w:p>
            <w:pPr>
              <w:spacing w:after="0" w:line="20" w:lineRule="exact"/>
              <w:rPr>
                <w:sz w:val="1"/>
                <w:szCs w:val="1"/>
                <w:color w:val="auto"/>
              </w:rPr>
            </w:pPr>
          </w:p>
        </w:tc>
        <w:tc>
          <w:tcPr>
            <w:tcW w:w="232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Borders>
              <w:left w:val="single" w:sz="8" w:color="0000FF"/>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302 of the Sarbanes-Oxley Act of 2002.</w:t>
            </w:r>
          </w:p>
        </w:tc>
        <w:tc>
          <w:tcPr>
            <w:tcW w:w="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860" w:type="dxa"/>
            <w:vAlign w:val="bottom"/>
            <w:tcBorders>
              <w:right w:val="single" w:sz="8" w:color="0000EE"/>
            </w:tcBorders>
            <w:gridSpan w:val="3"/>
            <w:shd w:val="clear" w:color="auto" w:fill="0000FF"/>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17"/>
                <w:szCs w:val="17"/>
                <w:color w:val="auto"/>
              </w:rPr>
            </w:pPr>
          </w:p>
        </w:tc>
        <w:tc>
          <w:tcPr>
            <w:tcW w:w="58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Certification of Principal Financial Officer Pursuant to Rules 13a-14(a) and 15d-</w:t>
            </w:r>
          </w:p>
        </w:tc>
        <w:tc>
          <w:tcPr>
            <w:tcW w:w="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20" w:type="dxa"/>
            <w:vAlign w:val="bottom"/>
          </w:tcPr>
          <w:p>
            <w:pPr>
              <w:jc w:val="center"/>
              <w:ind w:right="133"/>
              <w:spacing w:after="0" w:line="19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5180" w:type="dxa"/>
            <w:vAlign w:val="bottom"/>
            <w:tcBorders>
              <w:right w:val="single" w:sz="8" w:color="0000FF"/>
            </w:tcBorders>
            <w:gridSpan w:val="5"/>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8"/>
              </w:rPr>
              <w:t>14(a) under the Securities Exchange Act of 1934, as Adopted Pursuant to Section</w:t>
            </w:r>
          </w:p>
        </w:tc>
        <w:tc>
          <w:tcPr>
            <w:tcW w:w="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180" w:type="dxa"/>
            <w:vAlign w:val="bottom"/>
            <w:tcBorders>
              <w:right w:val="single" w:sz="8" w:color="0000FF"/>
            </w:tcBorders>
            <w:gridSpan w:val="5"/>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Borders>
              <w:left w:val="single" w:sz="8" w:color="0000FF"/>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302 of the Sarbanes-Oxley Act of 2002.</w:t>
            </w:r>
          </w:p>
        </w:tc>
        <w:tc>
          <w:tcPr>
            <w:tcW w:w="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860" w:type="dxa"/>
            <w:vAlign w:val="bottom"/>
            <w:tcBorders>
              <w:right w:val="single" w:sz="8" w:color="0000EE"/>
            </w:tcBorders>
            <w:gridSpan w:val="3"/>
            <w:shd w:val="clear" w:color="auto" w:fill="0000FF"/>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17"/>
                <w:szCs w:val="17"/>
                <w:color w:val="auto"/>
              </w:rPr>
            </w:pPr>
          </w:p>
        </w:tc>
        <w:tc>
          <w:tcPr>
            <w:tcW w:w="58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w:t>
            </w:r>
          </w:p>
        </w:tc>
        <w:tc>
          <w:tcPr>
            <w:tcW w:w="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20" w:type="dxa"/>
            <w:vAlign w:val="bottom"/>
          </w:tcPr>
          <w:p>
            <w:pPr>
              <w:jc w:val="center"/>
              <w:ind w:right="133"/>
              <w:spacing w:after="0" w:line="19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180" w:type="dxa"/>
            <w:vAlign w:val="bottom"/>
            <w:tcBorders>
              <w:right w:val="single" w:sz="8" w:color="0000FF"/>
            </w:tcBorders>
            <w:gridSpan w:val="5"/>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as Adopted Pursuant to Section 906 of the Sarbanes-Oxley Act of 2002.</w:t>
            </w:r>
          </w:p>
        </w:tc>
        <w:tc>
          <w:tcPr>
            <w:tcW w:w="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5180" w:type="dxa"/>
            <w:vAlign w:val="bottom"/>
            <w:tcBorders>
              <w:right w:val="single" w:sz="8" w:color="0000EE"/>
            </w:tcBorders>
            <w:gridSpan w:val="5"/>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220" w:type="dxa"/>
            <w:vAlign w:val="bottom"/>
          </w:tcPr>
          <w:p>
            <w:pPr>
              <w:spacing w:after="0"/>
              <w:rPr>
                <w:sz w:val="17"/>
                <w:szCs w:val="17"/>
                <w:color w:val="auto"/>
              </w:rPr>
            </w:pPr>
          </w:p>
        </w:tc>
        <w:tc>
          <w:tcPr>
            <w:tcW w:w="58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w:t>
            </w:r>
          </w:p>
        </w:tc>
        <w:tc>
          <w:tcPr>
            <w:tcW w:w="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20" w:type="dxa"/>
            <w:vAlign w:val="bottom"/>
          </w:tcPr>
          <w:p>
            <w:pPr>
              <w:jc w:val="center"/>
              <w:ind w:right="133"/>
              <w:spacing w:after="0" w:line="19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740" w:type="dxa"/>
            <w:vAlign w:val="bottom"/>
            <w:gridSpan w:val="6"/>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as Adopted Pursuant to Section 906 of the Sarbanes-Oxley Act of 2002.</w:t>
            </w:r>
          </w:p>
        </w:tc>
        <w:tc>
          <w:tcPr>
            <w:tcW w:w="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5180" w:type="dxa"/>
            <w:vAlign w:val="bottom"/>
            <w:tcBorders>
              <w:right w:val="single" w:sz="8" w:color="0000EE"/>
            </w:tcBorders>
            <w:gridSpan w:val="5"/>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220" w:type="dxa"/>
            <w:vAlign w:val="bottom"/>
          </w:tcPr>
          <w:p>
            <w:pPr>
              <w:spacing w:after="0"/>
              <w:rPr>
                <w:sz w:val="18"/>
                <w:szCs w:val="18"/>
                <w:color w:val="auto"/>
              </w:rPr>
            </w:pPr>
          </w:p>
        </w:tc>
        <w:tc>
          <w:tcPr>
            <w:tcW w:w="582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w:t>
            </w: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jc w:val="center"/>
              <w:ind w:right="133"/>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Interactive Data File because XBRL tags are embedded within the Inline XBRL</w:t>
            </w: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document.</w:t>
            </w: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220" w:type="dxa"/>
            <w:vAlign w:val="bottom"/>
          </w:tcPr>
          <w:p>
            <w:pPr>
              <w:spacing w:after="0"/>
              <w:rPr>
                <w:sz w:val="18"/>
                <w:szCs w:val="18"/>
                <w:color w:val="auto"/>
              </w:rPr>
            </w:pPr>
          </w:p>
        </w:tc>
        <w:tc>
          <w:tcPr>
            <w:tcW w:w="58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jc w:val="center"/>
              <w:ind w:right="133"/>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220" w:type="dxa"/>
            <w:vAlign w:val="bottom"/>
          </w:tcPr>
          <w:p>
            <w:pPr>
              <w:spacing w:after="0"/>
              <w:rPr>
                <w:sz w:val="18"/>
                <w:szCs w:val="18"/>
                <w:color w:val="auto"/>
              </w:rPr>
            </w:pPr>
          </w:p>
        </w:tc>
        <w:tc>
          <w:tcPr>
            <w:tcW w:w="58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jc w:val="center"/>
              <w:ind w:right="133"/>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220" w:type="dxa"/>
            <w:vAlign w:val="bottom"/>
          </w:tcPr>
          <w:p>
            <w:pPr>
              <w:spacing w:after="0"/>
              <w:rPr>
                <w:sz w:val="18"/>
                <w:szCs w:val="18"/>
                <w:color w:val="auto"/>
              </w:rPr>
            </w:pPr>
          </w:p>
        </w:tc>
        <w:tc>
          <w:tcPr>
            <w:tcW w:w="58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jc w:val="center"/>
              <w:ind w:right="133"/>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220" w:type="dxa"/>
            <w:vAlign w:val="bottom"/>
          </w:tcPr>
          <w:p>
            <w:pPr>
              <w:spacing w:after="0"/>
              <w:rPr>
                <w:sz w:val="18"/>
                <w:szCs w:val="18"/>
                <w:color w:val="auto"/>
              </w:rPr>
            </w:pPr>
          </w:p>
        </w:tc>
        <w:tc>
          <w:tcPr>
            <w:tcW w:w="58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jc w:val="center"/>
              <w:ind w:right="133"/>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220" w:type="dxa"/>
            <w:vAlign w:val="bottom"/>
          </w:tcPr>
          <w:p>
            <w:pPr>
              <w:spacing w:after="0"/>
              <w:rPr>
                <w:sz w:val="18"/>
                <w:szCs w:val="18"/>
                <w:color w:val="auto"/>
              </w:rPr>
            </w:pPr>
          </w:p>
        </w:tc>
        <w:tc>
          <w:tcPr>
            <w:tcW w:w="58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jc w:val="center"/>
              <w:ind w:right="133"/>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0"/>
                <w:szCs w:val="20"/>
                <w:color w:val="auto"/>
              </w:rPr>
            </w:pPr>
          </w:p>
        </w:tc>
        <w:tc>
          <w:tcPr>
            <w:tcW w:w="582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20" w:type="dxa"/>
            <w:vAlign w:val="bottom"/>
          </w:tcPr>
          <w:p>
            <w:pPr>
              <w:jc w:val="center"/>
              <w:ind w:right="133"/>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6">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51" w:lineRule="exact"/>
        <w:rPr>
          <w:sz w:val="20"/>
          <w:szCs w:val="20"/>
          <w:color w:val="auto"/>
        </w:rPr>
      </w:pPr>
    </w:p>
    <w:p>
      <w:pPr>
        <w:jc w:val="both"/>
        <w:ind w:firstLine="8"/>
        <w:spacing w:after="0" w:line="266" w:lineRule="auto"/>
        <w:tabs>
          <w:tab w:leader="none" w:pos="13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 attached as Exhibit 32.1 and Exhibit 32.2 that accompanies this Quarterly Report on Form 10-Q pursuant to 18 U.S.C. Section 1350, as adopted pursuant to Section 906 of the Sarbanes-Oxley Act of 2002, is not deemed “filed” by the Registrant for purposes of Section 18 of the Securities Exchange Act of 1934, as amended.</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352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CERIBELL, INC.</w:t>
            </w:r>
          </w:p>
        </w:tc>
        <w:tc>
          <w:tcPr>
            <w:tcW w:w="4400" w:type="dxa"/>
            <w:vAlign w:val="bottom"/>
          </w:tcPr>
          <w:p>
            <w:pPr>
              <w:spacing w:after="0"/>
              <w:rPr>
                <w:sz w:val="20"/>
                <w:szCs w:val="20"/>
                <w:color w:val="auto"/>
              </w:rPr>
            </w:pPr>
          </w:p>
        </w:tc>
      </w:tr>
      <w:tr>
        <w:trPr>
          <w:trHeight w:val="432"/>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May 11, 2026</w:t>
            </w:r>
          </w:p>
        </w:tc>
        <w:tc>
          <w:tcPr>
            <w:tcW w:w="352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4400" w:type="dxa"/>
            <w:vAlign w:val="bottom"/>
          </w:tcPr>
          <w:p>
            <w:pPr>
              <w:jc w:val="center"/>
              <w:ind w:right="1090"/>
              <w:spacing w:after="0"/>
              <w:rPr>
                <w:sz w:val="20"/>
                <w:szCs w:val="20"/>
                <w:color w:val="auto"/>
              </w:rPr>
            </w:pPr>
            <w:r>
              <w:rPr>
                <w:rFonts w:ascii="Times New Roman" w:cs="Times New Roman" w:eastAsia="Times New Roman" w:hAnsi="Times New Roman"/>
                <w:sz w:val="18"/>
                <w:szCs w:val="18"/>
                <w:color w:val="auto"/>
              </w:rPr>
              <w:t>/s/ Xingjuan (Jane) Chao, Ph.D.</w:t>
            </w:r>
          </w:p>
        </w:tc>
      </w:tr>
      <w:tr>
        <w:trPr>
          <w:trHeight w:val="191"/>
        </w:trPr>
        <w:tc>
          <w:tcPr>
            <w:tcW w:w="33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4400" w:type="dxa"/>
            <w:vAlign w:val="bottom"/>
            <w:tcBorders>
              <w:top w:val="single" w:sz="8" w:color="auto"/>
            </w:tcBorders>
          </w:tcPr>
          <w:p>
            <w:pPr>
              <w:jc w:val="center"/>
              <w:ind w:right="1110"/>
              <w:spacing w:after="0" w:line="191" w:lineRule="exact"/>
              <w:rPr>
                <w:sz w:val="20"/>
                <w:szCs w:val="20"/>
                <w:color w:val="auto"/>
              </w:rPr>
            </w:pPr>
            <w:r>
              <w:rPr>
                <w:rFonts w:ascii="Times New Roman" w:cs="Times New Roman" w:eastAsia="Times New Roman" w:hAnsi="Times New Roman"/>
                <w:sz w:val="18"/>
                <w:szCs w:val="18"/>
                <w:color w:val="auto"/>
                <w:w w:val="99"/>
              </w:rPr>
              <w:t>Xingjuan (Jane) Chao, Ph.D.</w:t>
            </w:r>
          </w:p>
        </w:tc>
      </w:tr>
      <w:tr>
        <w:trPr>
          <w:trHeight w:val="214"/>
        </w:trPr>
        <w:tc>
          <w:tcPr>
            <w:tcW w:w="33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0" w:type="dxa"/>
            <w:vAlign w:val="bottom"/>
          </w:tcPr>
          <w:p>
            <w:pPr>
              <w:jc w:val="center"/>
              <w:ind w:right="1090"/>
              <w:spacing w:after="0"/>
              <w:rPr>
                <w:sz w:val="20"/>
                <w:szCs w:val="20"/>
                <w:color w:val="auto"/>
              </w:rPr>
            </w:pPr>
            <w:r>
              <w:rPr>
                <w:rFonts w:ascii="Times New Roman" w:cs="Times New Roman" w:eastAsia="Times New Roman" w:hAnsi="Times New Roman"/>
                <w:sz w:val="18"/>
                <w:szCs w:val="18"/>
                <w:color w:val="auto"/>
                <w:w w:val="99"/>
              </w:rPr>
              <w:t>President and Chief Executive Officer</w:t>
            </w:r>
          </w:p>
        </w:tc>
      </w:tr>
      <w:tr>
        <w:trPr>
          <w:trHeight w:val="236"/>
        </w:trPr>
        <w:tc>
          <w:tcPr>
            <w:tcW w:w="33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400" w:type="dxa"/>
            <w:vAlign w:val="bottom"/>
          </w:tcPr>
          <w:p>
            <w:pPr>
              <w:jc w:val="center"/>
              <w:ind w:right="109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432"/>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May 11, 2026</w:t>
            </w:r>
          </w:p>
        </w:tc>
        <w:tc>
          <w:tcPr>
            <w:tcW w:w="352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4400" w:type="dxa"/>
            <w:vAlign w:val="bottom"/>
          </w:tcPr>
          <w:p>
            <w:pPr>
              <w:jc w:val="center"/>
              <w:ind w:right="1090"/>
              <w:spacing w:after="0"/>
              <w:rPr>
                <w:sz w:val="20"/>
                <w:szCs w:val="20"/>
                <w:color w:val="auto"/>
              </w:rPr>
            </w:pPr>
            <w:r>
              <w:rPr>
                <w:rFonts w:ascii="Times New Roman" w:cs="Times New Roman" w:eastAsia="Times New Roman" w:hAnsi="Times New Roman"/>
                <w:sz w:val="18"/>
                <w:szCs w:val="18"/>
                <w:color w:val="auto"/>
                <w:w w:val="99"/>
              </w:rPr>
              <w:t>/s/ Scott Blumberg</w:t>
            </w:r>
          </w:p>
        </w:tc>
      </w:tr>
      <w:tr>
        <w:trPr>
          <w:trHeight w:val="191"/>
        </w:trPr>
        <w:tc>
          <w:tcPr>
            <w:tcW w:w="33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4400" w:type="dxa"/>
            <w:vAlign w:val="bottom"/>
            <w:tcBorders>
              <w:top w:val="single" w:sz="8" w:color="auto"/>
            </w:tcBorders>
          </w:tcPr>
          <w:p>
            <w:pPr>
              <w:jc w:val="center"/>
              <w:ind w:right="1090"/>
              <w:spacing w:after="0" w:line="191" w:lineRule="exact"/>
              <w:rPr>
                <w:sz w:val="20"/>
                <w:szCs w:val="20"/>
                <w:color w:val="auto"/>
              </w:rPr>
            </w:pPr>
            <w:r>
              <w:rPr>
                <w:rFonts w:ascii="Times New Roman" w:cs="Times New Roman" w:eastAsia="Times New Roman" w:hAnsi="Times New Roman"/>
                <w:sz w:val="18"/>
                <w:szCs w:val="18"/>
                <w:color w:val="auto"/>
              </w:rPr>
              <w:t>Scott Blumberg</w:t>
            </w:r>
          </w:p>
        </w:tc>
      </w:tr>
      <w:tr>
        <w:trPr>
          <w:trHeight w:val="214"/>
        </w:trPr>
        <w:tc>
          <w:tcPr>
            <w:tcW w:w="33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0" w:type="dxa"/>
            <w:vAlign w:val="bottom"/>
          </w:tcPr>
          <w:p>
            <w:pPr>
              <w:jc w:val="center"/>
              <w:ind w:right="1110"/>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6"/>
        </w:trPr>
        <w:tc>
          <w:tcPr>
            <w:tcW w:w="33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400" w:type="dxa"/>
            <w:vAlign w:val="bottom"/>
          </w:tcPr>
          <w:p>
            <w:pPr>
              <w:jc w:val="center"/>
              <w:ind w:right="1090"/>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r>
        <w:trPr>
          <w:trHeight w:val="540"/>
        </w:trPr>
        <w:tc>
          <w:tcPr>
            <w:tcW w:w="3320" w:type="dxa"/>
            <w:vAlign w:val="bottom"/>
          </w:tcPr>
          <w:p>
            <w:pPr>
              <w:spacing w:after="0"/>
              <w:rPr>
                <w:sz w:val="24"/>
                <w:szCs w:val="24"/>
                <w:color w:val="auto"/>
              </w:rPr>
            </w:pPr>
          </w:p>
        </w:tc>
        <w:tc>
          <w:tcPr>
            <w:tcW w:w="3520" w:type="dxa"/>
            <w:vAlign w:val="bottom"/>
            <w:gridSpan w:val="2"/>
          </w:tcPr>
          <w:p>
            <w:pPr>
              <w:jc w:val="right"/>
              <w:ind w:right="1120"/>
              <w:spacing w:after="0"/>
              <w:rPr>
                <w:sz w:val="20"/>
                <w:szCs w:val="20"/>
                <w:color w:val="auto"/>
              </w:rPr>
            </w:pPr>
            <w:r>
              <w:rPr>
                <w:rFonts w:ascii="Times New Roman" w:cs="Times New Roman" w:eastAsia="Times New Roman" w:hAnsi="Times New Roman"/>
                <w:sz w:val="18"/>
                <w:szCs w:val="18"/>
                <w:color w:val="auto"/>
              </w:rPr>
              <w:t>76</w:t>
            </w:r>
          </w:p>
        </w:tc>
        <w:tc>
          <w:tcPr>
            <w:tcW w:w="4400" w:type="dxa"/>
            <w:vAlign w:val="bottom"/>
          </w:tcPr>
          <w:p>
            <w:pPr>
              <w:spacing w:after="0"/>
              <w:rPr>
                <w:sz w:val="24"/>
                <w:szCs w:val="24"/>
                <w:color w:val="auto"/>
              </w:rPr>
            </w:pPr>
          </w:p>
        </w:tc>
      </w:tr>
      <w:tr>
        <w:trPr>
          <w:trHeight w:val="763"/>
        </w:trPr>
        <w:tc>
          <w:tcPr>
            <w:tcW w:w="332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Xingjuan (Jane) Chao, Ph.D., certify that:</w:t>
      </w:r>
    </w:p>
    <w:p>
      <w:pPr>
        <w:spacing w:after="0" w:line="225" w:lineRule="exact"/>
        <w:rPr>
          <w:sz w:val="20"/>
          <w:szCs w:val="20"/>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CeriBell,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00" w:hanging="512"/>
        <w:spacing w:after="0" w:line="266"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280" w:hanging="503"/>
        <w:spacing w:after="0" w:line="266" w:lineRule="auto"/>
        <w:tabs>
          <w:tab w:leader="none" w:pos="10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May 11, 2026</w:t>
            </w:r>
          </w:p>
        </w:tc>
        <w:tc>
          <w:tcPr>
            <w:tcW w:w="244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Xingjuan (Jane) Chao, Ph.D.</w:t>
            </w:r>
          </w:p>
        </w:tc>
      </w:tr>
      <w:tr>
        <w:trPr>
          <w:trHeight w:val="187"/>
        </w:trPr>
        <w:tc>
          <w:tcPr>
            <w:tcW w:w="35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2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Xingjuan (Jane) Chao, Ph.D.</w:t>
            </w:r>
          </w:p>
        </w:tc>
      </w:tr>
      <w:tr>
        <w:trPr>
          <w:trHeight w:val="216"/>
        </w:trPr>
        <w:tc>
          <w:tcPr>
            <w:tcW w:w="35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r>
      <w:tr>
        <w:trPr>
          <w:trHeight w:val="238"/>
        </w:trPr>
        <w:tc>
          <w:tcPr>
            <w:tcW w:w="35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Executive Officer)</w:t>
            </w:r>
          </w:p>
        </w:tc>
      </w:tr>
      <w:tr>
        <w:trPr>
          <w:trHeight w:val="1411"/>
        </w:trPr>
        <w:tc>
          <w:tcPr>
            <w:tcW w:w="356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Blumberg, certify that:</w:t>
      </w:r>
    </w:p>
    <w:p>
      <w:pPr>
        <w:spacing w:after="0" w:line="225" w:lineRule="exact"/>
        <w:rPr>
          <w:sz w:val="20"/>
          <w:szCs w:val="20"/>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CeriBell,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00" w:hanging="512"/>
        <w:spacing w:after="0" w:line="266"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280" w:hanging="503"/>
        <w:spacing w:after="0" w:line="266" w:lineRule="auto"/>
        <w:tabs>
          <w:tab w:leader="none" w:pos="10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May 11, 2026</w:t>
            </w:r>
          </w:p>
        </w:tc>
        <w:tc>
          <w:tcPr>
            <w:tcW w:w="244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Scott Blumberg</w:t>
            </w:r>
          </w:p>
        </w:tc>
      </w:tr>
      <w:tr>
        <w:trPr>
          <w:trHeight w:val="187"/>
        </w:trPr>
        <w:tc>
          <w:tcPr>
            <w:tcW w:w="35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2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Scott Blumberg</w:t>
            </w:r>
          </w:p>
        </w:tc>
      </w:tr>
      <w:tr>
        <w:trPr>
          <w:trHeight w:val="216"/>
        </w:trPr>
        <w:tc>
          <w:tcPr>
            <w:tcW w:w="35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38"/>
        </w:trPr>
        <w:tc>
          <w:tcPr>
            <w:tcW w:w="35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Financial Officer)</w:t>
            </w:r>
          </w:p>
        </w:tc>
      </w:tr>
      <w:tr>
        <w:trPr>
          <w:trHeight w:val="1195"/>
        </w:trPr>
        <w:tc>
          <w:tcPr>
            <w:tcW w:w="356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CeriBell, Inc. (the “Company”) on Form 10-Q for the period ended March 31, 2026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May 11, 2026</w:t>
            </w:r>
          </w:p>
        </w:tc>
        <w:tc>
          <w:tcPr>
            <w:tcW w:w="244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Xingjuan (Jane) Chao, Ph.D.</w:t>
            </w:r>
          </w:p>
        </w:tc>
      </w:tr>
      <w:tr>
        <w:trPr>
          <w:trHeight w:val="187"/>
        </w:trPr>
        <w:tc>
          <w:tcPr>
            <w:tcW w:w="35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2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Xingjuan (Jane) Chao, Ph.D.</w:t>
            </w:r>
          </w:p>
        </w:tc>
      </w:tr>
      <w:tr>
        <w:trPr>
          <w:trHeight w:val="238"/>
        </w:trPr>
        <w:tc>
          <w:tcPr>
            <w:tcW w:w="35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r>
      <w:tr>
        <w:trPr>
          <w:trHeight w:val="1195"/>
        </w:trPr>
        <w:tc>
          <w:tcPr>
            <w:tcW w:w="356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CeriBell, Inc. (the “Company”) on Form 10-Q for the period ended March 31, 2026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May 11, 2026</w:t>
            </w:r>
          </w:p>
        </w:tc>
        <w:tc>
          <w:tcPr>
            <w:tcW w:w="244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Scott Blumberg</w:t>
            </w:r>
          </w:p>
        </w:tc>
      </w:tr>
      <w:tr>
        <w:trPr>
          <w:trHeight w:val="187"/>
        </w:trPr>
        <w:tc>
          <w:tcPr>
            <w:tcW w:w="35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2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Scott Blumberg</w:t>
            </w:r>
          </w:p>
        </w:tc>
      </w:tr>
      <w:tr>
        <w:trPr>
          <w:trHeight w:val="238"/>
        </w:trPr>
        <w:tc>
          <w:tcPr>
            <w:tcW w:w="35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1411"/>
        </w:trPr>
        <w:tc>
          <w:tcPr>
            <w:tcW w:w="356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4" w:name="page85"/>
    <w:bookmarkEnd w:id="8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1."/>
      <w:numFmt w:val="decimal"/>
      <w:start w:val="1"/>
    </w:lvl>
  </w:abstractNum>
  <w:abstractNum w:abstractNumId="4">
    <w:nsid w:val="75A2A8D4"/>
    <w:multiLevelType w:val="hybridMultilevel"/>
    <w:lvl w:ilvl="0">
      <w:lvlJc w:val="left"/>
      <w:lvlText w:val="%1."/>
      <w:numFmt w:val="decimal"/>
      <w:start w:val="3"/>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1."/>
      <w:numFmt w:val="decimal"/>
      <w:start w:val="4"/>
    </w:lvl>
  </w:abstractNum>
  <w:abstractNum w:abstractNumId="7">
    <w:nsid w:val="4353D0CD"/>
    <w:multiLevelType w:val="hybridMultilevel"/>
    <w:lvl w:ilvl="0">
      <w:lvlJc w:val="left"/>
      <w:lvlText w:val="%1."/>
      <w:numFmt w:val="decimal"/>
      <w:start w:val="6"/>
    </w:lvl>
  </w:abstractNum>
  <w:abstractNum w:abstractNumId="8">
    <w:nsid w:val="B03E0C6"/>
    <w:multiLevelType w:val="hybridMultilevel"/>
    <w:lvl w:ilvl="0">
      <w:lvlJc w:val="left"/>
      <w:lvlText w:val="%1."/>
      <w:numFmt w:val="decimal"/>
      <w:start w:val="7"/>
    </w:lvl>
  </w:abstractNum>
  <w:abstractNum w:abstractNumId="9">
    <w:nsid w:val="189A769B"/>
    <w:multiLevelType w:val="hybridMultilevel"/>
    <w:lvl w:ilvl="0">
      <w:lvlJc w:val="left"/>
      <w:lvlText w:val="%1."/>
      <w:numFmt w:val="decimal"/>
      <w:start w:val="8"/>
    </w:lvl>
  </w:abstractNum>
  <w:abstractNum w:abstractNumId="10">
    <w:nsid w:val="54E49EB4"/>
    <w:multiLevelType w:val="hybridMultilevel"/>
    <w:lvl w:ilvl="0">
      <w:lvlJc w:val="left"/>
      <w:lvlText w:val="%1."/>
      <w:numFmt w:val="decimal"/>
      <w:start w:val="9"/>
    </w:lvl>
  </w:abstractNum>
  <w:abstractNum w:abstractNumId="11">
    <w:nsid w:val="71F32454"/>
    <w:multiLevelType w:val="hybridMultilevel"/>
    <w:lvl w:ilvl="0">
      <w:lvlJc w:val="left"/>
      <w:lvlText w:val="%1."/>
      <w:numFmt w:val="decimal"/>
      <w:start w:val="10"/>
    </w:lvl>
  </w:abstractNum>
  <w:abstractNum w:abstractNumId="12">
    <w:nsid w:val="2CA88611"/>
    <w:multiLevelType w:val="hybridMultilevel"/>
    <w:lvl w:ilvl="0">
      <w:lvlJc w:val="left"/>
      <w:lvlText w:val="%1."/>
      <w:numFmt w:val="decimal"/>
      <w:start w:val="11"/>
    </w:lvl>
  </w:abstractNum>
  <w:abstractNum w:abstractNumId="13">
    <w:nsid w:val="836C40E"/>
    <w:multiLevelType w:val="hybridMultilevel"/>
    <w:lvl w:ilvl="0">
      <w:lvlJc w:val="left"/>
      <w:lvlText w:val="%1."/>
      <w:numFmt w:val="decimal"/>
      <w:start w:val="12"/>
    </w:lvl>
  </w:abstractNum>
  <w:abstractNum w:abstractNumId="14">
    <w:nsid w:val="2901D82"/>
    <w:multiLevelType w:val="hybridMultilevel"/>
    <w:lvl w:ilvl="0">
      <w:lvlJc w:val="left"/>
      <w:lvlText w:val="%1."/>
      <w:numFmt w:val="decimal"/>
      <w:start w:val="13"/>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amp;"/>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6" Type="http://schemas.openxmlformats.org/officeDocument/2006/relationships/image" Target="media/image186.png"/><Relationship Id="rId197" Type="http://schemas.openxmlformats.org/officeDocument/2006/relationships/image" Target="media/image187.png"/><Relationship Id="rId198" Type="http://schemas.openxmlformats.org/officeDocument/2006/relationships/image" Target="media/image188.png"/><Relationship Id="rId199" Type="http://schemas.openxmlformats.org/officeDocument/2006/relationships/image" Target="media/image189.png"/><Relationship Id="rId200" Type="http://schemas.openxmlformats.org/officeDocument/2006/relationships/image" Target="media/image190.png"/><Relationship Id="rId201" Type="http://schemas.openxmlformats.org/officeDocument/2006/relationships/image" Target="media/image191.png"/><Relationship Id="rId202" Type="http://schemas.openxmlformats.org/officeDocument/2006/relationships/image" Target="media/image192.png"/><Relationship Id="rId203" Type="http://schemas.openxmlformats.org/officeDocument/2006/relationships/image" Target="media/image193.png"/><Relationship Id="rId204" Type="http://schemas.openxmlformats.org/officeDocument/2006/relationships/image" Target="media/image194.png"/><Relationship Id="rId205" Type="http://schemas.openxmlformats.org/officeDocument/2006/relationships/image" Target="media/image195.png"/><Relationship Id="rId206" Type="http://schemas.openxmlformats.org/officeDocument/2006/relationships/image" Target="media/image196.png"/><Relationship Id="rId207" Type="http://schemas.openxmlformats.org/officeDocument/2006/relationships/image" Target="media/image197.png"/><Relationship Id="rId193" Type="http://schemas.openxmlformats.org/officeDocument/2006/relationships/hyperlink" Target="https://www.sec.gov/Archives/edgar/data/1861107/000095017024114767/cbll-ex3_1.htm" TargetMode="External"/><Relationship Id="rId194" Type="http://schemas.openxmlformats.org/officeDocument/2006/relationships/hyperlink" Target="https://www.sec.gov/Archives/edgar/data/1861107/000095017024114767/cbll-ex3_2.htm" TargetMode="External"/><Relationship Id="rId195" Type="http://schemas.openxmlformats.org/officeDocument/2006/relationships/hyperlink" Target="https://www.sec.gov/Archives/edgar/data/1861107/000095017024108128/cbll-ex4_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2026-05-11T16:07:22Z</dcterms:created>
  <dcterms:modified xsi:type="dcterms:W3CDTF">2026-05-11T16:07:22Z</dcterms:modified>
</cp:coreProperties>
</file>