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cbll-20241231.htm"/>
      <w:bookmarkStart w:id="1" w:name="kscbll202412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001-42364</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CeriBell,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360 N. Pastoria Avenue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(800) 436-0826</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Securities registered pursuant to Section 12(b) of the Act:</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2716"/>
        <w:gridCol w:w="146"/>
        <w:gridCol w:w="706"/>
        <w:gridCol w:w="146"/>
        <w:gridCol w:w="270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CBLL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w:t>
      </w:r>
      <w:r>
        <w:rPr>
          <w:rFonts w:ascii="Times New Roman" w:hAnsi="Times New Roman"/>
          <w:color w:val="000000"/>
          <w:sz w:val="15"/>
        </w:rPr>
        <w:t xml:space="preserve">es ☐ </w:t>
      </w:r>
      <w:r>
        <w:rPr>
          <w:rFonts w:ascii="Times New Roman" w:hAnsi="Times New Roman"/>
          <w:caps/>
          <w:color w:val="000000"/>
          <w:sz w:val="15"/>
        </w:rPr>
        <w:t>N</w:t>
      </w:r>
      <w:r>
        <w:rPr>
          <w:rFonts w:ascii="Times New Roman" w:hAnsi="Times New Roman"/>
          <w:color w:val="000000"/>
          <w:sz w:val="15"/>
        </w:rPr>
        <w:t>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w:t>
      </w:r>
      <w:r>
        <w:rPr>
          <w:rFonts w:ascii="Times New Roman" w:hAnsi="Times New Roman"/>
          <w:color w:val="000000"/>
          <w:sz w:val="15"/>
        </w:rPr>
        <w:t xml:space="preserve">es </w:t>
      </w:r>
      <w:r>
        <w:rPr>
          <w:rFonts w:ascii="Times New Roman" w:hAnsi="Times New Roman"/>
          <w:color w:val="000000"/>
          <w:sz w:val="20"/>
        </w:rPr>
        <w:t xml:space="preserve">☒ </w:t>
      </w:r>
      <w:r>
        <w:rPr>
          <w:rFonts w:ascii="Times New Roman" w:hAnsi="Times New Roman"/>
          <w:caps/>
          <w:color w:val="000000"/>
          <w:sz w:val="15"/>
        </w:rPr>
        <w:t>N</w:t>
      </w:r>
      <w:r>
        <w:rPr>
          <w:rFonts w:ascii="Times New Roman" w:hAnsi="Times New Roman"/>
          <w:color w:val="000000"/>
          <w:sz w:val="15"/>
        </w:rPr>
        <w:t>o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w:t>
      </w:r>
      <w:r>
        <w:rPr>
          <w:rFonts w:ascii="Times New Roman" w:hAnsi="Times New Roman"/>
          <w:color w:val="000000"/>
          <w:sz w:val="15"/>
        </w:rPr>
        <w:t>es</w:t>
      </w:r>
      <w:r>
        <w:rPr>
          <w:rFonts w:ascii="Times New Roman" w:hAnsi="Times New Roman"/>
          <w:color w:val="000000"/>
          <w:sz w:val="20"/>
        </w:rPr>
        <w:t xml:space="preserve"> ☒ </w:t>
      </w:r>
      <w:r>
        <w:rPr>
          <w:rFonts w:ascii="Times New Roman" w:hAnsi="Times New Roman"/>
          <w:caps/>
          <w:color w:val="000000"/>
          <w:sz w:val="15"/>
        </w:rPr>
        <w:t>N</w:t>
      </w:r>
      <w:r>
        <w:rPr>
          <w:rFonts w:ascii="Times New Roman" w:hAnsi="Times New Roman"/>
          <w:color w:val="000000"/>
          <w:sz w:val="15"/>
        </w:rPr>
        <w:t>o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As of June 30, 2024, the last business day of the Registrant's most recently completed second fiscal quarter, there was no</w:t>
      </w:r>
      <w:r>
        <w:rPr>
          <w:rFonts w:ascii="Times New Roman" w:hAnsi="Times New Roman"/>
          <w:color w:val="000000"/>
          <w:sz w:val="20"/>
        </w:rPr>
        <w:t xml:space="preserve"> </w:t>
      </w:r>
      <w:r>
        <w:rPr>
          <w:rFonts w:ascii="Times New Roman" w:hAnsi="Times New Roman"/>
          <w:color w:val="000000"/>
          <w:sz w:val="15"/>
        </w:rPr>
        <w:t>established public market for the Registrant's common stock. Therefore, the aggregate market value of its common stock held by non-affiliates as of such date cannot be calculated. The Registrant's common stock began trading on the Nasdaq Global Select Market</w:t>
      </w:r>
      <w:r>
        <w:rPr>
          <w:rFonts w:ascii="Times New Roman" w:hAnsi="Times New Roman"/>
          <w:color w:val="000000"/>
          <w:sz w:val="20"/>
        </w:rPr>
        <w:t xml:space="preserve"> </w:t>
      </w:r>
      <w:r>
        <w:rPr>
          <w:rFonts w:ascii="Times New Roman" w:hAnsi="Times New Roman"/>
          <w:color w:val="000000"/>
          <w:sz w:val="15"/>
        </w:rPr>
        <w:t>on October 11, 2024.</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21, 2025 was 35,868,339.</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left"/>
        <w:rPr>
          <w:rFonts w:ascii="Times New Roman" w:hAnsi="Times New Roman"/>
          <w:sz w:val="20"/>
        </w:rPr>
      </w:pPr>
      <w:r>
        <w:rPr>
          <w:rFonts w:ascii="Times New Roman" w:hAnsi="Times New Roman"/>
          <w:color w:val="000000"/>
          <w:sz w:val="15"/>
        </w:rPr>
        <w:t>Portions of the Registrant's definitive Proxy Statement relating to the Registrant's 2025 Annual Stockholders' Meeting, to be filed within 120 days of the Registrant's fiscal year ended December 31, 2024,</w:t>
      </w:r>
      <w:r>
        <w:rPr>
          <w:rFonts w:ascii="Times New Roman" w:hAnsi="Times New Roman"/>
          <w:color w:val="000000"/>
          <w:sz w:val="20"/>
        </w:rPr>
        <w:t xml:space="preserve"> </w:t>
      </w:r>
      <w:r>
        <w:rPr>
          <w:rFonts w:ascii="Times New Roman" w:hAnsi="Times New Roman"/>
          <w:color w:val="000000"/>
          <w:sz w:val="15"/>
        </w:rPr>
        <w:t>are incorporated by reference into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for_registrants_common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hyperlink w:anchor="reserved">
              <w:r>
                <w:rPr>
                  <w:rStyle w:val="InternetLink"/>
                  <w:rFonts w:ascii="Times New Roman" w:hAnsi="Times New Roman"/>
                  <w:color w:val="0000FF"/>
                  <w:sz w:val="20"/>
                </w:rPr>
                <w:t xml:space="preserve"> </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supplementary_data">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disagreements_with_accounta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losure_regarding_foreign_jurisdicti">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rectors_executive_officers_and_corpor">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ertain_relationships_and_related">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incipal_accounting_fees_and_servic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_financial_statement_schedules">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(the “Annual Report”) contains forward-looking statements about us and our industry that involve substantial risks and uncertainties. All statements other than statements of historical facts contained in this Annual Report,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Annual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artificial intelligence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of 2012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Annual Report,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Annual Report and the documents that we reference in this Annual Report and have filed as exhibits to the registration statement, of which this Annual Report is a part, completely and with the understanding that our actual future results may be materially different from what we expect. We qualify all of the forward-looking statements in this Annual Report by these cautionary statements. </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Summary Risk Factors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history of net losses, and we expect to incur additional substantial losses in the foreseeable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industry, and competitive pressures could have a material adverse effect on our business, financial condition, results of operations, and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international manufacturers and suppliers, which exposes us to foreign operational risks that may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source and manufacture a substantial number of our products from third-party suppliers and manufacturers in China, which exposes us to risks inherent in doing business in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attract and retain senior management and other key personnel, our business may be materially and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successfully develop new products and effectively manage their introduction or improve our existing products, our business may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on marketing and brand-building initiatives to acquire and retain customers, which may not be successful or cost effective.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consultants and other commercial partners may engage in misconduct or other improper activities, including non-compliance with regulatory standards and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contracted physicians to provide remote electroencephalography (“EEG”) interpretation services to certain customers must be structured in compliance with state laws prohibiting the corporate practice of medicine or fee splitting and could be found to violate such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relationships with contracted physicians to provide remote EEG reading services to certain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and operations may suffer in the event of information technology system failures, cyber attacks, or deficiencies in our cybersecurity.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use our net operating loss carryforwards and other tax attributes may be limited due to certain provisions of the Internal Revenue Code or state tax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venture loan and security agreement contains restrictions that limit our flexibility in operating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deposits with financial institutions exceed insured limits.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securities issuances could result in significant dilution to our stockholders and impair the market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volatile, which could cause the value of your investment to decline.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insurance may not cover all potential losses or liabilities that may arise.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business"/>
      <w:bookmarkEnd w:id="2"/>
      <w:r>
        <w:rPr>
          <w:rFonts w:ascii="Times New Roman" w:hAnsi="Times New Roman"/>
          <w:b/>
          <w:color w:val="000000"/>
          <w:sz w:val="20"/>
        </w:rPr>
        <w:t>Item 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To date, the Ceribell System has been adopted by more than 500 active accounts, ranging from top academic centers to small community hospitals, and has been used to care for over 200,000 patients. For information regarding how patient care and clinical outcomes are measured, see “—Market Overview—Challenges of Managing Seizures in the Acute Care Setting.”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seizure is an abnormal burst of uncontrolled electrical activity in the brain which, if left untreated, can result in permanent disability or death. Seizures are often associated with epilepsy, a chronic condition that causes recurring seizures throughout an individual’s life. However, seizures in the acute care setting are also commonly triggered by serious conditions such as brain tumors, traumatic brain injury, stroke, cardiac arrest, and sepsis, among others. In contrast to epileptic seizures which are short in duration and typically involve convulsions, seizures occurring in the acute care setting tend to be longer in duration and are most often non-convulsive, meaning they lack the physical symptoms that are often used to identify seizure activity, which makes empirical diagnosis extremely challenging. This creates a significant unmet need, and it is estimated that up to 92% of all seizures in the ICU are non-convulsive.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seizure lasting longer than five minutes is known as status epilepticus, a serious medical emergency that can lead to mortality or severe and permanent brain damage. Awareness of the severity of status epilepticus has significantly increased over the last decade, with a heightened emphasis on prompt diagnosis and treatment, which are the most important factors in appropriately managing the condition and improving patient outcomes. The all-cause mortality rate associated with non-convulsive status epilepticus is approximately 18-30%. Further, patient response rates to first-line anti-seizure medication drop by approximately 30% for every hour medication is delayed from the onset of seizures. Given the impact of prompt detection on treatment success and outcomes, medical society guidelines emphasize the need for prompt EEG monitoring for patients at risk of status epilepticus.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EEG, a non-invasive test that measures electrical activity in the brain and displays this activity as continuous waveforms, is the only way to definitively confirm a seizure diagnosis. EEG was originally designed for the outpatient setting, primarily for use in the diagnosis and management of epilepsy, where the technology has been used for nearly 100 years. In the acute care setting, we believe conventional EEG systems are insufficient to meet the needs of critically ill patients as they are unable to provide the speed of diagnosis and continuous monitoring necessary for optimal patient management. These challenges are the result of multiple inherent bottlenecks in the design of conventional EEG systems and the infrastructure required to administer them. Conventional EEG systems must be operated by specialized EEG technicians who typically work limited hours, are staffed across multiple departments within the hospital, and face a national supply shortage. After arrival at the bedside, which is often delayed, EEG technicians must initiate a long, complex, and labor-intensive setup process before EEG recording can begin. The EEG recording must then be interpreted and monitored by specialized neurologists, who face similar workflow and supply shortage issues, and when available, are rarely able to continuously monitor EEG recordings in real-time. These bottlenecks result in delays in both diagnosis and monitoring. This can lead to delayed seizure detection and less informed treatment decisions, which may negatively impact clinical outcomes and have been shown to contribute to a higher cost burden for hospitals and the healthcare system. </w:t>
      </w:r>
    </w:p>
    <w:p>
      <w:pPr>
        <w:pStyle w:val="TextBody"/>
        <w:bidi w:val="0"/>
        <w:spacing w:before="240" w:after="283"/>
        <w:jc w:val="both"/>
        <w:rPr>
          <w:rFonts w:ascii="Times New Roman" w:hAnsi="Times New Roman"/>
          <w:sz w:val="20"/>
        </w:rPr>
      </w:pPr>
      <w:r>
        <w:rPr>
          <w:rFonts w:ascii="Times New Roman" w:hAnsi="Times New Roman"/>
          <w:color w:val="000000"/>
          <w:sz w:val="20"/>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a disposable, flexible headband and a pocket-sized,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 Clarity</w:t>
      </w:r>
      <w:r>
        <w:rPr>
          <w:rFonts w:ascii="Times New Roman" w:hAnsi="Times New Roman"/>
          <w:color w:val="000000"/>
          <w:sz w:val="13"/>
        </w:rPr>
        <w:t>TM</w:t>
      </w:r>
      <w:r>
        <w:rPr>
          <w:rFonts w:ascii="Times New Roman" w:hAnsi="Times New Roman"/>
          <w:color w:val="000000"/>
          <w:sz w:val="20"/>
        </w:rPr>
        <w:t xml:space="preserve">, which continuously monitors the patient’s EEG signal and can support the clinician’s real-time assessment of seizure activity. In May 2023, the latest generation of Clarity became the first and only device to receive 510(k) clearance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the U.S. Food and Drug Administration (“FDA”) for diagnosing electrographic status epilepticus, and subsequently received a New Technology Add-on Payment (“NTAP”) from the Centers for Medicare and Medicaid Services (“CMS”).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unique features and capabilities of our system deliver numerous benefits,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Early seizure detection and improved patient outcomes.</w:t>
      </w:r>
      <w:r>
        <w:rPr>
          <w:color w:val="000000"/>
        </w:rPr>
        <w:t xml:space="preserve"> </w:t>
      </w:r>
      <w:r>
        <w:rPr>
          <w:rFonts w:ascii="Times New Roman" w:hAnsi="Times New Roman"/>
          <w:color w:val="000000"/>
          <w:sz w:val="20"/>
        </w:rPr>
        <w:t>The Ceribell System can be deployed in as little as five minutes by any non-specialized healthcare professional with limited training required and continuously monitors the patient for seizure activity, empowering bedside clinicians to make more informed and timely treatment decisions. This results in improved patient outcomes, including shorter hospital stays and reductions in unnecessary administration of anti-seizure medication, intubation, and patient transfers.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Improved hospital and payer economics.</w:t>
      </w:r>
      <w:r>
        <w:rPr>
          <w:color w:val="000000"/>
        </w:rPr>
        <w:t xml:space="preserve"> </w:t>
      </w:r>
      <w:r>
        <w:rPr>
          <w:rFonts w:ascii="Times New Roman" w:hAnsi="Times New Roman"/>
          <w:color w:val="000000"/>
          <w:sz w:val="20"/>
        </w:rPr>
        <w:t xml:space="preserve">We have demonstrated that the Ceribell System can deliver cost savings for hospitals and payers by decreasing the average hospital length of stay, reducing the over-administration of anti-seizure medication, and reducing unnecessary patient transfers. In addition, confirmed diagnosis of seizures may allow hospitals to receive appropriate reimbursement for the more complex and costly management of patients with multiple comorbidities.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strain on key hospital personnel.</w:t>
      </w:r>
      <w:r>
        <w:rPr>
          <w:color w:val="000000"/>
        </w:rPr>
        <w:t xml:space="preserve"> </w:t>
      </w:r>
      <w:r>
        <w:rPr>
          <w:rFonts w:ascii="Times New Roman" w:hAnsi="Times New Roman"/>
          <w:color w:val="000000"/>
          <w:sz w:val="20"/>
        </w:rPr>
        <w:t>The Ceribell System reduces reliance on EEG technicians for EEG administration and enables hospitals to better manage technician infrastructure and workflow. Additionally, Clarity allows for better triage of at-risk patients, improves resource allocation, and supports more efficient workflow for neurologists.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developed a large body of evidence that supports these clinical and economic benefits, including over 110 peer-reviewed publications and published conference abstracts. Our growing base of clinical evidence highlights the value of the Ceribell System to all key stakeholders, including patients, clinicians, and hospitals of different types and acuity settings. We believe our base of clinical evidence validates that the quality of Ceribell System recordings are equivalent to conventional EEG, supports the diagnostic accuracy of Clarity, and shows that use of the Ceribell System can result in improved clinical management and care. In addition, our clinical evidence supports that use of the Ceribell System can provide meaningful cost savings to hospitals and payers, appropriate reimbursement for the treatment of patients with complex conditions, and reduced strain on hospital personnel. For citations to the studies relating to the clinical evidence noted above in this paragraph, see the section titled “Business—Our Clinical Results and Economic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inherent limitations of conventional EEG systems, we believe that EEG has been significantly underutilized in the detection and management of seizures in the acute care setting. By providing our customers with a tool that can be promptly administered and leveraged to inform treatment decisions at the bedside, the Ceribell System has the ability to meaningfully expand the use of EEG to a significantly broader set of acute care patients who we believe should be monitored for non-convulsive seizures. We define our addressable market opportunity as the approximately three million acute care patients in the United States who we believe should be monitored with EEG each year due to high risk of seizures and an estimated 6,000 acute care facilities that we believe could benefit from the Ceribell System. We believe the platform nature of the Ceribell System will enable us to efficiently pursue other serious neurological conditions beyond seizures, including delirium and ischemic stroke, which could represent a significant market opportunity. For information regarding our addressable market opportunity, see “—Market Overview—Our Addressable Market Opportunity in Seizures and—Other Potential Opportunities Beyond Seizures.”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There are approximately 6,000 acute care facilities in the United States that we believe could benefit from our system. We employ a team of sales representatives, including Territory Managers (“TMs”), who are responsible for new customer acquisition and onboarding, and Clinical Account Managers (“CAMs”), who focus on ongoing account coverage to increase utilization and further support hospital onboarding.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We also plan to engage in market access initiatives in attractive international regions in which we see significant opportunity.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established a significant competitive advantage through multiple strategic initiatives, including investing substantial resources to create our wholly-owned intellectual property portfolio. As of December 31, 2024, we had 18 issued patents and 24 pending patent applications covering multiple aspects of our hardware and algorithms. We have also invested in building data science and AI capabilities, which would be costly and difficult to replicate. To date, our system has been used on over 200,000 patients, which we believe to be the largest database of acute care EEG recordings. Finally, we spend a significant amount of time partnering with our customers, including providing onsite training and ongoing education as well as ensuring optimal workflow and IT integration, all of which strengthens our competitive position, customer loyalty, and customer retention.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invest in research and development efforts with the goal of driving continuous improvements in the Ceribell System, advancing our mission of becoming the standard of care for the detection and management of seizures in the acute care setting, and expanding the clinical application of our system and AI algorithms, in the acute care setting and beyond. Our research and development team includes hardware and software engineers with deep expertise in mechanical and electrical engineering, data science, AI, embedded software design, and cloud-based data and security architecture.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generate revenue from two recurring sources – the sale of our disposable headbands that are intended for single patient use and a monthly subscription fee charged to our hospital customers for use of Clarity, recorders, and our portal. We have experienced rapid growth since we began commercializing the Ceribell System in 2018, expanding our headcount to 281 employees in 2024. We recognized revenue of $65.4 million for the year ended December 31, 2024, compared to revenue of $45.2 million for the year ended December 31, 2023, representing 45% year-over-year growth. For the year ended December 31, 2024, we recognized a gross margin of 87% and a net loss of $40.5 million, compared to a gross margin of 84% and a net loss of $29.5 million for the year ended December 31, 2023. </w:t>
      </w:r>
    </w:p>
    <w:p>
      <w:pPr>
        <w:pStyle w:val="TextBody"/>
        <w:bidi w:val="0"/>
        <w:spacing w:before="360" w:after="283"/>
        <w:jc w:val="both"/>
        <w:rPr>
          <w:rFonts w:ascii="Times New Roman" w:hAnsi="Times New Roman"/>
          <w:sz w:val="20"/>
        </w:rPr>
      </w:pPr>
      <w:r>
        <w:rPr>
          <w:rFonts w:ascii="Times New Roman" w:hAnsi="Times New Roman"/>
          <w:b/>
          <w:color w:val="000000"/>
          <w:sz w:val="20"/>
        </w:rPr>
        <w:t>Our Success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 continued growth of our company will be driven by the following success factors: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Paradigm-shifting platform technology capable of becoming the standard of care for brain monitoring in the acute care setting.</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Ceribell System represents a paradigm-shifting EEG solution for brain monitoring in the acute care setting, a field that has experienced minimal innovation since conventional EEG systems were developed in the 1920s. The Ceribell System was specifically designed to address the shortcomings of conventional EEG systems in the acute care setting. Unlike conventional EEG systems, the Ceribell System provides clinicians with rapid access to EEG, bedside seizure detection, and continuous monitoring, which enables more accurate treatment decisions and improved outcomes for critically ill patients. We believe the Ceribell System is positioned to become the standard of care for the detection and management of seizures in these patients. In the future, we believe the platform nature of the Ceribell System will enable us to efficiently pursue other serious neurological conditions beyond seizures, for which we have begun the technical validation process for multiple indications, including delirium and ischemic stroke. We received Breakthrough Device Designation from the FDA for delirium in September 2022.</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Compelling benefits supported by a robust body of clinical and real-world evidence.</w:t>
      </w:r>
      <w:r>
        <w:rPr>
          <w:color w:val="000000"/>
        </w:rPr>
        <w:t xml:space="preserve"> </w:t>
      </w:r>
      <w:r>
        <w:rPr>
          <w:rFonts w:ascii="Times New Roman" w:hAnsi="Times New Roman"/>
          <w:color w:val="000000"/>
          <w:sz w:val="20"/>
        </w:rPr>
        <w:t>The Ceribell System was designed to optimize patient care and hospital workflow through improved EEG access, quicker detection of seizures, continuous monitoring, and improved clinical decision-making. These attributes of the Ceribell System successfully translate into improved clinical care, which has been shown to improve patient outcomes and hospital and payer economics. The clinical and economic benefits of the Ceribell System are supported by a significant body of evidence that includes over 110 peer-reviewed publications and published conference abstracts. We believe our clinical evidence and real-world case studies will continue to support the adoption of our system.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Large addressable market opportunity with a significant unmet need. </w:t>
      </w:r>
      <w:r>
        <w:rPr>
          <w:rFonts w:ascii="Times New Roman" w:hAnsi="Times New Roman"/>
          <w:color w:val="000000"/>
          <w:sz w:val="20"/>
        </w:rPr>
        <w:t>Prolonged seizures, particularly non-convulsive seizures, are highly prevalent in critically ill patients in the acute care setting and are associated with significant morbidity and mortality. While conventional EEG can be used to detect seizures in these patients, the inherent limitations of conventional EEG systems have resulted in a significant underutilization of this necessary and often lifesaving technology. By providing hospitals with 24/7 bedside assessment and continuous monitoring of seizure activity, the Ceribell System enables hospitals to promptly and more appropriately care for critically ill patients. We believe that the Ceribell System can expand the use of EEG to the approximately three million acute care patients in the United States who we believe should be monitored with EEG each year due to high risk of seizures, representing an over $2 billion annual addressable market opportunity. In addition, we believe that future indication and geographic expansion opportunities could represent a significant market opportunity.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Recurring, predictable and scalable revenue model with attractive gross margins.</w:t>
      </w:r>
      <w:r>
        <w:rPr>
          <w:color w:val="000000"/>
        </w:rPr>
        <w:t xml:space="preserve"> </w:t>
      </w:r>
      <w:r>
        <w:rPr>
          <w:rFonts w:ascii="Times New Roman" w:hAnsi="Times New Roman"/>
          <w:color w:val="000000"/>
          <w:sz w:val="20"/>
        </w:rPr>
        <w:t xml:space="preserve">We generate revenue primarily from two recurring sources – the sale of our single use, disposable headbands and a monthly subscription fee for the use of Clarity, recorders, and our portal. Once we onboard an account, we have historically observed high retention rates. We believe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track record of customer retention and our recurring revenue model improve the predictability of our revenue. Both our disposable headband and subscription revenue streams offer significant visibility and produce high gross margins. For the years ended December 31, 2024 and 2023, we generated gross margins of 87% and 84%, respectively, with subscription gross margins of 97% and 96%, respectively. We have also developed a highly scalable commercial model that combines TMs focused on new customer adoption and onboarding and CAMs focused on driving utilization with limited case coverage support required, which we believe will support efficient growth and greater operating leverage. We believe the attractive attributes of our business model will allow us to continue to invest in growth initiatives while driving the company towards profitability.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Strong competitive position with first mover advantage. </w:t>
      </w:r>
      <w:r>
        <w:rPr>
          <w:rFonts w:ascii="Times New Roman" w:hAnsi="Times New Roman"/>
          <w:color w:val="000000"/>
          <w:sz w:val="20"/>
        </w:rPr>
        <w:t>We have deployed a wide range of strategies to strengthen our competitive advantage. We have invested sizeable resources in developing a comprehensive and wholly-owned intellectual property portfolio, which, as of December 31, 2024, included 18 issued patents and 24 pending patent applications covering multiple aspects of our hardware and algorithms. Additionally, we have invested in building data science and AI capabilities, which would be costly and difficult to replicate. To date, our system has been used in over 200,000 patients. Portions of this database have been used to inform our proprietary, AI-powered algorithm for seizure detection and will enable us to develop algorithms for indications beyond seizures. We have also established a sophisticated onboarding program, which includes onsite training and ongoing education as well as workflow and IT integration, all of which help to build customer loyalty and strengthens our competitive position and customer retention.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Established reimbursement.</w:t>
      </w:r>
      <w:r>
        <w:rPr>
          <w:color w:val="000000"/>
        </w:rPr>
        <w:t xml:space="preserve"> </w:t>
      </w:r>
      <w:r>
        <w:rPr>
          <w:rFonts w:ascii="Times New Roman" w:hAnsi="Times New Roman"/>
          <w:color w:val="000000"/>
          <w:sz w:val="20"/>
        </w:rPr>
        <w:t>The Ceribell System enables our customers to operate under the existing reimbursement structure for EEG, which has well-established reimbursement levels via the Medicare Severity Diagnosis Related Group (“MS-DRG”) classification system and Current Procedural Terminology (“CPT”) codes. Given the wide variety of underlying acute conditions that may lead to seizures in critically ill patients, use of our system is reimbursed across a large and diverse base of MS-DRGs. As a result, we believe that our system is less subject to targeted reimbursement changes to individual MS-DRGs. In addition, our newest Clarity algorithm is the first neurodiagnostic to achieve both Breakthrough Device Designation from the FDA and an NTAP from CMS. For eligible patients, the NTAP enables hospitals to receive additional reimbursement for each qualifying inpatient admission during which the new Clarity algorithm is used.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Experienced leadership team. </w:t>
      </w:r>
      <w:r>
        <w:rPr>
          <w:rFonts w:ascii="Times New Roman" w:hAnsi="Times New Roman"/>
          <w:color w:val="000000"/>
          <w:sz w:val="20"/>
        </w:rPr>
        <w:t>Our senior management team consists of industry professionals with deep industry expertise across various disciplines, including medical technology, sales and marketing, engineering, data science, and manufacturing.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Growth Strategies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mission is to establish the Ceribell System as the standard of care for EEG in the acute care setting and help clinicians save patient lives. The key elements of our growth strategy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Increase adoption of the Ceribell System by new accounts. </w:t>
      </w:r>
      <w:r>
        <w:rPr>
          <w:rFonts w:ascii="Times New Roman" w:hAnsi="Times New Roman"/>
          <w:color w:val="000000"/>
          <w:sz w:val="20"/>
        </w:rPr>
        <w:t>There are</w:t>
      </w:r>
      <w:r>
        <w:rPr>
          <w:color w:val="000000"/>
        </w:rPr>
        <w:t xml:space="preserve"> </w:t>
      </w:r>
      <w:r>
        <w:rPr>
          <w:rFonts w:ascii="Times New Roman" w:hAnsi="Times New Roman"/>
          <w:color w:val="000000"/>
          <w:sz w:val="20"/>
        </w:rPr>
        <w:t>approximately 6,000 acute care facilities with an Intensive Care Unit (“ICU”) or Emergency Department (“ED”) or both in the United States that we believe could benefit from the Ceribell System because the patients arriving at such facilities may experience seizures triggered by the conditions leading them to seek acute medical care. We have initially targeted a subset of these acute care facilities through our commercial organization, prioritizing certain facilities based on factors such as geographic characteristics and sales potential. Over time, we expect to target additional acute care facilities as we grow our sales. As of December 31, 2024, we have successfully deployed our system to more than 500 active accounts, ranging from top academic centers to small community hospitals. We believe that all acute care facilities in the United States can benefit from the Ceribell System, and our goal is to establish our system as the standard of care for the detection and management of seizures in critically ill patients. To drive further adoption of our system, we plan to continue to expand our commercial infrastructure by adding both TMs, who focus on new account acquisition and onboarding, and CAMs, who focus on ongoing account coverage to increase utilization and further support hospital onboarding. Our commercial team engages with customers to communicate the value proposition of the Ceribell System, leveraging our large base of clinical evidence.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Drive utilization of the Ceribell System within our existing customer base.</w:t>
      </w:r>
      <w:r>
        <w:rPr>
          <w:color w:val="000000"/>
        </w:rPr>
        <w:t xml:space="preserve"> </w:t>
      </w:r>
      <w:r>
        <w:rPr>
          <w:rFonts w:ascii="Times New Roman" w:hAnsi="Times New Roman"/>
          <w:color w:val="000000"/>
          <w:sz w:val="20"/>
        </w:rPr>
        <w:t xml:space="preserve">We believe there are approximately three million acute care patients in the United States who should be monitored with EEG each year due to high risk of seizures. Currently, many of these patients are not promptly monitored by EEG, as a physician may not be aware of the risk of seizures in a given patient population. Our CAMs work to educate our customers to raise awareness of our technology, non-convulsive seizures, and the risks of delayed treatment because even at facilities with access to the Ceribell System, clinicians may not use Ceribell on all eligible patients if they are not fully aware of the risks of seizures and the benefits of our solution. Since implementing this approach in July 2021, we have demonstrated success in meaningfully increasing utilization within our active accounts.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Continue to drive awareness of seizures in the acute care setting. </w:t>
      </w:r>
      <w:r>
        <w:rPr>
          <w:rFonts w:ascii="Times New Roman" w:hAnsi="Times New Roman"/>
          <w:color w:val="000000"/>
          <w:sz w:val="20"/>
        </w:rPr>
        <w:t xml:space="preserve">We continue to focus on increasing awareness of the prevalence of seizures in critically ill patient populations among intensive care and emergency medicine clinicians in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acute care setting. Based on our experience, many providers underappreciate the full spectrum of underlying conditions that may result in non-convulsive seizures, which generally cannot be reliably diagnosed on an empirical basis. We also aim to educate providers on the importance of prompt diagnosis and treatment of seizures, including the relevant medical society guidelines that recommend EEG be applied promptly when status epilepticus is suspected and in various conditions in which the risk of status epilepticus is high. We work to achieve these objectives by directly engaging with clinicians, investing in marketing initiatives, and supporting clinical research that validates the importance of early diagnosis and treatment of status epilepticus.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Invest in further growing our base of clinical evidence. </w:t>
      </w:r>
      <w:r>
        <w:rPr>
          <w:rFonts w:ascii="Times New Roman" w:hAnsi="Times New Roman"/>
          <w:color w:val="000000"/>
          <w:sz w:val="20"/>
        </w:rPr>
        <w:t>Clinical evidence is an important driver of our customers’ decision-making process, and we are committed to continuing to build upon the foundation of evidence that supports our value proposition. We conduct our own clinical studies and provide support for independent investigator-initiated trials that evaluate different aspects of our system. For example, although the outcomes of clinical trials cannot be guaranteed, we are sponsoring and supporting studies to validate the impact of our system on patient outcomes and to demonstrate the reliability and diagnostic utility of Clarity, with a focus on studies that validate speed of EEG setup, ease-of-use, diagnostic accuracy, enhanced clinician confidence in treatment decisions, improved patient outcomes, and hospital and payer economics. For more information regarding the ongoing studies supported or sponsored by us, see “—Ceribell Supported or Sponsored Ongoing Studies.”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Continue to improve and innovate our system for use in seizures.</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our system for diagnosing and monitoring seizures in the acute care setting. We have introduced multiple iterations of our Clarity seizure detection algorithm, increasing both the sensitivity and specificity of the algorithm since the initial introduction, and expect to continue to drive further improvements of Clarity in the future. We are also investing in expanding the indicated age range of Clarity to include individuals below the age of 18, and filed a 510(k) application for clearance in the fourth quarter of 2024. If this application is granted, we can bring the benefits of AI-powered seizure detection and continuous monitoring to younger patients, who are already able to benefit from rapid EEG access provided by our proprietary hardware. In addition, we have received 510(k) clearance for and are continuing to develop a headset that will be able to accommodate a head size range appropriate for neonate and infant patients, which have different needs than adult and pediatric patients. We believe that these innovations have the potential to increase the utilization of our system within our established customer base.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Expand into new indications and clinical use cases beyond seizures.</w:t>
      </w:r>
      <w:r>
        <w:rPr>
          <w:color w:val="000000"/>
        </w:rPr>
        <w:t xml:space="preserve"> </w:t>
      </w:r>
      <w:r>
        <w:rPr>
          <w:rFonts w:ascii="Times New Roman" w:hAnsi="Times New Roman"/>
          <w:color w:val="000000"/>
          <w:sz w:val="20"/>
        </w:rPr>
        <w:t>We believe EEG offers one of the richest datasets of brain activity. While the clinical use of EEG has historically been limited to the identification of seizures, EEGs have been scientifically demonstrated to aid in the detection of a wide variety of other neurological conditions. We intend to leverage our proprietary database of acute care EEG recordings and our data science and AI capabilities to identify patterns in EEG waveforms that may allow us to expand the use of our system to other indications, both in the acute care setting and beyond. We have begun the technical validation process for several indications in the acute care setting. In September 2022, we received FDA Breakthrough Device Designation for the detection and monitoring of delirium, a common condition in the acute care setting characterized by episodes of confusion and disorientation that affects more than seven million hospitalized patients in the United States annually according to the American Delirium Society. We have also initiated technical and clinical work to develop an algorithm that may allow for earlier triage of stroke. We believe these indications would be accessible using our existing hardware platform and commercial infrastructure and significantly expand our total addressable market.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Pursue adjacent and international markets.</w:t>
      </w:r>
      <w:r>
        <w:rPr>
          <w:color w:val="000000"/>
        </w:rPr>
        <w:t xml:space="preserve"> </w:t>
      </w:r>
      <w:r>
        <w:rPr>
          <w:rFonts w:ascii="Times New Roman" w:hAnsi="Times New Roman"/>
          <w:color w:val="000000"/>
          <w:sz w:val="20"/>
        </w:rPr>
        <w:t>There are approximately 6,000 acute care facilities in the United States that we believe could benefit from our system. We believe that our system offers compelling benefits to other types of institutions beyond this core market, including hospitals affiliated with the Department of Defense, children’s hospitals, and long-term acute care facilities. In the future, we plan to establish our presence internationally. While our current commercial focus is on the United States, we have received a CE Mark for the Ceribell System in Europe, and we intend to pursue additional regulatory clearances in Europe within the next two to four years and, in the future, elsewhere outside of the United States. We also plan to engage in market access initiatives in attractive international regions in which we see significant opportunity.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 Overview</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 of Seizures in the Acute Care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seizure is an abnormal burst of uncontrolled electrical activity in the brain that causes a range of clinical symptoms and, if undetected and left untreated, can be life threatening. Seizures generally manifest as a result of an underlying condition, which may be a chronic disorder such as epilepsy or a response to a serious, acute condition, such as brain tumors, traumatic brain injury, stroke, cardiac arrest, and sepsis, among others.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seizure lasting longer than five minutes is known as status epilepticus, which is a serious medical emergency that can lead to severe long-term cognitive disability or death. The severity of status epilepticus is comparable, and in some cases higher, than other medical emergencies impacting patients in the acute care setting such as sepsis, stroke, and cardiac arrest.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Prompt detection and treatment of status epilepticus are crucial for improving patient outcomes, similar to the management of these other conditions, where early detection and treatment result in significantly improved outcomes. At the same time, we believe that, unlike sepsis, stroke, and cardiac arrest, most hospitals do not have defined protocols for identifying and treating status epilepticus. Multiple studies have established that morbidity and mortality rates for status epilepticus are strongly correlated to seizure duration. Response rates to first-line anti-seizure medication are significantly higher when the medication is administered promptly following the onset of seizures. </w:t>
      </w:r>
    </w:p>
    <w:p>
      <w:pPr>
        <w:pStyle w:val="TextBody"/>
        <w:bidi w:val="0"/>
        <w:jc w:val="left"/>
        <w:rPr/>
      </w:pPr>
      <w:r>
        <w:rPr/>
        <w:t> </w:t>
      </w:r>
    </w:p>
    <w:p>
      <w:pPr>
        <w:pStyle w:val="TextBody"/>
        <w:bidi w:val="0"/>
        <w:jc w:val="both"/>
        <w:rPr/>
      </w:pPr>
      <w:r>
        <w:rPr/>
        <w:t> </w:t>
      </w:r>
    </w:p>
    <w:tbl>
      <w:tblPr>
        <w:tblW w:w="10578" w:type="dxa"/>
        <w:jc w:val="left"/>
        <w:tblInd w:w="0" w:type="dxa"/>
        <w:tblLayout w:type="fixed"/>
        <w:tblCellMar>
          <w:top w:w="28" w:type="dxa"/>
          <w:left w:w="28" w:type="dxa"/>
          <w:bottom w:w="28" w:type="dxa"/>
          <w:right w:w="28" w:type="dxa"/>
        </w:tblCellMar>
      </w:tblPr>
      <w:tblGrid>
        <w:gridCol w:w="5396"/>
        <w:gridCol w:w="146"/>
        <w:gridCol w:w="5036"/>
      </w:tblGrid>
      <w:tr>
        <w:trPr/>
        <w:tc>
          <w:tcPr>
            <w:tcW w:w="5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6" w:type="dxa"/>
            <w:tcBorders/>
            <w:vAlign w:val="center"/>
          </w:tcPr>
          <w:p>
            <w:pPr>
              <w:pStyle w:val="TableContents"/>
              <w:bidi w:val="0"/>
              <w:spacing w:before="0" w:after="283"/>
              <w:jc w:val="left"/>
              <w:rPr>
                <w:sz w:val="4"/>
                <w:szCs w:val="4"/>
              </w:rPr>
            </w:pPr>
            <w:r>
              <w:rPr>
                <w:sz w:val="4"/>
                <w:szCs w:val="4"/>
              </w:rPr>
            </w:r>
          </w:p>
        </w:tc>
      </w:tr>
      <w:tr>
        <w:trPr/>
        <w:tc>
          <w:tcPr>
            <w:tcW w:w="539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362325" cy="2962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29622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114675" cy="2981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14675" cy="2981325"/>
                          </a:xfrm>
                          <a:prstGeom prst="rect">
                            <a:avLst/>
                          </a:prstGeom>
                        </pic:spPr>
                      </pic:pic>
                    </a:graphicData>
                  </a:graphic>
                </wp:inline>
              </w:drawing>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Given the impact of prompt detection on treatment success and outcomes, medical society guidelines emphasize the need for prompt EEG monitoring for patients at risk of status epilepticus. For example, the Neurocritical Care Society (“NCS”) guidelines recommend continuous EEG monitoring within 15-60 minutes of onset of seizure for treatment of status epilepticus. Further, guidelines from the American Heart Association (“AHA”) and American Stroke Association (“ASA”) have confirmed the importance of EEG monitoring for certain cardiac arrest and stroke patients who are at high risk of seizures. In addition to the importance of prompt detection, continuous monitoring for seizure activity is critical to the successful management of patients, as status epilepticus may continue or reemerge even after treatment with anti-seizure medication is administered.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Challenges of Managing Seizures in the Acute Care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Seizures in the acute care setting are particularly challenging to detect and often go undiagnosed given they predominantly present as non-convulsive. It is estimated that up to 92% of all seizures in the ICU are non-convulsive. EEG, which measures electrical activity in the brain, is the only test that can definitively confirm a seizure diagnosis and is critical for making informed treatment decisions. EEG converts electrical brain activity to visual, continuous waveforms, which must be interpreted by a specially trained neurologist, such as an epileptologist or neurophysiologist, to detect seizures or other neurological conditions.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Image of EEG Waveforms</w:t>
      </w:r>
    </w:p>
    <w:p>
      <w:pPr>
        <w:pStyle w:val="TextBody"/>
        <w:bidi w:val="0"/>
        <w:jc w:val="both"/>
        <w:rPr/>
      </w:pPr>
      <w:r>
        <w:rPr/>
        <w:t> </w:t>
      </w:r>
    </w:p>
    <w:p>
      <w:pPr>
        <w:pStyle w:val="TextBody"/>
        <w:bidi w:val="0"/>
        <w:jc w:val="center"/>
        <w:rPr/>
      </w:pPr>
      <w:r>
        <w:rPr/>
        <w:drawing>
          <wp:inline distT="0" distB="0" distL="0" distR="0">
            <wp:extent cx="3390900" cy="1790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90900" cy="1790700"/>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Conventional EEG System and Electrodes Placement</w:t>
      </w:r>
    </w:p>
    <w:p>
      <w:pPr>
        <w:pStyle w:val="TextBody"/>
        <w:bidi w:val="0"/>
        <w:jc w:val="both"/>
        <w:rPr/>
      </w:pPr>
      <w:r>
        <w:rPr/>
        <w:t> </w:t>
      </w:r>
    </w:p>
    <w:p>
      <w:pPr>
        <w:pStyle w:val="TextBody"/>
        <w:bidi w:val="0"/>
        <w:jc w:val="center"/>
        <w:rPr/>
      </w:pPr>
      <w:r>
        <w:rPr/>
        <w:drawing>
          <wp:inline distT="0" distB="0" distL="0" distR="0">
            <wp:extent cx="1333500" cy="1838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0" cy="18383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Conventional EEG systems consist of reusable or single-use electrodes, which are manually attached to the patient’s scalp, and capital equipment, which includes an amplifier, computer module, and display device for transmitting, recording, and displaying the EEG data. Conventional EEG systems were originally designed in the 1920s for use in the outpatient setting, primarily for the diagnosis and management of epilepsy. As such, they were designed with the goal of understanding the precise region of the brain in which seizure activity occurs, rather than to achieve a rapid seizure diagnosis.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acute care setting, rapid diagnosis and continuous monitoring are necessary for optimal patient management. While conventional EEG systems are also used in the acute care setting, the inherent limitations of these systems in the acute care setting have contributed to significant delays in seizure diagnosis and suboptimal patient care and clinical outcomes. In this context, Ceribell and numerous study authors measure the quality of patient care by the timeliness of treatment of seizures, the administration of appropriate medication, and avoidance of hospital transfers, and measure clinical outcomes by the incidence of mortality and functional disability, duration of seizure activity, and length of hospital stay associated with seizure activity. The inherent limitations of conventional systems noted above, which include long and manual processes that must be performed by specialized personnel, contribute to delayed, and in some cases outright lack of, access to EEG. For a discussion of studies evaluating patient care and clinical outcomes with conventional EEG systems compared to the Ceribell System in the acute care setting, see “—Our Clinical Results and Economic Evidence.”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Conventional EEG systems require set up by specialized EEG technicians who must undergo advanced training and obtain certifications. Nationally, there is a shortage of such technicians, and the infrastructure costs required to staff technicians 24/7 are generally too high for all but the largest and most well-funded medical centers. In most community-based hospitals, EEG technicians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are generally only staffed during normal daytime business hours from Monday through Friday. This results in significant gaps in EEG coverage. For example, a hospital that has EEG technicians available for its ICU from 9:00am to 5:00pm Monday through Friday (i.e., 40 hours a week) would lack EEG coverage for 76% of each week (80 hours on weekdays, plus 48 hours on weekends). On-call services may be available outside of standard business hours, but utilizing these services results in additional delays in EEG access and incremental costs as a result of overtime pay. While large academic hospitals may provide greater EEG coverage, general workflow limitations may still result in significant delays in EEG access. Moreover, we believe that many EDs do not use EEGs as a standard practice given the significant delays in access to EEG.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Conventional EEG systems consist of large and cumbersome capital equipment which is generally not stored in the acute care setting due to space constraints and, as such, must be located and transported to the patient. When the EEG technician finally arrives at the bedside with the equipment, the setup process is long, complex, and labor-intensive. The EEG technician will measure the patient’s head to determine electrode placement, then manually part the patient’s hair, scrub the skin to remove dead skin cells, apply a conductive gel to form electrical connectivity between the skin and the EEG electrode and then tape the electrode to the patient’s skin. This process is repeated for each individual electrode and typically takes up to 30 minutes to complete. The combination of these factors can result in multi-hour, or even multi-day, delays in EEG administration and interpretation in the acute care setting. Such delays are significantly longer than recommendations from NCS guidelines and do not sufficiently meet the needs of patients at risk of seizure. Further, at non-academic, community hospitals, patients who experience status epilepticus may see further delays in receiving an EEG due to staffing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Once EEG signal is acquired, the recording must be interpreted by a specially trained neurologist. Similar to EEG technicians, there is a nationwide shortage of neurologists, with demand estimated to exceed supply by almost 20%. EEG interpretation is a complicated and time-consuming task, as each page of EEG data typically only represents 15 seconds of brain activity. Neurologists are not always immediately available to interpret urgent EEG requests, further contributing to delays in diagnosis. A peer-reviewed publication of survey results from 97 respondent hospitals showed a majority of physicians at such hospitals reviewed EEG results only twice or less a day, and only 5% of such hospitals continuously reviewed EEGs records. When neurologists only review EEGs periodically, diagnosis of seizures that emerge after initial review can be delayed and can restrict the clinician’s ability to provide optimal 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the delays in diagnosis caused by the many inherent limitations of conventional EEG, bedside clinicians are often left with three unappealing choices – wait until an EEG test is administered and a diagnosis is made to treat the patient, treat the patient empirically without the benefit of EEG data, or transfer the patient to a better equipped facility. The decision to delay treatment for hours until EEG is administered would likely result in poor outcomes, such as long-term cognitive impairment or even death, if the patient is indeed experiencing status epilepticus. The decision to treat empirically without an EEG creates the potential for unnecessary treatment with anti-seizure medication, likely resulting in preventable intubation and increased length of stay. In addition, treating the patient prophylactically runs counter to medical society guidelines published by both the AHA and ASA given the potential for unnecessary comorbidities. The decision to transfer a patient to another institution would result in further delays in potentially necessary treatment and will result in increased costs related to transporting the patient. None of these choices is appealing to clinicians as they are likely to result in poor clinical outcomes for the patient as well as imposing cost burdens on the hospital and payers.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citations to the studies relating to the benefits of the Ceribell System discussed above, see “—Our Clinical Results and Economic Evidence.”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Addressable Market Opportunity in Seizures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inherent limitations of conventional EEG systems, we believe that EEG has been significantly underutilized in the detection and management of seizures in the acute care setting. By providing our customers with a tool that can be promptly administered and leveraged to inform treatment decisions at the bedside, we believe the Ceribell System has the ability to meaningfully expand the use of EEG to a significantly broader set of acute care patients who should be monitored due to high risk of seizures. Based on the experiences of several hospital customers that have studied the impact of the Ceribell System on their institutions, we believe that adoption of the Ceribell System will drive an increase in EEG testing volumes.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total addressable market opportunity estimated at over $2 billion represents the potential opportunity from the sale of single-use headbands, as well as the potential opportunity from the sale of the Ceribell System hardware and subscriptions to recorders, Clarity and our portal, in each case to acute care facilities. The potential opportunity from the sale of single-use headbands reflects an estimated three million acute care patients in the United States who we believe should be monitored with EEG each year due to high risk of seizures based on clinical literature and medical society guidelines, and the potential opportunity from the sale of the Ceribell system and subscriptions reflects an estimated 6,000 acute care facilities that we believe could benefit from the Ceribell system for such patients.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our current commercial focus is on the United States, we have received a CE Mark for the Ceribell System in Europe, and we intend to pursue additional regulatory clearances in Europe within the next two to four years and, in the future, elsewhere outside of the United States. However, at this stage of our development we do not have more specific intended timing for pursuing additional regulatory clearances in Europe or commercializing our product in Europe. We also plan to engage in market access initiatives in attractive international regions in which we see significant opportunity. We believe acute care EEG monitoring is also underutilized worldwide and that a significant opportunity exists for the Ceribell System to improve patient care and neurologic monitoring.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Potential Opportunities Beyond Seizures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future, we intend to leverage our proprietary database of EEG recordings and our data science and AI capabilities to identify patterns in EEG waveforms that would allow us to expand the use of our system. We believe that our system can be deployed with novel algorithms for various indications in the acute care setting using our existing hardware platform and commercial infrastructure, which would enable us to monitor patients for multiple neurological conditions simultaneously. We have already begun the technical validation process for multiple additional indications in the acute care setting. In September 2022, we received FDA Breakthrough Device Designation for the detection of delirium, a common condition in the acute care setting characterized by episodes of confusion and disorientation. Delirium is estimated to affect more than seven million hospitalized patients in the United States annually according to the American Delirium Society, and failure to diagnose delirium has been associated with a two-fold increase in six-month mortality. We have also initiated technical and clinical work to develop an algorithm that may allow for earlier triage of ischemic stroke. Although we have not yet applied for marketing authorization from the FDA for the use of the Ceribell System relating to delirium or ischemic stroke, we believe that the Ceribell System could positively impact the current diagnostic practices for both delirium and ischemic stroke. According to the American Delirium Society, over seven million hospitalized people suffer from delirium in the United States annually, and according to the Centers for Disease Control, more than 650,000 people suffer an ischemic stroke in the United States each year. We believe expansion of our indications could thus represent a significant market opportunity. Prior to commercialization within these indications, we would need to apply for and obtain the required marketing authorizations. Based on our current development plans, we expect to apply for marketing authorization with the FDA for the use of the Ceribell System within these indications within the next two to four years. However, these expectations are subject to change based on various factors. Even if we successfully apply for marketing authorization for these indications, there is no guarantee that we will obtain the marketing authorizations within these indications the expected timeline, or at all, and at this stage in our development plans we do not have an intended timeline for commercialization of the products or services related to the delirium or ischemic stroke indications. For more information regarding the ongoing studies supported or sponsored by us relating to these two indications, see “—Ceribell Supported or Sponsored Ongoing Studies.” We also plan to expand delivery of our product in other clinical settings and develop biomarkers for neurological and psychiatric conditions.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designed the Ceribell System to address the limitations of conventional EEG in the acute care setting and dramatically improve clinical outcomes of critically ill patients at risk of seizures. The Ceribell System is a novel, point-of-care EEG platform that integrates proprietary, highly portable, and simple-to-use hardware with AI-powered algorithms to aid in the detection and management of seizures. We currently commercialize our system in the United States, where it has been adopted by more than 500 active accounts and used on over 200,000 patients to date.</w:t>
      </w:r>
    </w:p>
    <w:p>
      <w:pPr>
        <w:pStyle w:val="TextBody"/>
        <w:bidi w:val="0"/>
        <w:jc w:val="both"/>
        <w:rPr/>
      </w:pPr>
      <w:r>
        <w:rPr/>
        <w:t> </w:t>
      </w:r>
    </w:p>
    <w:p>
      <w:pPr>
        <w:pStyle w:val="TextBody"/>
        <w:bidi w:val="0"/>
        <w:jc w:val="center"/>
        <w:rPr/>
      </w:pPr>
      <w:r>
        <w:rPr/>
        <w:drawing>
          <wp:inline distT="0" distB="0" distL="0" distR="0">
            <wp:extent cx="5991225" cy="3276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91225" cy="327660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hardware is composed of a disposable, flexible headband and a pocket-sized, battery-operated recorder used to capture and wirelessly transmit EEG signals generated by the headband. The raw EEG data is accessible through our web portal that enables real-time remote review by neurologists. The data captured by the recorder is also monitored by Clarity, our AI-powered seizure detection algorithm. Leveraging our proprietary database of EEG recordings, Clarity is designed to interpret a patient’s EEG waveforms and display actionable insights regarding seizure activity on the recorder, including automatic alerts in the event of non-convulsive status epilepticus. Since launching, we have regularly updated the Clarity algorithm using additional data and our AI capabilities to enhance its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Ceribell System eliminates many of the limitations and inherent bottlenecks in the conventional EEG infrastructure that lead to suboptimal patient care, offering the following highly differentiated features and capabilities: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setup by any trained healthcare professional.</w:t>
      </w:r>
      <w:r>
        <w:rPr>
          <w:color w:val="000000"/>
        </w:rPr>
        <w:t xml:space="preserve"> </w:t>
      </w:r>
      <w:r>
        <w:rPr>
          <w:rFonts w:ascii="Times New Roman" w:hAnsi="Times New Roman"/>
          <w:color w:val="000000"/>
          <w:sz w:val="20"/>
        </w:rPr>
        <w:t>The Ceribell System is highly portable and designed for rapid setup, enabling initiation of EEG in as little as five minutes with limited training required. The system is straightforward and intuitive, and we are generally able to train new users and establish proficiency in approximately one hour. This allows the Ceribell System to be applied by any non-specialized healthcare professional with approximately one hour of training required, reducing reliance on specialized EEG technicians and eliminating one of the biggest bottlenecks in the conventional EEG infrastructure.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Bedside EEG interpretation.</w:t>
      </w:r>
      <w:r>
        <w:rPr>
          <w:color w:val="000000"/>
        </w:rPr>
        <w:t xml:space="preserve"> </w:t>
      </w:r>
      <w:r>
        <w:rPr>
          <w:rFonts w:ascii="Times New Roman" w:hAnsi="Times New Roman"/>
          <w:color w:val="000000"/>
          <w:sz w:val="20"/>
        </w:rPr>
        <w:t>Clarity, our AI-powered algorithm, analyzes and converts EEG waveforms into a seizure burden trend, which can be interpreted by any licensed clinician at the bedside to provide actionable information on seizure activity. This can be used to support prompt diagnosis, inform better patient care, and determine whether the patient is responding to treatment.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Continuous, automated patient monitoring.</w:t>
      </w:r>
      <w:r>
        <w:rPr>
          <w:color w:val="000000"/>
        </w:rPr>
        <w:t xml:space="preserve"> </w:t>
      </w:r>
      <w:r>
        <w:rPr>
          <w:rFonts w:ascii="Times New Roman" w:hAnsi="Times New Roman"/>
          <w:color w:val="000000"/>
          <w:sz w:val="20"/>
        </w:rPr>
        <w:t>Through Clarity, the Ceribell System makes continuous monitoring for potential seizure activity much easier and automatically alerts clinicians in the event of suspected seizure activity so that appropriate care can be promptly administered.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Remote access to EEG data with AI-powered insights.</w:t>
      </w:r>
      <w:r>
        <w:rPr>
          <w:color w:val="000000"/>
        </w:rPr>
        <w:t xml:space="preserve"> </w:t>
      </w:r>
      <w:r>
        <w:rPr>
          <w:rFonts w:ascii="Times New Roman" w:hAnsi="Times New Roman"/>
          <w:color w:val="000000"/>
          <w:sz w:val="20"/>
        </w:rPr>
        <w:t xml:space="preserve">The Ceribell System features our cloud-based portal, an intuitive EEG management platform which enables remote access to EEG data on any web-enabled device and provides AI-powered insights to simplify and support efficient EEG interpretation by any licensed clinician without requiring bedside presence.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Benefits of the Ceribell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differentiated features of the Ceribell System enable our hospital customers to offer optimal patient care while delivering improved economics for both the hospital and payers. The benefits delivered by the Ceribell System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Early seizure detection and improved patient outcomes.</w:t>
      </w:r>
      <w:r>
        <w:rPr>
          <w:color w:val="000000"/>
        </w:rPr>
        <w:t xml:space="preserve"> </w:t>
      </w:r>
      <w:r>
        <w:rPr>
          <w:rFonts w:ascii="Times New Roman" w:hAnsi="Times New Roman"/>
          <w:color w:val="000000"/>
          <w:sz w:val="20"/>
        </w:rPr>
        <w:t>The Ceribell System can be quickly deployed by any non-specialized healthcare professional with limited training required, reducing the time required to begin an EEG test to as little as five minutes, compared to several hours or potentially days for conventional EEG systems. Once the Ceribell System is applied, Clarity automatically and continuously monitors the patient for seizure activity, further reducing time to diagnosis and empowering bedside clinicians to make real-time decisions and optimize treatment. Peer-reviewed studies indicate that this results in improved patient care and outcomes, including shorter hospital stays and reductions in unnecessary administration of anti-seizure medication, intubation, and patient transfers.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Improved hospital and payer economics.</w:t>
      </w:r>
      <w:r>
        <w:rPr>
          <w:color w:val="000000"/>
        </w:rPr>
        <w:t xml:space="preserve"> </w:t>
      </w:r>
      <w:r>
        <w:rPr>
          <w:rFonts w:ascii="Times New Roman" w:hAnsi="Times New Roman"/>
          <w:color w:val="000000"/>
          <w:sz w:val="20"/>
        </w:rPr>
        <w:t>By providing hospitals with 24/7 access to EEG without a significant incremental investment in personnel and capital equipment, we believe that the Ceribell System has the potential to reduce the cost burdens associated with the monitoring and management of seizures in the acute care setting for both hospitals and payers. We have demonstrated that the Ceribell System can deliver cost savings for hospitals and payers by decreasing hospital length of stay, reducing the over-administration of anti-seizure medication, and reducing unnecessary patient transfers. Hospital inpatient care for patients diagnosed with non-convulsive status epilepticus is often more complex and costly than management of patients without this condition. A confirmed diagnosis of seizure may qualify an inpatient stay as involving a complication or comorbidity (“CC”) or major complication or comorbidity for certain conditions under the MS-DRG classification system, which may allow hospitals to receive appropriate reimbursement for care of patients with more complex conditions.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strain on key hospital personnel.</w:t>
      </w:r>
      <w:r>
        <w:rPr>
          <w:color w:val="000000"/>
        </w:rPr>
        <w:t xml:space="preserve"> </w:t>
      </w:r>
      <w:r>
        <w:rPr>
          <w:rFonts w:ascii="Times New Roman" w:hAnsi="Times New Roman"/>
          <w:color w:val="000000"/>
          <w:sz w:val="20"/>
        </w:rPr>
        <w:t>The Ceribell System reduces strain on EEG technicians and neurologists. For the former, the Ceribell System reduces reliance on EEG technicians for EEG administration and enables hospitals to better manage technician infrastructure and workflow. For the latter, Clarity allows for better triage of at-risk patients, improves resource allocation, and supports more efficient workflow for neurologists.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citations to the studies relating to the benefits of the Ceribell System discussed above, see the section titled “Business—Our Clinical Results and Economic Evidence.”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Components of the Ceribell System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Hardware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includes two proprietary hardware components – a headband and a recorder. Both components received 510(k) clearances from the FDA in 2017 and, together, are used to acquire EEG signals.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headband is a disposable, single-use headband composed of ten non-invasive electrodes, each pre-filled with conductive gel, affixed to a flexible band that fits comfortably around the crown of a patient’s head. Each electrode is housed within a small knob that, when turned, parts the patient’s hair and preps the patient’s skin using an array of prongs with a light abrasive surface. After skin prep, a plunger affixed to each knob is depressed and the conductive gel is released, forming an electrical connection between the scalp and the electrode. These simple steps effectively replicate the process that is performed by EEG technicians during conventional EEG setup in a manner simple enough that it can be completed in as little as five minutes by any trained healthcare professional. Each headband is intended for use on a single patient.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recorder is a pocket-sized, battery-operated reusable device designed to record and store EEG signals generated by the headband. The recorder establishes device-to-cloud communication through a secure Wi-Fi connection. The recorder features a digital screen which displays the raw EEG data as well as our proprietary seizure burden trend line produced by our AI-powered seizure detection algorithm, Clarity, and provides alerts when significant seizure activity is suspected. During setup, the recorder provides prompts on its digital screen to ensure that each electrode has made proper contact with the skin, with a green light indicating that the electrode connection is strong. These prompts are designed to ensure our electrodes meet the same connection quality standards as conventional EEG. The recorder also enables healthcare providers to input relevant details, such as patient information and annotations of treatments administered to the patient, which help providers assess the impact and efficacy of treatment.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Headband Placement and Recorder</w:t>
      </w:r>
    </w:p>
    <w:p>
      <w:pPr>
        <w:pStyle w:val="TextBody"/>
        <w:bidi w:val="0"/>
        <w:jc w:val="both"/>
        <w:rPr/>
      </w:pPr>
      <w:r>
        <w:rPr/>
        <w:t> </w:t>
      </w:r>
    </w:p>
    <w:p>
      <w:pPr>
        <w:pStyle w:val="TextBody"/>
        <w:bidi w:val="0"/>
        <w:jc w:val="center"/>
        <w:rPr/>
      </w:pPr>
      <w:r>
        <w:rPr/>
        <w:drawing>
          <wp:inline distT="0" distB="0" distL="0" distR="0">
            <wp:extent cx="2933700" cy="1952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33700" cy="1952625"/>
                    </a:xfrm>
                    <a:prstGeom prst="rect">
                      <a:avLst/>
                    </a:prstGeom>
                  </pic:spPr>
                </pic:pic>
              </a:graphicData>
            </a:graphic>
          </wp:inline>
        </w:drawing>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Recorder Confirmation of Electrode Connection</w:t>
      </w:r>
    </w:p>
    <w:p>
      <w:pPr>
        <w:pStyle w:val="TextBody"/>
        <w:bidi w:val="0"/>
        <w:jc w:val="both"/>
        <w:rPr/>
      </w:pPr>
      <w:r>
        <w:rPr/>
        <w:t> </w:t>
      </w:r>
    </w:p>
    <w:p>
      <w:pPr>
        <w:pStyle w:val="TextBody"/>
        <w:bidi w:val="0"/>
        <w:jc w:val="center"/>
        <w:rPr/>
      </w:pPr>
      <w:r>
        <w:rPr/>
        <w:drawing>
          <wp:inline distT="0" distB="0" distL="0" distR="0">
            <wp:extent cx="3067050" cy="1457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67050" cy="1457325"/>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Algorithms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Through our extensive database of EEG recordings and our data science and AI expertise, we have developed proprietary algorithms that power some of the most critical features of our system by converting raw EEG waveforms into actionable clinical insights.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commercialize Clarity, our seizure detection algorithm that continuously interprets raw EEG data captured every ten seconds across all ten electrodes of the headband and assesses a multitude of EEG features to determine if seizure activity is present. It then converts this data into a metric known as seizure burden, which measures the quantum of seizure activity detected in a rolling five-minute interval (for example, a 90% seizure burden indicates 4.5 minutes of seizure activity in the last five minutes). Seizure burden is displayed on the digital screen of the recorder as a simple chart that can be easily understood by clinicians without formal EEG interpretation training. This provides clinicians with the vital, real-time data needed to rapidly identify and treat seizures and to evaluate the efficacy of anti-seizure medication. A seizure burden that exceeds 90% suggests the patient is potentially in non-convulsive status epilepticus. When Clarity detects a seizure burden of 90% or greater, it generates a visual and audio alert that is delivered by the recorder, helping the bedside clinician to act promptly to review the alert from Clarity and provide timely care. A seizure burden between 1% and 89% suggests shorter duration seizures or a seizure-like abnormality, which may warrant alerting the neurology team. When Clarity detects a 0% seizure burden, which suggests no ongoing seizure activity, clinicians may be able to more confidently rule out status epilepticus. While EEGs can only be interpreted by a neurologist, Clarity alerts provide information in real time that bedside clinicians can act on immediately to inform treatment decisions. We believe that by enabling bedside clinicians who are not neurologists to review the output of Clarity and provide timely care as well as determine more selectively when neurologist interpretation is required, the Ceribell System helps mitigate the effect of delays in EEG interpretation and neurologist shortages.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Seizure Burden Display</w:t>
      </w:r>
    </w:p>
    <w:p>
      <w:pPr>
        <w:pStyle w:val="TextBody"/>
        <w:bidi w:val="0"/>
        <w:jc w:val="left"/>
        <w:rPr/>
      </w:pPr>
      <w:r>
        <w:rPr/>
        <w:t> </w:t>
      </w:r>
    </w:p>
    <w:p>
      <w:pPr>
        <w:pStyle w:val="TextBody"/>
        <w:bidi w:val="0"/>
        <w:jc w:val="center"/>
        <w:rPr/>
      </w:pPr>
      <w:r>
        <w:rPr/>
        <w:drawing>
          <wp:inline distT="0" distB="0" distL="0" distR="0">
            <wp:extent cx="5781675" cy="3124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81675" cy="3124200"/>
                    </a:xfrm>
                    <a:prstGeom prst="rect">
                      <a:avLst/>
                    </a:prstGeom>
                  </pic:spPr>
                </pic:pic>
              </a:graphicData>
            </a:graphic>
          </wp:inline>
        </w:drawing>
      </w:r>
    </w:p>
    <w:p>
      <w:pPr>
        <w:pStyle w:val="TextBody"/>
        <w:bidi w:val="0"/>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Continuous Seizure Monitoring and Seizure Activity Alerts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238"/>
        <w:gridCol w:w="4967"/>
      </w:tblGrid>
      <w:tr>
        <w:trPr/>
        <w:tc>
          <w:tcPr>
            <w:tcW w:w="5238" w:type="dxa"/>
            <w:tcBorders/>
            <w:vAlign w:val="center"/>
          </w:tcPr>
          <w:p>
            <w:pPr>
              <w:pStyle w:val="TableContents"/>
              <w:bidi w:val="0"/>
              <w:spacing w:before="0" w:after="283"/>
              <w:jc w:val="left"/>
              <w:rPr>
                <w:sz w:val="4"/>
                <w:szCs w:val="4"/>
              </w:rPr>
            </w:pPr>
            <w:r>
              <w:rPr>
                <w:sz w:val="4"/>
                <w:szCs w:val="4"/>
              </w:rPr>
            </w:r>
          </w:p>
        </w:tc>
        <w:tc>
          <w:tcPr>
            <w:tcW w:w="4967" w:type="dxa"/>
            <w:tcBorders/>
            <w:vAlign w:val="center"/>
          </w:tcPr>
          <w:p>
            <w:pPr>
              <w:pStyle w:val="TableContents"/>
              <w:bidi w:val="0"/>
              <w:spacing w:before="0" w:after="283"/>
              <w:jc w:val="left"/>
              <w:rPr>
                <w:sz w:val="4"/>
                <w:szCs w:val="4"/>
              </w:rPr>
            </w:pPr>
            <w:r>
              <w:rPr>
                <w:sz w:val="4"/>
                <w:szCs w:val="4"/>
              </w:rPr>
            </w:r>
          </w:p>
        </w:tc>
      </w:tr>
      <w:tr>
        <w:trPr/>
        <w:tc>
          <w:tcPr>
            <w:tcW w:w="5238"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771775" cy="1381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71775" cy="1381125"/>
                          </a:xfrm>
                          <a:prstGeom prst="rect">
                            <a:avLst/>
                          </a:prstGeom>
                        </pic:spPr>
                      </pic:pic>
                    </a:graphicData>
                  </a:graphic>
                </wp:inline>
              </w:drawing>
            </w:r>
          </w:p>
        </w:tc>
        <w:tc>
          <w:tcPr>
            <w:tcW w:w="4967"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581275" cy="1285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81275" cy="1285875"/>
                          </a:xfrm>
                          <a:prstGeom prst="rect">
                            <a:avLst/>
                          </a:prstGeom>
                        </pic:spPr>
                      </pic:pic>
                    </a:graphicData>
                  </a:graphic>
                </wp:inline>
              </w:drawing>
            </w:r>
          </w:p>
        </w:tc>
      </w:tr>
      <w:tr>
        <w:trPr/>
        <w:tc>
          <w:tcPr>
            <w:tcW w:w="5238" w:type="dxa"/>
            <w:tcBorders/>
            <w:tcMar>
              <w:top w:w="0" w:type="dxa"/>
              <w:left w:w="0" w:type="dxa"/>
              <w:bottom w:w="0" w:type="dxa"/>
              <w:right w:w="0" w:type="dxa"/>
            </w:tcMar>
            <w:vAlign w:val="center"/>
          </w:tcPr>
          <w:p>
            <w:pPr>
              <w:pStyle w:val="TableContents"/>
              <w:bidi w:val="0"/>
              <w:spacing w:before="120" w:after="283"/>
              <w:ind w:left="0" w:right="0" w:firstLine="490"/>
              <w:jc w:val="center"/>
              <w:rPr>
                <w:rFonts w:ascii="Times New Roman" w:hAnsi="Times New Roman"/>
                <w:b/>
                <w:color w:val="000000"/>
                <w:sz w:val="20"/>
              </w:rPr>
            </w:pPr>
            <w:r>
              <w:rPr>
                <w:rFonts w:ascii="Times New Roman" w:hAnsi="Times New Roman"/>
                <w:b/>
                <w:color w:val="000000"/>
                <w:sz w:val="20"/>
              </w:rPr>
              <w:t>0% seizure burden – Likely rule out seizure activity</w:t>
            </w:r>
          </w:p>
        </w:tc>
        <w:tc>
          <w:tcPr>
            <w:tcW w:w="4967" w:type="dxa"/>
            <w:tcBorders/>
            <w:tcMar>
              <w:top w:w="0" w:type="dxa"/>
              <w:left w:w="0" w:type="dxa"/>
              <w:bottom w:w="0" w:type="dxa"/>
              <w:right w:w="0" w:type="dxa"/>
            </w:tcMar>
            <w:vAlign w:val="center"/>
          </w:tcPr>
          <w:p>
            <w:pPr>
              <w:pStyle w:val="TableContents"/>
              <w:bidi w:val="0"/>
              <w:spacing w:before="120" w:after="283"/>
              <w:ind w:left="0" w:right="0" w:firstLine="490"/>
              <w:jc w:val="center"/>
              <w:rPr>
                <w:rFonts w:ascii="Times New Roman" w:hAnsi="Times New Roman"/>
                <w:b/>
                <w:color w:val="000000"/>
                <w:sz w:val="20"/>
              </w:rPr>
            </w:pPr>
            <w:r>
              <w:rPr>
                <w:rFonts w:ascii="Times New Roman" w:hAnsi="Times New Roman"/>
                <w:b/>
                <w:color w:val="000000"/>
                <w:sz w:val="20"/>
              </w:rPr>
              <w:t>&gt;90% seizure burden – Potential non-convulsive status epilepticus</w:t>
            </w:r>
          </w:p>
        </w:tc>
      </w:tr>
      <w:tr>
        <w:trPr/>
        <w:tc>
          <w:tcPr>
            <w:tcW w:w="5238"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581275" cy="1285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81275" cy="1285875"/>
                          </a:xfrm>
                          <a:prstGeom prst="rect">
                            <a:avLst/>
                          </a:prstGeom>
                        </pic:spPr>
                      </pic:pic>
                    </a:graphicData>
                  </a:graphic>
                </wp:inline>
              </w:drawing>
            </w:r>
          </w:p>
        </w:tc>
        <w:tc>
          <w:tcPr>
            <w:tcW w:w="4967"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581275" cy="1285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81275" cy="1285875"/>
                          </a:xfrm>
                          <a:prstGeom prst="rect">
                            <a:avLst/>
                          </a:prstGeom>
                        </pic:spPr>
                      </pic:pic>
                    </a:graphicData>
                  </a:graphic>
                </wp:inline>
              </w:drawing>
            </w:r>
          </w:p>
        </w:tc>
      </w:tr>
      <w:tr>
        <w:trPr/>
        <w:tc>
          <w:tcPr>
            <w:tcW w:w="523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1-89% seizure burden - Likely seizure activity or epileptiform abnormality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(i.e., unusual brain signals resembling those in epilepsy)</w:t>
            </w:r>
          </w:p>
        </w:tc>
        <w:tc>
          <w:tcPr>
            <w:tcW w:w="4967" w:type="dxa"/>
            <w:tcBorders/>
            <w:tcMar>
              <w:top w:w="0" w:type="dxa"/>
              <w:left w:w="0" w:type="dxa"/>
              <w:bottom w:w="0" w:type="dxa"/>
              <w:right w:w="0" w:type="dxa"/>
            </w:tcMar>
            <w:vAlign w:val="center"/>
          </w:tcPr>
          <w:p>
            <w:pPr>
              <w:pStyle w:val="TableContents"/>
              <w:bidi w:val="0"/>
              <w:spacing w:before="120" w:after="283"/>
              <w:ind w:left="0" w:right="0" w:firstLine="490"/>
              <w:jc w:val="center"/>
              <w:rPr>
                <w:rFonts w:ascii="Times New Roman" w:hAnsi="Times New Roman"/>
                <w:b/>
                <w:color w:val="000000"/>
                <w:sz w:val="20"/>
              </w:rPr>
            </w:pPr>
            <w:r>
              <w:rPr>
                <w:rFonts w:ascii="Times New Roman" w:hAnsi="Times New Roman"/>
                <w:b/>
                <w:color w:val="000000"/>
                <w:sz w:val="20"/>
              </w:rPr>
              <w:t>Non-convulsive status epilepticus alert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continuously improving our Clarity algorithm and have released software updates to our customers. In May 2023, the latest generation of our Clarity algorithm became the first and only device to receive 510(k) clearance from FDA for the diagnosis of electrographic status epilepticus (“ESE”), which refers to status epilepticus which can be diagnosed using EEG alone without the benefit of additional clinical information. The clearance follows prior receipt of Breakthrough Device Designation from the FDA and subsequent receipt of an exclusive NTAP code from CMS.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Ceribell EEG Portal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EEG portal is a cloud-based secured portal that enables real-time remote access to a patient’s EEG data. The portal can be accessed by clinicians anywhere and anytime using any web browser or mobile applications. The portal enables simple sorting and filtering of EEG recordings, makes it easy to annotate EEGs, and offers an extensive EEG reference library with a database of expertly annotated sample cases. In addition, the raw EEG waveforms viewed through the portal are overlaid with the seizure burden curve produced by Clarity, providing clinicians with interpretation assistance.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Intuitive Interface Accessible through Web or Mobile Applications</w:t>
      </w:r>
    </w:p>
    <w:p>
      <w:pPr>
        <w:pStyle w:val="TextBody"/>
        <w:bidi w:val="0"/>
        <w:jc w:val="left"/>
        <w:rPr/>
      </w:pPr>
      <w:r>
        <w:rPr/>
        <w:t> </w:t>
      </w:r>
    </w:p>
    <w:p>
      <w:pPr>
        <w:pStyle w:val="TextBody"/>
        <w:bidi w:val="0"/>
        <w:jc w:val="center"/>
        <w:rPr/>
      </w:pPr>
      <w:r>
        <w:rPr/>
        <w:drawing>
          <wp:inline distT="0" distB="0" distL="0" distR="0">
            <wp:extent cx="2647950" cy="1666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647950" cy="1666875"/>
                    </a:xfrm>
                    <a:prstGeom prst="rect">
                      <a:avLst/>
                    </a:prstGeom>
                  </pic:spPr>
                </pic:pic>
              </a:graphicData>
            </a:graphic>
          </wp:inline>
        </w:drawing>
      </w:r>
      <w:r>
        <w:rPr/>
        <w:drawing>
          <wp:inline distT="0" distB="0" distL="0" distR="0">
            <wp:extent cx="3038475" cy="1600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038475" cy="1600200"/>
                    </a:xfrm>
                    <a:prstGeom prst="rect">
                      <a:avLst/>
                    </a:prstGeom>
                  </pic:spPr>
                </pic:pic>
              </a:graphicData>
            </a:graphic>
          </wp:inline>
        </w:drawing>
      </w:r>
    </w:p>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Reading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2024, Ceribell entered into agreements with two tele-neurology providers to offer remote EEG interpretation services to customers. These agreements are non-exclusive and have terms ranging from 18 months to 36 months and allow for termination by either party for convenience and for material breach, subject to customary notice and cure periods. Under the terms of these agreements, the tele-neurology providers have agreed to contract with customers directly to provide reading services during the term of the agreements. We believe that this product offering may help service a subset of our customer population where neurology infrastructure is insufficient to meet the demand for interpretation of EEGs using the Ceribell System. Currently, this remains a nascent product offering that is used by only a small number of customers. For information regarding risks relating to this product offering and state laws prohibiting the corporate practice of medicine or fee splitting, see “Risk Factors–Our relationships with contracted physicians to provide remote EEG interpretation services to certain customers must be structured in compliance with state laws prohibiting the corporate practice of medicine or fee splitting and could be found to violate such laws.”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revenue primarily from two recurring sources – the sale of our single use, disposable headbands and a monthly subscription fee charged to our customers for use of Clarity, recorders and the portal. We sell the Ceribell System in the United States through our direct sales organization. We employ a team of sales representatives, including TMs, who are responsible for new customer acquisition, and CAMs, who are responsible for ongoing account coverage, with the primary objective of raising awareness of non-convulsive status epilepticus and gaining more customer support of the Ceribell solution. TMs and CAMs are also jointly responsible for onboarding customers. Together, this team is focused on driving new account growth and greater utilization, and delivering high-quality customer experiences. In addition to TMs and CAMs, our commercial organization includes other personnel who are responsible for hospital system relationship management, sales training, launch support, technical assistance, and hospital IT integration and other activities.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TMs drive adoption of our system in new accounts by engaging with key decision makers to introduce the compelling value proposition of the Ceribell System. They are responsible for identifying key customer prospects, educating them on the value of our system and gaining their commitment to acquire our system. Given the Ceribell System’s multi-faceted value proposition, driving new account adoption involves multiple stakeholders. Our TMs initially focus on engaging with and gaining the support of intensive care and emergency medicine clinicians, neurologists, and nursing staff, among other clinicians. These individuals have firsthand experience with the limitations of conventional EEG systems in the acute care setting and, as such, often play an important role in championing support for our system across the institution. Our TMs work to gain the support of other key stakeholders, including executive leadership, who are responsible for resource allocation and financial management. In addition to driving new account growth, our TMs, in coordination with our CAMs, play a critical role in site onboarding, training, and launch.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CAMs are focused on driving increased utilization and penetration within existing accounts, ongoing account coverage, and further supporting customer onboarding. CAMs initially work in close coordination with TMs during the site onboarding phase to ensure a successful launch. We have a highly tailored onboarding program that involves training hospital staff, supporting customers in designing workflows, and integrating with the hospital’s IT system. In the future, we intend to add integration with our customers’ electronic health record systems. We believe that the time we spend supporting our customers during the onboarding process builds customer loyalty and strengthens our competitive position. Once the customer onboarding is complete, CAMs fully assume responsibility for the account. CAMs provide ongoing physician education and training support to promote an excellent user experience and drive greater utilization of our system within the hospital by reinforcing our value proposition and increasing disease state awareness. CAMs are also focused on expanding the use of the Ceribell System into additional departments within the hospital.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plan to establish our presence internationally. While our current commercial focus is on the United States, we have received a CE Mark for the Ceribell System in Europe, and we intend to pursue additional regulatory clearances in Europe within the next two to four years and, in the future, elsewhere outside of the United States. However, at this stage of our development we do not have more specific intended timing for pursuing additional regulatory clearances in Europe or commercializing our product in Europe. We also plan to engage in market access initiatives in attractive international regions in which we see significant opportunity.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direct sales efforts, we invest in marketing initiatives to increase awareness of our technology and the prevalence of seizures in critically ill patient populations within the acute care setting. Based on our experience, many intensive care and emergency medicine clinicians underappreciate the prevalence of seizures, particularly non-convulsive seizures, associated with common acute conditions. Through our marketing and educational efforts, we reinforce the prevalence and severity of status epilepticus, the criticality of prompt diagnosis and treatment, and the limitations of conventional EEG systems in the acute care setting.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marketing team ensures our representation and presence at national and regional medical society conferences, where our commercial team meets with key opinion leaders and society chairs to discuss greater collaboration as well as generates prospective customer leads. Additionally, we create and distribute content for digital engagement to educate prospective customers on status epilepticus and the Ceribell System through our website, email, social media, and advertisements. We believe our marketing programs are essential to increasing adoption of our system and expanding the use of EEG monitoring in the acute care setting to address the significant unmet needs of critically ill patients at risk of seizures.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Clinical Results and Economic Evidence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robust body of evidence supports the clinical and economic benefits of the Ceribell System for the detection of seizures and management of patients at risk of nonconvulsive status epilepticus in the acute care setting. The Ceribell System has been the subject of over 20 peer-reviewed publications and over 65 abstracts and posters. We believe our base of clinical evidence supports the value of the Ceribell System to all key stakeholders, including patients, clinicians, hospitals, and payers across different hospital types and acute care settings. </w:t>
      </w:r>
    </w:p>
    <w:p>
      <w:pPr>
        <w:pStyle w:val="TextBody"/>
        <w:bidi w:val="0"/>
        <w:spacing w:before="360" w:after="283"/>
        <w:jc w:val="both"/>
        <w:rPr>
          <w:rFonts w:ascii="Times New Roman" w:hAnsi="Times New Roman"/>
          <w:sz w:val="20"/>
        </w:rPr>
      </w:pPr>
      <w:r>
        <w:rPr>
          <w:rFonts w:ascii="Times New Roman" w:hAnsi="Times New Roman"/>
          <w:b/>
          <w:i/>
          <w:color w:val="000000"/>
          <w:sz w:val="20"/>
        </w:rPr>
        <w:t>Validated Technical Characteristics and Performance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Signal Quality Concordant to Conventional EEG.</w:t>
      </w:r>
      <w:r>
        <w:rPr>
          <w:color w:val="000000"/>
        </w:rPr>
        <w:t xml:space="preserve"> </w:t>
      </w:r>
      <w:r>
        <w:rPr>
          <w:rFonts w:ascii="Times New Roman" w:hAnsi="Times New Roman"/>
          <w:color w:val="000000"/>
          <w:sz w:val="20"/>
        </w:rPr>
        <w:t xml:space="preserve">Studies have shown that the Ceribell System and conventional EEG provide largely concordant data, meaning that the quality of the recordings are generally equivalent.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Montage is Effective.</w:t>
      </w:r>
      <w:r>
        <w:rPr>
          <w:color w:val="000000"/>
        </w:rPr>
        <w:t xml:space="preserve"> </w:t>
      </w:r>
      <w:r>
        <w:rPr>
          <w:rFonts w:ascii="Times New Roman" w:hAnsi="Times New Roman"/>
          <w:color w:val="000000"/>
          <w:sz w:val="20"/>
        </w:rPr>
        <w:t xml:space="preserve">Studies have demonstrated that the reduced montage in the Ceribell System preserved key features of conventional EEG, and that focal seizures in the area of the brain not covered by the reduced montage are very rare in patients in the acute care setting.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Diagnostic Accuracy of Clarity. </w:t>
      </w:r>
      <w:r>
        <w:rPr>
          <w:rFonts w:ascii="Times New Roman" w:hAnsi="Times New Roman"/>
          <w:color w:val="000000"/>
          <w:sz w:val="20"/>
        </w:rPr>
        <w:t>The diagnostic accuracy of the Clarity algorithm is typically evaluated by comparing the determination of the Clarity algorithm to a diagnosis made by a panel of neurologists following review of the EEG recording produced by our system. These studies generally demonstrate that the Clarity algorithm is specific and sensitive in detecting non-convulsive status epilepticus.</w:t>
      </w:r>
      <w:r>
        <w:rPr>
          <w:color w:val="000000"/>
        </w:rPr>
        <w:t xml:space="preserve"> </w:t>
      </w:r>
      <w:r>
        <w:rPr>
          <w:rFonts w:ascii="Times New Roman" w:hAnsi="Times New Roman"/>
          <w:color w:val="000000"/>
          <w:sz w:val="20"/>
        </w:rPr>
        <w:t>Clarity's algorithm can detect nonconvulsive status epilepticus with 87% to 100% sensitivity, 93% to 98% specificity, and 99% to 100% negative predictive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Improved Clinical Management and Care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Diagnosis and Ease of Use.</w:t>
      </w:r>
      <w:r>
        <w:rPr>
          <w:color w:val="000000"/>
        </w:rPr>
        <w:t xml:space="preserve"> </w:t>
      </w:r>
      <w:r>
        <w:rPr>
          <w:rFonts w:ascii="Times New Roman" w:hAnsi="Times New Roman"/>
          <w:color w:val="000000"/>
          <w:sz w:val="20"/>
        </w:rPr>
        <w:t>The Ceribell System greatly reduces time to EEG setup (i.e., time from EEG order to EEG acquisition) and time to interpretation or diagnosis with the Ceribell System. It takes a median of five minutes to set up a Ceribell EEG, while conventional EEGs take a median of 239 minutes (nearly 4 hours) for arrival and set-up time (even with EEG technicians available 24/7 on site or on-call). There is also a significantly faster median door-to-EEG time of 5.9 hours for Ceribell, compared to 25.3 hours for conventional EEG. Additionally, setup and time to interpretation by conventional EEG systems were subject to delays ranging from 1.8 to 11.2 hours. The Ceribell System is designed to ease of learning and implementation. Surveyed physicians consistently rated the system easy to use (4.7 on a scale of 1-5), and a study noted that it “can be set up in minutes by nurses or physicians or any other user.”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Length of Stay.</w:t>
      </w:r>
      <w:r>
        <w:rPr>
          <w:color w:val="000000"/>
        </w:rPr>
        <w:t xml:space="preserve"> </w:t>
      </w:r>
      <w:r>
        <w:rPr>
          <w:rFonts w:ascii="Times New Roman" w:hAnsi="Times New Roman"/>
          <w:color w:val="000000"/>
          <w:sz w:val="20"/>
        </w:rPr>
        <w:t xml:space="preserve">Several studies have shown that the Ceribell System is associated with reduced length of stay in the hospital or ICU. For example, one study found that patients at three large academic hospitals who were initially evaluated with the Ceribell System had a median ICU length of stay that was approximately four days shorter compared to those who received conventional EEG. Another study at a community hospital showed a median length of stay decrease of three days after adoption of the Ceribell System, and a third found a decreased length of stay of 0.4 days in ICU and 1.2 days in hospital.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Improved Decision Making and Clinical Management.</w:t>
      </w:r>
      <w:r>
        <w:rPr>
          <w:color w:val="000000"/>
        </w:rPr>
        <w:t xml:space="preserve"> </w:t>
      </w:r>
      <w:r>
        <w:rPr>
          <w:rFonts w:ascii="Times New Roman" w:hAnsi="Times New Roman"/>
          <w:color w:val="000000"/>
          <w:sz w:val="20"/>
        </w:rPr>
        <w:t>A number of studies have indicated that the Ceribell System helps support appropriate clinical management of seizure patients by improving physicians’ ability to quickly and confidently diagnose or rule out a seizure. For example, studies have found that the Ceribell System allowed physicians to change clinical management for approximately 53% of patients; modify diagnostic suspicion for seizure and nonconvulsive status epilepticus for approximately 40% of patients and treatment decisions in 20% of patients; reduce over-treatment for non-seizure patients by avoiding anti-seizure treatment escalation in 43% of patients; potentially reduce intubation and parenteral anti-seizure medicine by 51%; and expedite disposition of cases in 21% of patients . A recent study found that the seizure burden assessed by Clarity correlated with functional outcomes, and in a matched analysis use of the Ceribell System was associated with better clinical outcomes for ICU patients with nonconvulsive seizures.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Fewer Patient Transfers. </w:t>
      </w:r>
      <w:r>
        <w:rPr>
          <w:rFonts w:ascii="Times New Roman" w:hAnsi="Times New Roman"/>
          <w:color w:val="000000"/>
          <w:sz w:val="20"/>
        </w:rPr>
        <w:t>Studies have provided evidence that access to the Ceribell System reduces patient transfers from community hospitals to facilities with greater access to conventional EEG systems. For example, one study found that the use of the Ceribell System enabled physicians to avoid transferring 94% of patients who would have met the criteria for EEG-related transfer before implementing the Ceribell System.</w:t>
      </w:r>
    </w:p>
    <w:p>
      <w:pPr>
        <w:pStyle w:val="TextBody"/>
        <w:bidi w:val="0"/>
        <w:spacing w:before="360" w:after="283"/>
        <w:jc w:val="both"/>
        <w:rPr>
          <w:rFonts w:ascii="Times New Roman" w:hAnsi="Times New Roman"/>
          <w:sz w:val="20"/>
        </w:rPr>
      </w:pPr>
      <w:r>
        <w:rPr>
          <w:rFonts w:ascii="Times New Roman" w:hAnsi="Times New Roman"/>
          <w:b/>
          <w:i/>
          <w:color w:val="000000"/>
          <w:sz w:val="20"/>
        </w:rPr>
        <w:t>Supports Hospital and Payer Economics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Meaningful Cost Savings</w:t>
      </w:r>
      <w:r>
        <w:rPr>
          <w:rFonts w:ascii="Times New Roman" w:hAnsi="Times New Roman"/>
          <w:b/>
          <w:color w:val="000000"/>
          <w:sz w:val="20"/>
        </w:rPr>
        <w:t>.</w:t>
      </w:r>
      <w:r>
        <w:rPr>
          <w:color w:val="000000"/>
        </w:rPr>
        <w:t xml:space="preserve"> </w:t>
      </w:r>
      <w:r>
        <w:rPr>
          <w:rFonts w:ascii="Times New Roman" w:hAnsi="Times New Roman"/>
          <w:color w:val="000000"/>
          <w:sz w:val="20"/>
        </w:rPr>
        <w:t>The Ceribell System is designed to enable around-the-clock access to EEG without significant investment in staff and equipment. Studies have demonstrated that the clinical benefits described above, such as reduced transfers, reduced length of stay, and reduced use of antiseizure medication, as well as adequate treatment of status epilepticus, could result in cost savings for the hospital and payers. One study estimated approximately $14,000 net positive value per patient (not accounting for Ceribell System costs) in two community hospitals, based on avoided transfer costs and applicable reimbursement. Two different studies at community hospitals projected, respectively, total annual cost savings of nearly $740,000 related to reduced length of stay and ED discharges, and transportation cost savings of more than $39,000 in 16 months based on reduced patient transfers and a third-party estimate of ambulance costs. In a fourth study of the Ceribell System, a decision-analytic model projected savings of $3,971 per patient hospitalized for coma or encephalopathy, due to reduction in both the ICU and hospital length of stay.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Appropriate Reimbursement for Complex Patients. </w:t>
      </w:r>
      <w:r>
        <w:rPr>
          <w:rFonts w:ascii="Times New Roman" w:hAnsi="Times New Roman"/>
          <w:color w:val="000000"/>
          <w:sz w:val="20"/>
        </w:rPr>
        <w:t>When seizures are accurately identified as a comorbidity of another condition, hospitals may appropriately code the patient as having a comorbid condition or major comorbid condition. One study showed that the improved seizure detection and diagnosis offered by the Ceribell System may support appropriate complication or comorbidity DRG payments from seizure diagnoses, with the study reporting additional annual revenue of $145,580 from more accurate MS-DRG coding.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Reduced Strain on Hospital Personnel. </w:t>
      </w:r>
      <w:r>
        <w:rPr>
          <w:rFonts w:ascii="Times New Roman" w:hAnsi="Times New Roman"/>
          <w:color w:val="000000"/>
          <w:sz w:val="20"/>
        </w:rPr>
        <w:t xml:space="preserve">The Ceribell System is designed to reduce reliance on EEG technicians for EEG set up and better control of technician infrastructure and workflow. It is simple to use and can be applied by non-specialized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professionals trained on the system, which can mitigate burdens on healthcare staff and users of EEG. In a study examining potential reduction in workforce demands due to use of on-call EEG technicians, ten EEG tests were conducted using the Ceribell System, and 40 using conventional EEG systems as a control. No EEG technicians were called to the hospital after hours for any of the tests using the Ceribell System, while technicians were called in to assist with 15 (38%) of the control studies in which conventional EEG systems were used.</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Customer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primarily from two recurring sources – sales of our disposable headbands which are intended for single patient use, and a subscription service fee charged to our customers on an annual or monthly basis for use of Clarity, recorders, and our portal. In exchange for the subscription service fee, the customer and its authorized users are granted access to the cloud-based portal platform, use of a specified number of recorders, and the Clarity algorithm identifying areas of potential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Customers are invoiced for subscription fees monthly in advance, with all amounts due generally within 30 days of the date of the applicable invoice. Annual subscription fees are invoiced once per year, in the month the subscription service is activated or renewed. Generally, subscriptions automatically renew unless either party gives the other at least 30 days’ written notice of its intent not to renew. In addition, either party may terminate the subscription for a material breach that is not cured within 30 days of notice of the breach. We can immediately terminate a subscription if the customer distributes or attempts to assign or sublicense any rights granted. Customers own all rights to data they upload or make available to Ceribell through use of our products or services. We have the right to use (but not sell) such data for our business purposes, obligations, and improvement of the Ceribell System, and we own any derivatives of the data that we develop. We provide product warranties for our recorders and headbands, which in aggregate are not a material liability. In addition, we have generally agreed to indemnify customers from third party claims regarding a defect in the product, breach of a product representation or warranty, or infringement of U.S. intellectual property rights.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Coverage and Reimbursement for Ceribell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substantially all of our revenue from healthcare providers and hospitals that use the Ceribell System in the United States. These facilities and providers, in turn, bill third-party payers, including private insurers, Medicare, and Medicaid, for the services and items they provide to patients. The Ceribell System enables our customers to operate under the existing reimbursement structure for EEG, which has well-established reimbursement levels via the MS-DRG classification system and CPT codes. Government and commercial payers generally provide coverage for EEG under this framework.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Ceribell System is most commonly deployed in the hospital inpatient setting. For Medicare, inpatient acute-care hospitals are paid under the inpatient prospective payment system (“IPPS”). The IPPS pays a flat rate based on the average charges across all hospitals for specific diagnoses, regardless of whether that particular patient costs more or less. Under the IPPS, each case is categorized into a MS-DRG, which is derived from ICD-10 codes that describe the patient’s diagnoses and procedures performed during the hospital stay. While MS-DRGs and CPT codes are generally employed by both private insurers and government payers, payment rates often differ. Base MS-DRGs may contain subgroups to identify patients with a diagnosed complication or comorbidity or major complication or comorbidity, which may qualify the admission for a higher payment amount intended to reflect the increased resources needed to treat patients with secondary complications or comorbidities. Seizure is considered a comorbidity that typically qualifies as a complication or comorbidity or major complication or comorbidity. Additional, temporary payment is available for new medical services and technologies designated as eligible by CMS for a New Technology Add-on Payment (“NTAP”), if certain criteria are met. In August 2023, CMS approved an NTAP under the IPPS for our newest Clarity algorithm, effective October 1, 2023 for a period of three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physicians who interpret the EEG data provided by the Ceribell System are typically neurologists, and they may seek reimbursement for their services using a variety of Category I CPT codes. These services are described by routine EEG codes, such as CPT codes 95812, 95813, 95816, and 95819, and longer-term EEG codes such as 95717 and 95719. These codes are the same CPT codes used to report physician services for the professional services associated with conventional EEG monitoring. Reimbursement for the facility in the hospital outpatient setting is determined by Medicare’s Ambulatory Payment Classification (“APC”) system, which assigns CPT codes to certain groupings identified by an APC code. Hospitals receive reimbursement based on the APC group to which the physician service or procedure performed is assigned.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invest in research and development efforts with the goal of driving continuous improvements in the Ceribell System. We are advancing our mission of becoming the standard of care for the detection and management of seizures in the acute care setting, and expanding the clinical indications of our system and AI algorithms in the acute care setting and beyond (such as home use). Our research and development team includes hardware and software engineers with deep expertise in mechanical and electrical engineering, data science, AI, embedded software design, and cloud-based data and security architecture.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investing in expanding the age range of Clarity to include individuals below the age of 18, and filed a 510(k) application for clearance in the fourth quarter of 2024. If this application is granted, we can bring the benefits of AI-powered seizure detection and continuous monitoring to younger patients, who are already able to benefit from rapid EEG access provided by our proprietary hardware. In addition, we have received 510(k) clearance for and are continuing to develop a headset that will be able to accommodate a head size range appropriate for neonate and infant patients, which have different needs than adult and pediatric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invest in developing algorithms for new indications. Since 2022, we have developed two separate AI-powered algorithms that have been designated as Breakthrough Devices by the FDA. These designations include diagnosis of electrographic status epilepticus and detection of delirium.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latest generation of our Clarity algorithm received FDA clearance and we have since begun actively marketing alongside our other FDA-cleared hardware and software solutions. It is the first FDA-cleared software indicated for the diagnosis of ESE. Our delirium and ischemic stroke algorithms remain under development, with ongoing research and active clinical studies. Beyond our current indications, we continue to explore other potential opportunities to leverage our AI algorithms to improve neurological care.</w:t>
      </w:r>
    </w:p>
    <w:p>
      <w:pPr>
        <w:pStyle w:val="TextBody"/>
        <w:bidi w:val="0"/>
        <w:spacing w:before="360" w:after="283"/>
        <w:jc w:val="both"/>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headband and recorder from our facility in Sunnyvale, California. We have partnered with two ISO 13485 certified contract manufacturers (“CM”) in China to manufacture and assemble our headband, with final inspection and labeling completed at our facility. See “Supply Agreements” for more information regarding our agreements with these CMs. The components for our recorder are procured from various suppliers and shipped to our facility for final assembly. We believe our current manufacturing capacity is sufficient to meet our current and expected near term growth. We also maintain incremental supply of finished goods, subassembly, and individual components for both the headband and recorder to mitigate potential supply disruptions.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registered with the FDA as a medical device manufacturer and licensed by the State of California to manufacture and distribute medical devices. We are required to manufacture our products in compliance with the FDA’s Quality System Regulation (21 C.F.R. Part 820). We have been ISO 13485 certified since January 2018 with a recertification audit occurring in August 2023. To date, no major non-conformities have been identified in any FDA or ISO audit.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employ a rigorous supplier assessment, qualification, and selection process targeted to suppliers that meet the requirements of the FDA and the International Organization for Standardization and quality standards supported by internal policies and procedures. Our quality assurance process monitors supplier performance through qualification and periodic supplier reviews and audits.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Headband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two primary CMs in China to complete the manufacturing, primary assembly, and inspection of our headband. The CMs ship the assembled headbands to our facility in Sunnyvale, California for final processing, inspection, and labeling. We have redundant vendors for major components or subassemblies of the headband. </w:t>
      </w:r>
    </w:p>
    <w:p>
      <w:pPr>
        <w:pStyle w:val="TextBody"/>
        <w:bidi w:val="0"/>
        <w:spacing w:before="360" w:after="283"/>
        <w:jc w:val="left"/>
        <w:rPr>
          <w:rFonts w:ascii="Times New Roman" w:hAnsi="Times New Roman"/>
          <w:sz w:val="20"/>
        </w:rPr>
      </w:pPr>
      <w:r>
        <w:rPr>
          <w:rFonts w:ascii="Times New Roman" w:hAnsi="Times New Roman"/>
          <w:b/>
          <w:i/>
          <w:color w:val="000000"/>
          <w:sz w:val="20"/>
        </w:rPr>
        <w:t>Recorder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recorder comprises three primary components: a printed circuit board, a battery pack and an LCD screen. We have redundant vendors for major components of the recorder, other than the LCD screen, and recorders are assembled, tested and packaged at our facility in Sunnyvale, California.</w:t>
      </w:r>
    </w:p>
    <w:p>
      <w:pPr>
        <w:pStyle w:val="TextBody"/>
        <w:bidi w:val="0"/>
        <w:spacing w:before="360" w:after="283"/>
        <w:jc w:val="both"/>
        <w:rPr>
          <w:rFonts w:ascii="Times New Roman" w:hAnsi="Times New Roman"/>
          <w:sz w:val="20"/>
        </w:rPr>
      </w:pPr>
      <w:r>
        <w:rPr>
          <w:rFonts w:ascii="Times New Roman" w:hAnsi="Times New Roman"/>
          <w:b/>
          <w:color w:val="000000"/>
          <w:sz w:val="20"/>
        </w:rPr>
        <w:t>Supply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2022, we entered into a corporate supply agreement with Shenzhen Everwin Precision Technology Co., Ltd. (“Shenzhen”), a CM based in China, for the supply of our small and large headbands, pursuant to which we make purchases on a purchase order basis. The terms of the supply agreement were subsequently amended in March 2023 (as amended, the “Everwin Agreement”). The Everwin Agreement was effective beginning on January 10, 2022 with an initial term extending to January 2025, which automatically renews for additional one-year periods. The automatic renewals are subject to either party’s right to terminate the Everwin Agreement without cause by providing notice at least 120 days prior to expiration of the initial term or any one-year renewal period. Either party may terminate the Everwin Agreement if the other party materially breaches the agreement and fails to cure the breach within 30 days after notice of such breach from the terminating party. We may terminate the Everwin Agreement for convenience upon 30 days prior written notice. The Everwin Agreement grants us a perpetual, irrevocable, worldwide, non-exclusive, royalty-free,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fully paid up, transferable right and license to all information and materials necessary for the manufacture, supply and support of the products that Shenzhen provides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also entered into a corporate supply agreement with Ease Care, a CM under the management of Luxen and Kersen based in China, pursuant to which we expect to begin making purchases on a purchase order basis in the second half of 2024 for the supply of our small and large headbands (the “Ease Care Agreement”). The Ease Care Agreement was effective beginning in February 2024 with an initial term of two years, which automatically renews for additional one-year periods. The automatic renewals are subject to either party’s right to terminate the Ease Care Agreement without cause by providing notice at least 120 days prior to expiration of the initial term or any one-year renewal period. Either party may terminate the Ease Care Agreement if the other party materially breaches the agreement and fails to cure the breach within 30 days after notice of such breach from the terminating party. We may terminate the Ease Care Agreement for convenience upon 90 days prior notice. The Ease Care Agreement grants us a perpetual, irrevocable, worldwide, non-exclusive, royalty-free, fully paid up, transferable right and license to all information and materials necessary for the manufacture, supply and support of the products that Ease Care provides to us.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competition that we face is from conventional EEG systems, which are used in the majority of hospitals in the United States. These systems are primarily used for outpatient epilepsy diagnosis but are often deployed to the acute care setting for use in patients at risk of seizure. The two primary providers of conventional EEG systems in the United States are Natus Medical Incorporated and Nihon Kohden Corporation.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face competition from companies that have designed or aim to design rapid EEG systems or EEG systems specifically for use in the acute care setting, including Nihon Kohden, and Natus. These products focus on one or more aspects of the shortcomings of conventional EEG in the acute care setting including time to setup, reliance on specially trained technicians, size of capital equipment, or lack of bedside diagnosis and monitoring capabilities.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primary competitive factors in the acute EEG market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reliable EEG signal quality;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algorithm sensitivity or specificity;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ease of use (including required training);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 to diagnosis;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monitoring features;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support and service;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within hospital IT systems and clinical workflows;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strength and volume of clinical evidence;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benefits and cost savings;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pricing and reimbursement strategies;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manage infection risk;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form factor impact on patient positioning;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technology enhancements (such as length of battery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we have established a compelling value proposition to compete favorably in this market. </w:t>
      </w:r>
    </w:p>
    <w:p>
      <w:pPr>
        <w:pStyle w:val="TextBody"/>
        <w:bidi w:val="0"/>
        <w:spacing w:before="360" w:after="283"/>
        <w:jc w:val="both"/>
        <w:rPr>
          <w:rFonts w:ascii="Times New Roman" w:hAnsi="Times New Roman"/>
          <w:sz w:val="20"/>
        </w:rPr>
      </w:pPr>
      <w:r>
        <w:rPr>
          <w:rFonts w:ascii="Times New Roman" w:hAnsi="Times New Roman"/>
          <w:b/>
          <w:color w:val="000000"/>
          <w:sz w:val="20"/>
        </w:rPr>
        <w:t>Stanford</w:t>
      </w:r>
      <w:r>
        <w:rPr>
          <w:rFonts w:ascii="Times New Roman" w:hAnsi="Times New Roman"/>
          <w:color w:val="000000"/>
          <w:sz w:val="20"/>
        </w:rPr>
        <w:t xml:space="preserve"> </w:t>
      </w:r>
      <w:r>
        <w:rPr>
          <w:rFonts w:ascii="Times New Roman" w:hAnsi="Times New Roman"/>
          <w:b/>
          <w:color w:val="000000"/>
          <w:sz w:val="20"/>
        </w:rPr>
        <w:t>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2015, we entered into a license agreement with the Board of Trustees of the Leland Stanford Junior University (“Stanford University”), as amended in September 2015, April 2017, and March 2022 (the “Stanford Agreement”). Pursuant to the Stanford Agreement, Stanford University granted to us a worldwide, term-limited exclusive license under certain patent rights owned or controlled by Stanford University to make, use and sell certain portable devices in connection with brain wave activity.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consideration for the license granted under the Stanford Agreement, we paid a non-refundable license issue fee of $42,000 in two equal installments and issued 221,712 shares of our common stock, of which 158,880 shares were issued to Stanford University and 62,832 shares were issued to the inventors of the licensed patents under the Stanford Agreement (one of whom was Josef Parvizi, M.D., Ph.D., who is our co-founder and board member). We paid Stanford University $36,000 upon the achievement of a specific commercial milestone event in 2018. There are no additional milestone payments that are due under the agreement. We are paying Stanford University an annual license maintenance fee of $20,000 that is creditable against the mid-single digit percentage royalty payment that we are required to make to Stanford University, which is based on the net sales of licensed products covered by the licensed patent rights or otherwise includes certain other technologies that Stanford University provided to us pursuant to the terms of the Stanford Agreement. We also agreed to pay Stanford University a low twenties percentage range of non-royalty sublicense related revenue that we receive from third party sublicensees. We agreed to pay Stanford University $100,000 prior to any assignment of the license, including if we are acquired by a third party or if we sell all or substantially all of our assets to which the Stanford Agreement relates.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Stanford Agreement is exclusive until June 15, 2025. In a March 2022 amendment, we agreed to pay Stanford an option fee of $80,000 to extend exclusivity for the life of the patent, of which $60,000 was paid as of December 31, 2024, and the remaining balance of $20,000 is due in April 2025, which will be waived if we exercise the option at any point until June 15, 2025, by paying an option exercise fee of $250,000. If we decide not to pay the option exercise fee, our rights will convert to a non-exclusive license.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Stanford Agreement is subject to the Bayh-Dole Act, which provides federal agencies with certain march-in rights and imposes certain domestic manufacturing requirements. See the section titled “Risk Factors—Risks Related to Our Intellectual Property” for a more comprehensive description of risks related to our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Stanford University may terminate the Stanford Agreement in the event, we (i) are delinquent on any report or payment; (ii) are not diligently developing and commercializing the licensed products; (iii) are in breach of the agreement; or (iv) provide any false report, and any of these events remains uncured for 30 days following written notice of such event. We may terminate the Stanford Agreement at any time upon 30 days’ advance written notice to Stanford University.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protect the intellectual property and proprietary technology that we consider important to our business. We pursue patent applications that cover our technologies and product candidates and methods of using the same, as well as any other relevant inventions and improvements that are considered commercially important to the development of our business. Our success depends in part on our ability to: (a) obtain, maintain, protect and enforce intellectual property and other proprietary rights for our current and future technology, inventions, improvements, and know-how we consider important to our business, (b) preserve the confidentiality of our trade secrets, (c) operate without infringing, misappropriating, or violating the intellectual property and other proprietary rights of others, and (d) prevent others from infringing, misappropriating, or violating our intellectual property and other proprietary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developed, and are continuing to develop, a comprehensive intellectual property portfolio related to EEG monitoring in the acute care setting, including system hardware and algorithms for seizure detection as well as other medical conditions. As of December 31, 2024, our patent portfolio contains 42 total issued utility patents and pending utility patent applications, and includes patents and patent applications that are solely owned by us, exclusively licensed from Stanford University, and co-owned with Stanford University. Of the 42 total patents and patent applications, 16 patents and patent applications are directed to the Ceribell System, eight patents and patent applications are directed to EEG algorithms for seizure detection that run on the Ceribell System, and nine patents and patent applications are directed to EEG sonification. The 16 Ceribell System patents and patent applications are solely owned by us and include four issued U.S. patents, which expire in 2036 or 2038, four pending U.S. patent applications, and eight foreign patents and patent applications filed in countries including China and Hong Kong, Europe, and Japan. Of these eight foreign patents and patent applications, one patent is granted in Europe, one patent is granted in China, and two patents are granted in Japan. The eight EEG algorithm patents and patent applications for seizure detection are solely owned by the company and include one issued U.S. patent, which expires in 2039, one pending U.S. patent application, and six pending foreign patent applications filed in Australia, Canada, China and Hong Kong, Europe, and Japan. The nine EEG sonification patents and patent applications include six issued U.S. patents and three pending U.S. patent applications. Of the six issued U.S. patents, one patent expiring in 2039 is solely owned by us, four patents expiring between 2034 and 2036 are exclusively licensed from Stanford University, and one patent expiring in 2036 is co-owned with Stanford University. We continue to seek to expand the scope of our patent protection for our technology.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use of the foregoing exclusively licensed patents and pending patent applications is subject to the terms and conditions of the Stanford Agreement. See the section titled “—Stanford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patents, we also rely upon trademarks, trade secrets, know-how, and continuing technological innovation to develop and maintain our competitive position. We maintain and are seeking registered trademarks. We have certain know-how and trade secrets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relating to our EEG monitoring technology. We rely on trade secrets to protect certain aspects of our technology related to our current and future seizure detection algorithms. However, trade secrets can be difficult to protect. We seek to protect our proprietary information, including trade secrets, in part, by using confidentiality agreements with our commercial partners, collaborators, employees and consultants, and invention assignment agreements with our employees. We also have a trade secret policy that our employees are required to comply with, and have confidentiality agreements and/or invention assignment agreements with our employees, commercial partners and consultants. We also seek to preserve the integrity and confidentiality of our data and trade secrets by maintaining the physical security of our premises and physical and electronic security of our information technology systems. See the section titled “Risk Factors—Risks Related to Our Intellectual Property” for a more comprehensive description of risks related to our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Data 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and operations are subject to extensive regulation by the FDA and other federal and state authorities in the United States, as well as comparable authorities in foreign jurisdictions. Our product candidates are subject to regulation as medical devices in the United States under the Federal Food, Drug, and Cosmetic Act (the “FDCA”), as implemented and enforced by the FDA.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United States Regulation of Medical Devices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FDA premarket clearance and approval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 includes devices with the lowest risk to the patient for which safety and effectiveness can be assured by adherence to the FDA’s General Controls for medical devices, which include compliance with the applicable portions of the Quality System Regulation (the “QSR”), facility registration and product listing, reporting of adverse medical events, and truthful and non-misleading labeling, advertising, and promotional materials. Class II devices are subject to the FDA’s General Controls, as well as any special controls deemed necessary by the FDA to ensure the safety and effectiveness of the device. These special controls can include performance standards, post-market surveillance, patient registries and FDA guidance documents. Devices deemed by the FDA to pose the greatest risks, such as life-sustaining, life-supporting and some implantable devices, devices that have a new intended use, or devices that use advanced technology that is not substantially equivalent to that of a legally marketed device, are placed in Class III, requiring approval of a PMA.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Some pre-amendment devices are unclassified, but are subject to FDA’s premarket notification and clearance process in order to be commercially distributed. The products we currently market are classified as Class II devices and have received FDA marketing authorization through the 510(k) clearance process.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510(k) Clearance marketing pathway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FDA collects user fees for certain medical device submissions and annual fees and for medical device establishments. </w:t>
      </w:r>
    </w:p>
    <w:p>
      <w:pPr>
        <w:pStyle w:val="TextBody"/>
        <w:bidi w:val="0"/>
        <w:spacing w:before="240" w:after="283"/>
        <w:jc w:val="both"/>
        <w:rPr>
          <w:rFonts w:ascii="Times New Roman" w:hAnsi="Times New Roman"/>
          <w:sz w:val="20"/>
        </w:rPr>
      </w:pPr>
      <w:r>
        <w:rPr>
          <w:rFonts w:ascii="Times New Roman" w:hAnsi="Times New Roman"/>
          <w:color w:val="000000"/>
          <w:sz w:val="20"/>
        </w:rPr>
        <w:t>If the FDA agrees that the device is substantially equivalent to a predicate device currently on the market, it will grant 510(k) clearance to commercially market the device. If the FDA determines that the device is “not substantially equivalent” to a previously-cleared device, the device is automatically designated as a Class III device. The device sponsor must then fulfill more rigorous PMA requirements. The PMA process requires that the manufacturer demonstrate that the device is safe and effective for its intended uses, which generally requires the submission of extensive data, including results from pre-clinical studies and human clinical trials. A PMA must also contain a full description of the device and its components, the methods, facilities, and controls used for manufacturing, and proposed labeling. The PMA process is burdensome, and in practice, the FDA’s review of a PMA application may take up to several years following initial submission. Alternatively, a manufacturer can request a risk-based classification determination for a novel device in accordance with the “</w:t>
      </w:r>
      <w:r>
        <w:rPr>
          <w:rFonts w:ascii="Times New Roman" w:hAnsi="Times New Roman"/>
          <w:i/>
          <w:color w:val="000000"/>
          <w:sz w:val="20"/>
        </w:rPr>
        <w:t>de novo</w:t>
      </w:r>
      <w:r>
        <w:rPr>
          <w:rFonts w:ascii="Times New Roman" w:hAnsi="Times New Roman"/>
          <w:color w:val="000000"/>
          <w:sz w:val="20"/>
        </w:rPr>
        <w:t xml:space="preserve">” process, described below. We currently do not market any medical devices pursuant to a PMA.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After a device receives 510(k) clearance or </w:t>
      </w:r>
      <w:r>
        <w:rPr>
          <w:rFonts w:ascii="Times New Roman" w:hAnsi="Times New Roman"/>
          <w:i/>
          <w:color w:val="000000"/>
          <w:sz w:val="20"/>
        </w:rPr>
        <w:t xml:space="preserve">de novo </w:t>
      </w:r>
      <w:r>
        <w:rPr>
          <w:rFonts w:ascii="Times New Roman" w:hAnsi="Times New Roman"/>
          <w:color w:val="000000"/>
          <w:sz w:val="20"/>
        </w:rPr>
        <w:t xml:space="preserve">classification,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hAnsi="Times New Roman"/>
          <w:i/>
          <w:color w:val="000000"/>
          <w:sz w:val="20"/>
        </w:rPr>
        <w:t xml:space="preserve">de novo </w:t>
      </w:r>
      <w:r>
        <w:rPr>
          <w:rFonts w:ascii="Times New Roman" w:hAnsi="Times New Roman"/>
          <w:color w:val="000000"/>
          <w:sz w:val="20"/>
        </w:rPr>
        <w:t xml:space="preserve">classification. The FDA requires each manufacturer to determine whether the proposed change requires submission of a 510(k), </w:t>
      </w:r>
      <w:r>
        <w:rPr>
          <w:rFonts w:ascii="Times New Roman" w:hAnsi="Times New Roman"/>
          <w:i/>
          <w:color w:val="000000"/>
          <w:sz w:val="20"/>
        </w:rPr>
        <w:t xml:space="preserve">de novo </w:t>
      </w:r>
      <w:r>
        <w:rPr>
          <w:rFonts w:ascii="Times New Roman" w:hAnsi="Times New Roman"/>
          <w:color w:val="000000"/>
          <w:sz w:val="20"/>
        </w:rPr>
        <w:t xml:space="preserve">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w:t>
      </w:r>
      <w:r>
        <w:rPr>
          <w:rFonts w:ascii="Times New Roman" w:hAnsi="Times New Roman"/>
          <w:i/>
          <w:color w:val="000000"/>
          <w:sz w:val="20"/>
        </w:rPr>
        <w:t xml:space="preserve">de novo </w:t>
      </w:r>
      <w:r>
        <w:rPr>
          <w:rFonts w:ascii="Times New Roman" w:hAnsi="Times New Roman"/>
          <w:color w:val="000000"/>
          <w:sz w:val="20"/>
        </w:rPr>
        <w:t>request is granted. In these circumstances, the manufacturer may be subject to significant regulatory fines or penalties.</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De novo classification process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w:t>
      </w:r>
      <w:r>
        <w:rPr>
          <w:rFonts w:ascii="Times New Roman" w:hAnsi="Times New Roman"/>
          <w:i/>
          <w:color w:val="000000"/>
          <w:sz w:val="20"/>
        </w:rPr>
        <w:t xml:space="preserve">de novo </w:t>
      </w:r>
      <w:r>
        <w:rPr>
          <w:rFonts w:ascii="Times New Roman" w:hAnsi="Times New Roman"/>
          <w:color w:val="000000"/>
          <w:sz w:val="20"/>
        </w:rPr>
        <w:t xml:space="preserve">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(the “FDASIA”) manufacturers may request </w:t>
      </w:r>
      <w:r>
        <w:rPr>
          <w:rFonts w:ascii="Times New Roman" w:hAnsi="Times New Roman"/>
          <w:i/>
          <w:color w:val="000000"/>
          <w:sz w:val="20"/>
        </w:rPr>
        <w:t xml:space="preserve">de novo </w:t>
      </w:r>
      <w:r>
        <w:rPr>
          <w:rFonts w:ascii="Times New Roman" w:hAnsi="Times New Roman"/>
          <w:color w:val="000000"/>
          <w:sz w:val="20"/>
        </w:rPr>
        <w:t xml:space="preserve">classification directly without first submitting a 510(k) pre-market notification to the FDA and receiving a not-substantially-equivalent determination. </w:t>
      </w:r>
      <w:r>
        <w:rPr>
          <w:rFonts w:ascii="Times New Roman" w:hAnsi="Times New Roman"/>
          <w:i/>
          <w:color w:val="000000"/>
          <w:sz w:val="20"/>
        </w:rPr>
        <w:t xml:space="preserve">De novo </w:t>
      </w:r>
      <w:r>
        <w:rPr>
          <w:rFonts w:ascii="Times New Roman" w:hAnsi="Times New Roman"/>
          <w:color w:val="000000"/>
          <w:sz w:val="20"/>
        </w:rPr>
        <w:t>classification requests are subject to the payment of user fees.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Under FDASIA, FDA is required to classify the device within 120 days following receipt of the </w:t>
      </w:r>
      <w:r>
        <w:rPr>
          <w:rFonts w:ascii="Times New Roman" w:hAnsi="Times New Roman"/>
          <w:i/>
          <w:color w:val="000000"/>
          <w:sz w:val="20"/>
        </w:rPr>
        <w:t xml:space="preserve">de novo </w:t>
      </w:r>
      <w:r>
        <w:rPr>
          <w:rFonts w:ascii="Times New Roman" w:hAnsi="Times New Roman"/>
          <w:color w:val="000000"/>
          <w:sz w:val="20"/>
        </w:rPr>
        <w:t xml:space="preserve">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w:t>
      </w:r>
      <w:r>
        <w:rPr>
          <w:rFonts w:ascii="Times New Roman" w:hAnsi="Times New Roman"/>
          <w:i/>
          <w:color w:val="000000"/>
          <w:sz w:val="20"/>
        </w:rPr>
        <w:t xml:space="preserve">de novo </w:t>
      </w:r>
      <w:r>
        <w:rPr>
          <w:rFonts w:ascii="Times New Roman" w:hAnsi="Times New Roman"/>
          <w:color w:val="000000"/>
          <w:sz w:val="20"/>
        </w:rPr>
        <w:t xml:space="preserve">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w:t>
      </w:r>
      <w:r>
        <w:rPr>
          <w:rFonts w:ascii="Times New Roman" w:hAnsi="Times New Roman"/>
          <w:i/>
          <w:color w:val="000000"/>
          <w:sz w:val="20"/>
        </w:rPr>
        <w:t xml:space="preserve">de novo </w:t>
      </w:r>
      <w:r>
        <w:rPr>
          <w:rFonts w:ascii="Times New Roman" w:hAnsi="Times New Roman"/>
          <w:color w:val="000000"/>
          <w:sz w:val="20"/>
        </w:rPr>
        <w:t xml:space="preserve">classification, any modification that could significantly affect its safety or efficacy, or that would constitute a major change or modification in its intended use, will require a new 510(k) clearance or, depending on the modification, another </w:t>
      </w:r>
      <w:r>
        <w:rPr>
          <w:rFonts w:ascii="Times New Roman" w:hAnsi="Times New Roman"/>
          <w:i/>
          <w:color w:val="000000"/>
          <w:sz w:val="20"/>
        </w:rPr>
        <w:t xml:space="preserve">de novo </w:t>
      </w:r>
      <w:r>
        <w:rPr>
          <w:rFonts w:ascii="Times New Roman" w:hAnsi="Times New Roman"/>
          <w:color w:val="000000"/>
          <w:sz w:val="20"/>
        </w:rPr>
        <w:t>request or even PMA approval.</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Medical device clinical trials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Clinical trials are sometimes required to support 510(k) or </w:t>
      </w:r>
      <w:r>
        <w:rPr>
          <w:rFonts w:ascii="Times New Roman" w:hAnsi="Times New Roman"/>
          <w:i/>
          <w:color w:val="000000"/>
          <w:sz w:val="20"/>
        </w:rPr>
        <w:t xml:space="preserve">de novo </w:t>
      </w:r>
      <w:r>
        <w:rPr>
          <w:rFonts w:ascii="Times New Roman" w:hAnsi="Times New Roman"/>
          <w:color w:val="000000"/>
          <w:sz w:val="20"/>
        </w:rPr>
        <w:t xml:space="preserve">submissions.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presents a potential for serious risk to a patient in some other way.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Regardless of the degree of risk presented by the medical device, clinical studies must be approved by, and conducted under the oversight of, an Institutional Review Board (the “IRB”), for each clinical site. The IRB is responsible for the initial and continuing review of the clinical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such as strategic business decisions or a belief that the risks to study subjects may outweigh the anticipated benefits.</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Expedited development and review programs</w:t>
      </w:r>
    </w:p>
    <w:p>
      <w:pPr>
        <w:pStyle w:val="TextBody"/>
        <w:bidi w:val="0"/>
        <w:spacing w:before="120" w:after="283"/>
        <w:jc w:val="both"/>
        <w:rPr>
          <w:rFonts w:ascii="Times New Roman" w:hAnsi="Times New Roman"/>
          <w:sz w:val="20"/>
        </w:rPr>
      </w:pPr>
      <w:r>
        <w:rPr>
          <w:rFonts w:ascii="Times New Roman" w:hAnsi="Times New Roman"/>
          <w:color w:val="000000"/>
          <w:sz w:val="20"/>
        </w:rPr>
        <w:t>Following passage of the 21</w:t>
      </w:r>
      <w:r>
        <w:rPr>
          <w:rFonts w:ascii="Times New Roman" w:hAnsi="Times New Roman"/>
          <w:color w:val="000000"/>
          <w:sz w:val="13"/>
        </w:rPr>
        <w:t>st</w:t>
      </w:r>
      <w:r>
        <w:rPr>
          <w:rFonts w:ascii="Times New Roman" w:hAnsi="Times New Roman"/>
          <w:color w:val="000000"/>
          <w:sz w:val="20"/>
        </w:rPr>
        <w:t xml:space="preserve">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PMA approval, 510(k) clearance and </w:t>
      </w:r>
      <w:r>
        <w:rPr>
          <w:rFonts w:ascii="Times New Roman" w:hAnsi="Times New Roman"/>
          <w:i/>
          <w:color w:val="000000"/>
          <w:sz w:val="20"/>
        </w:rPr>
        <w:t xml:space="preserve">de novo </w:t>
      </w:r>
      <w:r>
        <w:rPr>
          <w:rFonts w:ascii="Times New Roman" w:hAnsi="Times New Roman"/>
          <w:color w:val="000000"/>
          <w:sz w:val="20"/>
        </w:rPr>
        <w:t>classification. The program is available for medical devices that meet certain eligibility criteria, including that the device provides more effective treatment or diagnosis of life-threatening or irreversibly debilitating diseases or conditions, and that: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more efficient and flexible clinical study design; and prioritized review of premarket submissions. When reviewing Breakthrough Device Designation requests, the FDA may require a combination of literature or preliminary bench, animal or clinical data to demonstrate a reasonable likelihood of clinical and technological success. Receiving a Breakthrough Device Designation from the FDA does not guarantee that the FDA will grant marketing authorization for the device.</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Post-market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registration and device listing with the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labeling regulations and FDA prohibitions against the promotion of investigational products, or the promotion of “off-label” uses of cleared or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related to promotional activities;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approval of product modifications to cleared devices or devices authorized through the de novo classification process that could significantly affect safety or effectiveness, or that would constitute a major change in intended use of such devices, or approval of certain modifications to PMA-approved devices;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recall authority, whereby the agency can order device manufacturers to recall from the market a product that is in violation of governing laws and regulations;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Failure to maintain compliance with the QSR requirements could result in the shutdown of, or restrictions on, manufacturing operations and the recall or seizure of marketed products.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letters, untitled letters, it has come to our attention letters, 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withdrawals, or administrative detention or product seizures;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refusing or delaying requests for 510(k) marketing clearance or PMA approvals of new products or modified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withdrawing 510(k) clearances or PMA approvals that have already been granted;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grant export approvals for devices being shipped to foreign markets;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regulation by the California Department of Public Health Food and Drug Branch (“FDB”) through the Medical Device Safety Program. We must maintain a California Medical Device Manufacturing license. Our facilities may be subjected to scheduled or unscheduled inspections by the FDB.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we are subject to a number of federal and state healthcare regulatory laws that restrict business practices in the healthcare industry. These laws include, but are not limited to, federal and state anti-kickback, false claims, and other healthcare fraud and abuse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false claims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federal government. A claim includes “any request or demand” for money or property presented to the government. Actions under the civil False Claims Act may be brought by the Attorney General or as a qui tam action by a private individual in the name of the government. Moreover, a claim including items or services resulting from a violation of the federal Anti-Kickback Statute constitutes a false or fraudulent claim for purposes of the federal civil False Claims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impose requirements relating to the privacy, security and transmission of individually identifiable health information on certain covered healthcare providers, health plans, and healthcare clearinghouses, as well as business associates,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states in which we operate have also adopted fraud and abuse laws similar to those described above. The scope of these laws and the interpretations of them vary from state to state and are enforced by state courts and regulatory authorities, each with broad discretion. Some state fraud and abuse laws apply to items or services reimbursed by any payer, including patients and commercial insurers, not just those reimbursed by a federally funded healthcare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Coverage and Reimbursement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our commercial success depends in part on the extent to which governmental authorities, private health insurers and other third-party payers provide coverage for and establish adequate reimbursement levels for our products and related services. Use of the Ceribell System is reimbursed under existing physician and hospital codes. We do not bill any third-party payers for the Ceribell System. Instead, we invoice healthcare providers, and the cost is bundled into the reimbursement received by healthcare providers when the Ceribell System is used. Failure by physicians, hospitals, and other users of our products to obtain adequate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from third-party payers for services performed with our products, or adverse changes in government and private third-party payers’ coverage and reimbursement policies, could adversely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Coverage and reimbursement for use of the Ceribell System can differ significantly from payer to payer. Third-party payers are increasingly auditing and challenging the prices charged for medical products and services, with concern for upcoding, miscoding, using inappropriate modifiers, or billing for inappropriate care settings. Some third-party payers must approve coverage for new or innovative devices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uncertainties surrounding coverage policies, there are periodic changes to reimbursement levels. Third-party payers regularly update reimbursement amounts and, from time to time, revise the methodologies used to determine reimbursement amounts. These changes include routine updates to payments to hospitals under the IPPS. These updates could directly impact the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overall escalating cost of medical products and services being paid for by the government and private health insurance has led to, and will continue to lead to, increased pressures on the healthcare and medical device industries to reduce the costs of products and services. Third-party payers are developing increasingly sophisticated methods of controlling healthcare costs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do not currently sell into international markets, we note that reimbursement and healthcare payment systems vary significantly by country, and many countries have instituted price ceilings on specific product lines and procedures. There can be no assurance that our products will be considered cost-effective by third party payers, that an adequate level of reimbursement will be available or that the third-party payers’ reimbursement policies will not adversely affect our ability to sell our products profitably. More and more, local, product-specific reimbursement law is applied as an overlay to medical device regulation, which has provided an additional layer of clearance requirements.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payers and providers are instituting and the effect of any healthcare reform initiative implemented in the future could impact our revenue from the sale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implementation of the Affordable Care Act (the “ACA”) in the United States, for example, substantially changed healthcare financing and delivery by both governmental and private insurers, and significantly affected medical device manufacturers.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a judicial challenge to the ACA brought by several states without specifically ruling on its constitutionality.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For example, the Budget Control Act of 2011, among other things, reduced Medicare payments to providers, effective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we had 281 full-time employees. None of our employees are represented by a labor union or party to a collective bargaining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capital objectives include retaining and incentivizing existing employees and recruiting and integrating new employees. The principal purposes of our compensation program, including our equity incentive plans, are to attract, retain and appropriately motivate employees, consultants and directors through the granting of stock-based compensation awards and cash-based bonus awards.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headquarters is located at 360 N. Pastoria Avenue, Sunnyvale, California 94085. Our telephone number is (800) 436-0826. We use our website at www.ceribell.com to communicate important information about our company, including news releases and financial information. We also make available on our investor relations webpage, free of charge, copies of our Securities and Exchange Commission (“SEC”) filings and submissions, which can be found at the SEC’s website, www.sec.gov, as soon as reasonably practicable after electronically filing or furnishing such documents with the SEC. Stockholders may also request copies of these documents by writing to our Corporate Secretary at the address above. Website references are provided throughout this document for convenience only. The contents of these websites do not constitute a part of this Annual Report and shall not be deemed incorporated by reference into this Annual Report unless expressly noted.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 w:name="risk_factors"/>
      <w:bookmarkEnd w:id="3"/>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carefully consider the risks described below, as well as the other information in this Annual Report, including our financial statements and the related notes 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r>
        <w:rPr>
          <w:rFonts w:ascii="Times New Roman" w:hAnsi="Times New Roman"/>
          <w:i/>
          <w:color w:val="000000"/>
          <w:sz w:val="20"/>
        </w:rPr>
        <w:t>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growing to 281 employees in 2024. Accordingly, we have a limited operating history, which makes evaluation of our future prospects difficult. In that time, we have had periods of significant growth in revenue and employees, which have required us to scale the size of our organization as our business has rapidly changed. Any growth that we experience in the future will require us to further expand our sales and marketing and research and development personnel (including those with software and hardware expertise), our manufacturing operations, and our general and administrative infrastructure. While our quarterly revenues have generally increased each quarter since our commercial launch, our results of operations have fluctuated in the past, and our future quarterly and annual results of operations may fluctuate as we focus on increasing the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place significant demands on our management and other resources and will require us to continue developing and improving our operational, financial and other internal controls, reporting systems, and procedures. In particular, continued growth increases the challenges involved in a number of areas, including recruiting and retaining sufficient skilled personnel, providing adequate training and supervision to maintain our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any changes in scale, related quality, or compliance assurance, including those related to any future additional indications for the Ceribell System, will be successfully implemented or that appropriate personnel will be available to facilitate the management of and changes to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business through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For the fiscal years ended December 31, 2024 and 2023, we incurred net losses of $40.5 million and $29.5 million, respectively. As of December 31, 2024, we had an accumulated deficit of $166.9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 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produces by the Ceribell System. In addition,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our algorithm and overall system, the technologies we work with are novel and complex, and we cannot assure you that there will not be additional negative 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and a number of smaller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our competitors may be able to offer products that are more technologically advanced, cost-effective, or attractive than the Ceribell System, and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existing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headbands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headbands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dependent on international manufacturers and suppliers, which exposes us to foreign operational risks that may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manufacturers and third-party suppliers that are based outside of the United States, including in China, who complete the primary assembly and initial inspection of all of our headbands and supply a significant portion of the components used in the manufacturing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reliance on an international supply chain and operations exposes us to risks and uncertainties,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or material delays or disruption, including logistics challenges such as delays or disruptions in shipping;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prices for components used in the manufacturing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quality of supplies and finished product;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protection measures, tariffs, and other duties, especially in light of trade disputes between the United States and several foreign countries, including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social, and economic instability;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outbreak of contagious diseases;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laws and business practices that favor local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and limitations in telecommunication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import and export license requirements and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in the protection of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inflation and/or deflation;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threat of nationalization and expropriation;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controls, currency restrictions, and fluctuations in currency values;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adverse tax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supplies being purchased through purchase orders without long-term guaranteed commitments from our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suppliers ceasing to do business with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disputes, terrorism, vandalism, natural disasters, or work stoppages.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has recently signaled its intention to change U.S. trade policy, including potentially renegotiating or terminating existing trade agreements and leveraging tariffs. In February 2025, the U.S. imposed additional tariffs on imports from China and announced and subsequently paused implementation of tariffs on imports from Canada and Mexico. These additional tariffs, as well as a government’s adoption of “buy national” policies or retaliation by another government against such tariffs or policies have introduced significant uncertainty into the market and may affect the prices of and demand for the Company’s products, which could have a negative impact on the Company’s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any of these risks were to materialize, it could have a material adverse effect on our business, financial condition, results of operations, and prospects, including the potential costs of identifying new suppliers and/or new manufacturing partners and relocating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source and manufacture a substantial number of our products from third-party suppliers and manufacturers in China, which exposes us to risks inherent in doing business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source and manufacture a substantial number of our products from third-party suppliers and manufacturers in China. We rely on two primary contract manufacturers in China to complete the manufacturing, primary assembly, and inspection of our headband. In addition, we have a team of contractors who are employed by an agency in China and perform monitoring and quality inspection services at the facilities of our manufacturers in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suppliers and manufacturers in China expose us to political, legal, and economic risks. Our operations and the operations of our third-party suppliers and manufacturers in China may be adversely affected by deterioration of the U.S.-China relationship; adverse changes in U.S. economic and political policies relating to China (and vice versa), such as policies favoring domestically manufactured products; and changes in the United States and Chinese laws and regulations such as those related to, among other things, sanctions, taxation, import and export restrictions, tariffs, environmental protection, land use rights, intellectual property, currency controls, network security, labor and human rights practices, privacy, public health, and other matters. For example, in December 2021, the U.S. Congress enacted the Uyghur Forced Labor Prevention Act in an effort to prevent what it viewed as forced labor and human rights abuses in the Xinjiang Uyghur Autonomous Region (“XUAR”). If it is determined that our third-party suppliers and manufacturers produce or manufacture our components or products wholly or in part from the XUAR, then we could be prohibited from importing such components or products into the United States. In addition, the political, legal, and economic climate in China, both nationally and regionally, is fluid and unpredictable. Chinese trade regulations are in a state of flux, and we or our third-party suppliers and manufacturers in China may become subject to additional taxation, tariffs, and duties, including retaliatory trade restrictions. Sustained uncertainty about or worsening of tensions between the United States and China could also result in a global economic slowdown and long-term changes to global trade. Furthermore, the third parties we rely on in China may disclose our confidential information or intellectual property to competitors or third parties, which could result in the illegal distribution and sale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counterfeit versions of our products. If any of these events occur, our business, financial condition, results of operations, and prospects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with the rapid development of the Chinese economy, the cost of labor has increased and may continue to increase in the future. Our results of operations will be materially and adversely affected if the labor costs of our suppliers and manufacturers increase significantly and are passed on to us. In addition, our manufacturers and suppliers may not be able to find a sufficient number of qualified workers due to the intensely competitive and fluid market for skilled labor in China, which would negatively affect our manufacturers’ and suppliers’ ability to meet our needs. Any of these events may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result in requiring our employees to continue learning and adapting to new technologies, and us competing for highly skilled talent in a competitive market. Our operating results depend to a significant extent on our ability to anticipate and adapt to technological changes in the EEG monitoring market, maintain 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t>
      </w:r>
      <w:r>
        <w:rPr>
          <w:rFonts w:ascii="Times New Roman" w:hAnsi="Times New Roman"/>
          <w:i/>
          <w:color w:val="000000"/>
          <w:sz w:val="20"/>
        </w:rPr>
        <w:t>We face risks related to obtaining necessary foreign regulatory clearance or approvals</w:t>
      </w:r>
      <w:r>
        <w:rPr>
          <w:rFonts w:ascii="Times New Roman" w:hAnsi="Times New Roman"/>
          <w:color w:val="000000"/>
          <w:sz w:val="20"/>
        </w:rPr>
        <w:t xml:space="preserve">.” In addition, expansion into foreign markets will impose additional burdens on our executive and administrative personnel, finance and legal teams, sales and marketing teams, and general managerial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spend significant amounts on marketing and brand-building initiatives to acquire and retain customers, which may not be successful or cost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in marketing initiatives to increase market awareness of the Ceribell System and the prevalence of seizures in critically ill patient populations. Through our marketing and educational efforts, we reinforce the prevalence and severity of non-convulsive status epilepticus, the importance of prompt diagnosis and treatment, and the limitations of conventional EEG systems in the acute care setting. We believe our marketing programs are essential to increasing adoption of our system and expanding the use of EEG monitoring to a greater number of at-risk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developed robust marketing initiatives, we may fail to identify marketing opportunities that satisfy our anticipated return on marketing spend or accurately predict customer acquisition or product-related concerns. If any of our marketing efforts prove less successful than anticipated in attracting new or retaining existing customers, we may not be able to recover our marketing spend, and our rates of customer acquisition and/or customer retention may fail to meet market expectations, which could have a material adverse effect on our business, financial condition, results of operations, and prospects. Our marketing efforts may not result in increased sales of our products, and we may be unable to compete effectively in the long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believe that building a strong brand and developing and achieving broad awareness of the Ceribell System is critical to achieving market success. If any of our brand-building activities prove less successful than anticipated, or such activities are inhibited by the negative perceptions of healthcare professionals, including with respect to AI-enabled devices or reduced montage EEG in general, or the safety, reliability and efficacy of the Ceribell System, it could materially adversely impact our ability to attract new and retain existing customers and the rate of use of our products by existing customers. If this were to occur, we may not be able to recover our brand-building spend, and our rates of customer acquisition and retention and product usage may fail to meet market expectations, any of which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components, which are sourced from external third parties, and there is an inherent risk that defects may occur in the production of any of our products. Although we rely on the suppliers’ internal procedures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continued rapid growth could strain our personnel resources and infrastructure, and if we are unable to manage the anticipated growth of our business, our business, financial condition, results of operations, and prospects could be materially adversely effected.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in business. Any growth that we experience in the future will pose challenges to our organization, requiring us to expand our sales personnel, manufacturing, and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and unanticipated costs and disruptions to our operations. Additionally, rapid expansion could pose challenges to retaining our existing employees, for example, by requiring us to rely on overtime to increase capacity that could, in turn, result in greater employee attrition and/or a loss in productivity during the process of recruiting and training additional resources and add to our operating expenses. In addition, rapid and significant growth may strain our administrative and operational infrastructure, financial and management controls, and reporting systems and procedures. Our ability to manage our business and growth will depend on our ability to continue to improve our infrastructure, controls, systems, and procedures at a pace consistent with our growth. If we are unable to manage our growth effectively, it may be difficult for us to execute our business strategy and our business, financial condition, results of operations, and prospects may be materially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customers’ profit margin. In light of the potential additional associated cost,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contracted physicians to provide remote EEG interpretation services to certain customers must be structured in compliance with state laws prohibiting the corporate practice of medicine or fee splitting and could be found to violate such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physicians providing remote EEG interpretation services to certain customers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our practices or that other laws or regulations will not be enacted in the future that could have a material adverse effect on our business, financial condition, results of operations, and prospects. Regulatory authorities, state boards of medicine, state attorneys general, and other parties may assert that, despite the agreements through which we operate, we are nonetheless engaged in the provision of medical services and/or that our arrangements with the physicians constitute the unlawful practice of medicine and/or fee-splitting. If a jurisdiction’s prohibition on the corporate practice of medicine or fee-splitting is interpreted in a manner that is inconsistent with our practices, we would be required to restructure or terminate our arrangements with our employed and contracted physicians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adverse effect on our business, financial condition, results of operations, and prospects. State corporate practice and fee-splitting prohibitions also often impose penalties on healthcare professionals for aiding in the improper rendering of professional services, which could discourage physicians from providing reading services to our customers with whom we contract.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 xml:space="preserve">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2022, we received Breakthrough Device Designation from the FDA for the detection and monitoring of delirium using our Ceribell System.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detection and monitoring of delirium using our Ceribell System.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or have viewed such data in different ways than regulators. 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 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headband used as part of the Ceribell System may cause skin irritation to patients or break down sooner than expected. Use of the Ceribell System, including both the headband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healthcare professionals may misuse our products or use improper techniques if they are not adequately trained, potentially leading to injury and an increased risk of product liability. For example, healthcare professionals may misuse our single use, disposable headbands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International Organization for Standardization standards. This new final rule, referred to as the Quality Management System Regulation, will take effect on February 2, 2026. Accordingly, it is unclear the extent to which any other legislative or regulatory proposal,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headbands supplied by third-party manufacturers located in China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our products in compliance with the QSR, or if our or our third-party suppliers’ manufacturing facilities suffer disruptions, supply chain issues, machine failures, slowdowns, or disrepair, we may not be able to fulfill customer demand and our business would be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limited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relationships with contracted physicians to provide remote EEG reading services to certain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directly or indirectly with physicians to provide remote EEG reading services to certain customers. If these physicians terminate their contracts, we or our partners may not be able to contract with alternative physicians to provide such services in a timely manner, or at all, which would impact our ability to provide services to certain customers and could adversely affect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went into effect in May 2018 and governs the collection, use, disclosure, transfer, and other processing of personal data of individuals within the European Economic Area (the “EEA”) and imposes stringent requirements for data processors and controllers of such personal data or in the context of their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EU GDPR may result in regulatory investigations, reputational 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EU GDPR regulates transfers of personal data subject to the EU GDPR to third countries that have not been found to provide adequate protection to such personal data, including the United States, and the efficacy and longevity of current transfer mechanisms between the EEA, and the United States remains uncertain. In addition, since early 2021, after the end of the transition period following the United Kingdom’s departure from the European Union, the EU GDPR continues to apply in substantially equivalent form in the context of the United Kingdom under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United Kingdom General Data Protection Regulation and Data Protection Act 2018 (the “UK GDPR”), which imposes separate but similar obligations to those under the EU GDPR and comparable penalties, including fines of up to £17.5 million or 4% of a noncompliant company’s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supervisory authorities issue further guidance on personal data export mechanisms, including circumstances where the standard contractual clauses cannot be used, and/or start taking enforcement action, we could suffer additional costs, complaints and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AI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 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(confidentially,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 attacks and security incidents from time to time.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 Patent and Trademark Office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Our rights to use such intellectual property rights in our business are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2024, we had NOLs of approximately $127.1 million for federal income tax purposes and $126.9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Our venture loan and security agreement contains restrictions that limit our flexibility in operating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December 31, 2024, $20.0 million in aggregate principal amount was outstanding under the VLSA, and no amount was outstanding under the Revolving Facility. The VLSA and the Revolving Facility contain various covenants that limit our ability to engage in specified types of transactions. These covenants limit our ability to,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or dispose of our assets subject to certain exclusions;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assume additional indebtedness, other than certain permitted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encumber or permit liens on any of our assets other than certain permitted liens;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restricted payments, including paying dividends on, repurchasing, or making distributions with respect to any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specified investments;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with, or acquire any other entity, or sell or otherwise dispose of all or substantially all of our assets;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the completion of our initial public offering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are a “smaller reporting company,” meaning that the market value of our stock held by non-affiliates plus the proposed aggregate amount of gross proceeds to us as a result of our IPO is less than $700.0 million and our annual revenue is less than $100.0 million during the most recently completed fiscal year. We may continue to be a smaller reporting company after our IPO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incur increased costs and are subject to additional regulations and requirements as a result of becoming a public company, which could lower our profits or make it more difficult to run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Securities and Exchange Commission (the “SEC”) and the exchange on which our securities are listed. The expenses generally incurred by public companies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in the past identified control deficiencies including material weaknesses and may identify control deficiencies, including material weaknesses in our internal control over financial reporting, in the future. Any failure to maintain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any guidance that we provide to the public,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Annual Report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securities issuances could result in significant dilution to our stockholders and impair the market price of our common stock.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our executive officers, directors, owners of more than 5% of our capital stock and their respective affiliates beneficially owned a substantial amount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will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States of America is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fluctuate or decline significantly in response to numerous factor, many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or our stockholders, the expectation of future sales of our common stock by us or our stockholders, and/or the anticipation of lock-up releases;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third-party payor reimbursement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war or incidents of terrorism, or responses to these events, many of which are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medical devices and technology companies’ stock prices. Stock prices often fluctuate in ways unrelated or disproportionate to the companies’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market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may not cover all potential losses or liabilities that may arise.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spacing w:before="360" w:after="283"/>
        <w:jc w:val="both"/>
        <w:rPr>
          <w:rFonts w:ascii="Times New Roman" w:hAnsi="Times New Roman"/>
          <w:b/>
          <w:color w:val="000000"/>
          <w:sz w:val="20"/>
        </w:rPr>
      </w:pPr>
      <w:bookmarkStart w:id="4" w:name="unresolved_staff_comments"/>
      <w:bookmarkEnd w:id="4"/>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5" w:name="cybersecurity"/>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Cybersecurity 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 As part of our risk management program, we reference various security industry frameworks and other guidance, including the National Institute of Standards and Technology Cybersecurity Framework (NIST CSF), HIPAA, Service Organization Control Type 2 (SOC 2 Type II), and Sarbanes-Oxley IT General Controls (SOX ITGC), to help us assess, identify and manage cybersecurity risks relevant to our business. This does not imply that we meet any particular technical standards, specifications, or requirements, only that we use the NIST CSF, HIPAA, SOC 2 Type II, and SOX ITGC as guides to help us identify, assess, and manage cybersecurity risks relevant to our business.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assessments are performed and designed to help identify material risks from cybersecurity threats to our critical systems and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external service providers or third party software, where appropriate, to assess, test or otherwise assist with aspects of our security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awareness training of our employees, including incident response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incident response plan that includes procedures for responding to cybersecurity incidents;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third-party vendor risk management process for key service providers based on the security teams assessment of their criticality to our operations and respective risk profile.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the risk factor titled, “Our business and operations may suffer in the event of information technology system failures, cyber attacks, or deficiencies in our cybersecurity.” for additional information.</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Cybersecurity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considers cybersecurity risk as part of its risk oversight function and has delegated to the Audit Committee oversight of cybersecurity risks, including oversight of management’s implementation of our cybersecurity risk management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Audit Committee receives quarterly reports from management on our cybersecurity risks. In addition, management updates the Committee, where it deems appropriate, regarding cybersecurity incidents it considers to be significant or potentially significant.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Audit Committee reports to the full Board of Directors regarding its activities, including those related to cybersecurity. The full Board of Directors also periodically receives briefings from management on our cybersecurity risk management program. Members of the Board of Directors receive presentations on cybersecurity topics from our Executive Director Information Security as part of the Board of Directors’ continuing education on topics that impact public companies.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Our management team, including the Executive Director of Information Security and Chief Technology Officer (CTO),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a cumulative 22 years of experience in assessing and managing risk throughout organizations. In addition, hold industry specific certifications such as Certified Information Systems Auditor (CISA) and Certified Data Privacy Solutions Engineer (CDPSE).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Our management team takes steps to stay informed about and monitor efforts to prevent, detect, mitigate, and remediate cybersecurity risks and incidents through various means, which may include briefings from internal security personnel, threat intelligence, other information obtained from governmental, public or private sources, including external consultants engaged by us, and alerts and reports produced by security tools deployed in our IT environment.</w:t>
      </w:r>
    </w:p>
    <w:p>
      <w:pPr>
        <w:pStyle w:val="TextBody"/>
        <w:bidi w:val="0"/>
        <w:spacing w:before="360" w:after="283"/>
        <w:jc w:val="both"/>
        <w:rPr>
          <w:rFonts w:ascii="Times New Roman" w:hAnsi="Times New Roman"/>
          <w:b/>
          <w:color w:val="000000"/>
          <w:sz w:val="20"/>
        </w:rPr>
      </w:pPr>
      <w:bookmarkStart w:id="6" w:name="properties"/>
      <w:bookmarkEnd w:id="6"/>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is in Sunnyvale, California, where we lease a 15,600 square foot facility pursuant to a lease agreement which commenced on November 1, 2021, and expires on January 31, 2027. To support our growth, the Company entered into an operating lease agreement for a 11,600 square foot facility for additional office and warehouse space in Sunnyvale, California in May 2024. The lease commenced when the Company obtained early use of the property beginning on June 1, 2024, and terminates on January 31,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facility will continue to support our research and development, finance, marketing, and administrative teams. We believe that our existing and new facilities are adequate to support our expansion through the end of the facilities’ lease periods. We believe that suitable additional or alternative space would be available in the future as required on commercially reasonable terms.</w:t>
      </w:r>
    </w:p>
    <w:p>
      <w:pPr>
        <w:pStyle w:val="TextBody"/>
        <w:bidi w:val="0"/>
        <w:spacing w:before="360" w:after="283"/>
        <w:jc w:val="both"/>
        <w:rPr>
          <w:rFonts w:ascii="Times New Roman" w:hAnsi="Times New Roman"/>
          <w:b/>
          <w:color w:val="000000"/>
          <w:sz w:val="20"/>
        </w:rPr>
      </w:pPr>
      <w:bookmarkStart w:id="7" w:name="legal_proceedings"/>
      <w:bookmarkEnd w:id="7"/>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360" w:after="283"/>
        <w:jc w:val="both"/>
        <w:rPr>
          <w:rFonts w:ascii="Times New Roman" w:hAnsi="Times New Roman"/>
          <w:b/>
          <w:color w:val="000000"/>
          <w:sz w:val="20"/>
        </w:rPr>
      </w:pPr>
      <w:bookmarkStart w:id="8" w:name="mine_safety_disclosures"/>
      <w:bookmarkEnd w:id="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market_for_registrants_common_equity"/>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the Nasdaq Global Select Market under the symbol “CBLL.”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February 21, 2025, there were approximately 170 registered holders of record of our common stock. The actual number of holders is greater than this number and includes stockholders who are beneficial owners but whose shares are held in “street name” by banks, brokers, and other financial institutions. This number of record holders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capital stock. We do not expect to pay dividends on our common stock for the foreseeable future. Instead, we anticipate that all of our earnings, if any, will be used for the operation and growth of our business. Any future determination to declare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 from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10, 2024, our registration statement on Form S-1 (File No. 333-281784) relating to our initial public offering (the “IPO”) became effective pursuant to which we issued and sold 12,196,969 shares of our common stock at a public offering price of $17.00 per share. We received net proceeds of $187.8 million, after deducting the underwriting discounts, commissions and offering expenses. None of the expenses associated with the IPO were paid to directors, officers, persons owning 10% or more of any class of equity securities. There has been no material change in the planned use of proceeds from the IPO from that described in our Final Prospectus dated October 10, 2024 and filed with the SEC pursuant to Rule 424(b)(4) on October 11,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0" w:name="reserved"/>
      <w:bookmarkEnd w:id="10"/>
      <w:r>
        <w:rPr>
          <w:rFonts w:ascii="Times New Roman" w:hAnsi="Times New Roman"/>
          <w:b/>
          <w:color w:val="000000"/>
          <w:sz w:val="20"/>
        </w:rPr>
        <w:t>Item 6. [Reserved]</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1" w:name="managements_discussion_and_analysis"/>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included elsewhere in this Annual Report. In addition to historical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Annual Report,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AI-powered algorithms, the Ceribell System enables rapid diagnosis and continuous monitoring of patients with neurological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To date, the Ceribell System has been adopted by more than 500 active accounts, ranging from top academic centers to small community hospitals, and has been used to care for over 200,000 patients. For information regarding how patient care and clinical outcomes are measured, see “Business—Market Overview—Challenges of Managing Seizures in the Acute Care Setting” in this Annual Report.</w:t>
      </w:r>
    </w:p>
    <w:p>
      <w:pPr>
        <w:pStyle w:val="TextBody"/>
        <w:bidi w:val="0"/>
        <w:spacing w:before="240" w:after="283"/>
        <w:jc w:val="both"/>
        <w:rPr>
          <w:rFonts w:ascii="Times New Roman" w:hAnsi="Times New Roman"/>
          <w:sz w:val="20"/>
        </w:rPr>
      </w:pPr>
      <w:r>
        <w:rPr>
          <w:rFonts w:ascii="Times New Roman" w:hAnsi="Times New Roman"/>
          <w:color w:val="000000"/>
          <w:sz w:val="20"/>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a disposable, flexible headband and a pocket-sized,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 Clarity</w:t>
      </w:r>
      <w:r>
        <w:rPr>
          <w:rFonts w:ascii="Times New Roman" w:hAnsi="Times New Roman"/>
          <w:color w:val="000000"/>
          <w:sz w:val="13"/>
        </w:rPr>
        <w:t>TM</w:t>
      </w:r>
      <w:r>
        <w:rPr>
          <w:rFonts w:ascii="Times New Roman" w:hAnsi="Times New Roman"/>
          <w:color w:val="000000"/>
          <w:sz w:val="20"/>
        </w:rPr>
        <w:t>, which continuously monitors the patient’s EEG signal and can support the clinician’s real-time assessment of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There are approximately 6,000 acute care facilities in the United States that we believe could benefit from our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We also plan to engage in market access initiatives in attractive international regions in which we see significant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headband and recorder from our facilities in Sunnyvale, California. Contract manufacturers in China assemble the Ceribell headband, with final inspection and labeling completed at our California facilities. We have dual sources for major components of the headband. The components for our recorder are procured from various suppliers and shipped to our facilities for final testing and assembly.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bookmarkStart w:id="12" w:name="page89"/>
      <w:bookmarkEnd w:id="12"/>
      <w:r>
        <w:rPr>
          <w:rFonts w:ascii="Times New Roman" w:hAnsi="Times New Roman"/>
          <w:color w:val="000000"/>
          <w:sz w:val="20"/>
        </w:rPr>
        <w:t xml:space="preserve">As of December 31, 2024, we had an accumulated deficit of $166.9 million. To date, we have funded our operations primarily through proceeds from the sale of shares of our stock, including common stock and redeemable convertible preferred stock, term loan proceeds, and cash generated from the sale of headbands and subscriptions. As of December 31, 2024, we had $194.4 million in cash and cash equivalents. On October 15, 2024, we closed our initial public offering (our “IPO”) pursuant to which we sold 12,196,969 shares of our common stock at a price to the public of $17.00 per share. We received net proceeds of $187.8 million from the IPO after deducting underwriting discounts and commissions and offering expenses. 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in new accounts. </w:t>
      </w:r>
      <w:r>
        <w:rPr>
          <w:rFonts w:ascii="Times New Roman" w:hAnsi="Times New Roman"/>
          <w:color w:val="000000"/>
          <w:sz w:val="20"/>
        </w:rPr>
        <w:t>As of December 31, 2024, we had over 500 active accounts. We define active accounts as those with an active subscription or recent headband usage, which is typically considered to have occurred during the previous six months. When determining the number of active accounts, we do not count a care facility (such as a hospital) as more than one account, even though the facility may have both an ED and an ICU using the Ceribell System. The headbands used as part of the Ceribell System are designed to be used only once by a single patient, so an active account is expected to purchase multiple headbands to be used as part of the Ceribell System. There are approximately 6,000 acute care facilities in the United States that we believe could benefit from our system. We believe that any facility with either an ICU or ED, or both, has patients who could benefit from the Ceribell System, because the patients arriving at such facilities may experience seizures triggered by the conditions leading them to seek acute medical care. We have initially targeted a subset of these acute care facilities through our commercial organization, prioritizing certain facilities based on factors such as geographic characteristics and sales potential. Over time, we expect to target additional acute care facilities as we grow our sales. To penetrate these hospitals, we continue to increase the size of our commercial organization. This team comprises TMs and CAMs, who are responsible for new account acquisition by engaging with key decision makers to educate them about the value proposition of the Ceribell System. As we seek to increase our account base, we expect that our revenue will increase due to increased utilization of the headbands and therefore increased product revenue, as well as new Clarity subscribers and increased subscription revenue. The rate at which we grow our commercial organization and the speed at which newly hired personnel become effective can impact our revenue growth and our costs incurred in anticipation of such growth.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Our revenue is impacted by the utilization of the headband component of the Ceribell System within hospitals. Because the headbands used as part of the Ceribell System are designed to be used only once by a single patient, utilization has a direct relationship with our product revenue. Within each hospital, we are initially focused on site onboarding and launch. Currently, many patients are not promptly monitored by EEG, as a physician may not be aware of the risk of seizures in a given patient population. Our CAMs work to raise awareness of our technology as well as, non-convulsive seizures generally, and the risks of delayed treatment. Even at facilities with access to the Ceribell System, clinicians may not use Ceribell on all eligible patients if they are not fully aware of the risks of seizures and the benefits of our solution. Once a launch is complete, our CAMs drive greater utilization of the Ceribell System within the hospital by reinforcing our value proposition, increasing disease state awareness, and supporting the integration of standard protocols or workflows for monitoring at-risk patients. CAMs also are focused on expanding the use of our system into additional departments within the hospital. As hospitals and physicians gain exposure to our system, we expect to leverage their experiences to increase usage and establish rapid EEG as the standard of care for the detection and management of seizures in the acute care setting.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 xml:space="preserve">Our research and development initiatives are focused on introducing enhancements, features, and improvements aimed at increasing the value provided by our system for diagnosing and monitoring seizures in the acute care setting. We believe the platform nature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system will enable us to efficiently deploy it for use in other serious neurological conditions beyond seizures, and we have begun the technical validation process for several additional indications.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headbands that are intended for single patient use. Subscription revenue is generated by monthly subscription fees charged to our hospital customers for use of Clarity, recorders, and our portal. Revenue from sales of headbands is recognized at a point in time upon transfer of control of the product. We generally recognize subscription revenue ratably over the related contractual term beginning on the date that the system is made available to a customer. Our revenue fluctuates primarily based on the number of active accounts and the volume of headband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our system in existing accounts. For purposes of managing our business, we do not separately track increases in revenue solely attributable to new accounts. We may experience fluctuations in the number of headbands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headbands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Our gross margin may fluctuate from period to period, based upon the factors described above and in the section titled “Risk Factors” included elsewhere in this Annual Report.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bookmarkStart w:id="13" w:name="page91"/>
      <w:bookmarkEnd w:id="13"/>
      <w:r>
        <w:rPr>
          <w:rFonts w:ascii="Times New Roman" w:hAnsi="Times New Roman"/>
          <w:color w:val="000000"/>
          <w:sz w:val="20"/>
        </w:rPr>
        <w:t>Research and development expenses are incurred in connection with the advancement of the Ceribell System with the goal to improve and expand on our existing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our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algorithm, leverage our platform to expand indications, and develop products for use beyond the acute care setting.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in critically ill patient populations, including expenses related to travel, conferences, trade shows, and consulting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sales and marketing expenses to increase for the foreseeable future as we continue to increase the size of our sales organization and market penetration in the United States, seek to expand indications, and potentially establish an international presence by pursuing marketing authorizations and engaging in other market access initiatives in international regions in which we see significant potential opportunity.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and cash equivalents, interest expense on our term loans, and change in the fair value of the warrant liability. Interest expense primarily consists of interest on our term loans and a non-cash interest charge related to amortization of debt issuance costs. Gains and losses related to the change in fair value of the redeemable convertible preferred stock warrant liability issued as a part of our term loans are recognized in the income statement each quarter until the warrants are exercised, expire, or become exercisable into shares of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Years ended 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(in thousands, except percentages)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8531" w:type="dxa"/>
        <w:jc w:val="left"/>
        <w:tblInd w:w="0" w:type="dxa"/>
        <w:tblLayout w:type="fixed"/>
        <w:tblCellMar>
          <w:top w:w="28" w:type="dxa"/>
          <w:left w:w="28" w:type="dxa"/>
          <w:bottom w:w="28" w:type="dxa"/>
          <w:right w:w="28" w:type="dxa"/>
        </w:tblCellMar>
      </w:tblPr>
      <w:tblGrid>
        <w:gridCol w:w="3391"/>
        <w:gridCol w:w="146"/>
        <w:gridCol w:w="211"/>
        <w:gridCol w:w="736"/>
        <w:gridCol w:w="166"/>
        <w:gridCol w:w="146"/>
        <w:gridCol w:w="211"/>
        <w:gridCol w:w="736"/>
        <w:gridCol w:w="166"/>
        <w:gridCol w:w="146"/>
        <w:gridCol w:w="211"/>
        <w:gridCol w:w="736"/>
        <w:gridCol w:w="166"/>
        <w:gridCol w:w="146"/>
        <w:gridCol w:w="202"/>
        <w:gridCol w:w="669"/>
        <w:gridCol w:w="34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 Not Meaningful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Years ended December 31, 2024 and 2023</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year ended December 31, 2024 (“fiscal year 2024”), increased $15.5 million, or 45%, compared to the year ended December 31, 2023 (“fiscal year 2023”). Product revenue growth was primarily driven by the addition of new customers and an increase in utilization of headbands and resulting headband sales,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fiscal year 2024, increased $4.7 million, or 44%, compared to fiscal year 2023. Subscription revenue growth was primarily driven by an increase in new customer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fiscal year 2024, increased $1.6 million, or 24%, compared to fiscal year 2023. The increase in cost of goods sold for products was primarily due to an increase in headband sales to new and existing active accounts, partially offset by a decrease in the unit cost of materials.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cost of revenue for fiscal year 2024, increased $0.05 million, or 12%, compared to fiscal year 2023. The increase in subscription cost of revenue was primarily due to increased hosting costs for new active accounts for subscriptions and incremental recorder depreciation associated with new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and Gross Margin</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gross profit and gross margin for the periods presented (in thousands, except percentages).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tbl>
      <w:tblPr>
        <w:tblW w:w="7356" w:type="dxa"/>
        <w:jc w:val="left"/>
        <w:tblInd w:w="0" w:type="dxa"/>
        <w:tblLayout w:type="fixed"/>
        <w:tblCellMar>
          <w:top w:w="28" w:type="dxa"/>
          <w:left w:w="28" w:type="dxa"/>
          <w:bottom w:w="28" w:type="dxa"/>
          <w:right w:w="28" w:type="dxa"/>
        </w:tblCellMar>
      </w:tblPr>
      <w:tblGrid>
        <w:gridCol w:w="2236"/>
        <w:gridCol w:w="146"/>
        <w:gridCol w:w="211"/>
        <w:gridCol w:w="676"/>
        <w:gridCol w:w="271"/>
        <w:gridCol w:w="146"/>
        <w:gridCol w:w="211"/>
        <w:gridCol w:w="676"/>
        <w:gridCol w:w="271"/>
        <w:gridCol w:w="146"/>
        <w:gridCol w:w="211"/>
        <w:gridCol w:w="676"/>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increased $18.6 million, or 49%, for fiscal year 2024, compared to fiscal year 2023. The increase was primarily due to increased revenue and decreased cost of goods sold per unit, as non-variable costs are allocated among a larger number of units.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$4.6 million, or 51%, for fiscal year 2024, compared to fiscal year 2023. The increase was primarily due to an increase of $2.6 million in personnel and related expenses directly associated with an increase in headcount and stock-based compensation, as well as an increase of $1.5 million in clinical study and professional expenses.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$10.1 million, or 26%, for fiscal year 2024, compared to fiscal year 2023. The increase was primarily due to an increase in personnel and related expenses directly associated with an increase in headcount and commissions.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$13.6 million, or 67%, for fiscal year 2024, compared to fiscal year 2023. The increase was primarily due to an increase of $7.9 million in personnel and related expenses directly associated with an increase in headcount and stock-based compensation, an increase of $4.3 million in legal, accounting, and professional service fees related to our transition to a public company, and an increase of $1.1 million in administrative expenses driven by increased software, facilities, and other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decreased $1.3 million for fiscal year 2024, compared to fiscal year 2023. The decrease was primarily due to a $0.4 million increase in interest expense related to debt and $1.5 million in other expense as a result of the change in fair value of the warrant liability, offset by an increase of $0.5 million interest income related to an increase in cash.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financed operations primarily through the net proceeds we have received from the sales of our preferred stock and common stock as well as net proceeds from our term loans and cash generated from the sale of headbands and Clarity subscriptions. On October 15, 2024, we completed our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our principal sources of liquidity consisted of $194.4 million of cash and cash equivalents and $20.0 million of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maturity date of VLSA is March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we also entered into the Revolving Facility for a line of credit of up to $10.0 million. The Revolving Facility matures on February 6, 2026.</w:t>
      </w:r>
    </w:p>
    <w:p>
      <w:pPr>
        <w:pStyle w:val="TextBody"/>
        <w:bidi w:val="0"/>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and obtain adequate amounts of cash to meet requirements beyond the next 12 months, we may continue to seek funds through equity or debt financings, or through other sources of financing. Our future capital needs will depend upon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acceptance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pace of developing new products 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costs of supporting sales growth and expansion of our commercial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any product recall that may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manufacturing of our products at increased production levels or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finance our operations should they be needed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service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w:t>
      </w:r>
    </w:p>
    <w:p>
      <w:pPr>
        <w:pStyle w:val="TextBody"/>
        <w:bidi w:val="0"/>
        <w:jc w:val="both"/>
        <w:rPr/>
      </w:pPr>
      <w:r>
        <w:rPr/>
        <w:t> </w:t>
      </w:r>
    </w:p>
    <w:tbl>
      <w:tblPr>
        <w:tblW w:w="6824" w:type="dxa"/>
        <w:jc w:val="left"/>
        <w:tblInd w:w="0" w:type="dxa"/>
        <w:tblLayout w:type="fixed"/>
        <w:tblCellMar>
          <w:top w:w="28" w:type="dxa"/>
          <w:left w:w="28" w:type="dxa"/>
          <w:bottom w:w="28" w:type="dxa"/>
          <w:right w:w="28" w:type="dxa"/>
        </w:tblCellMar>
      </w:tblPr>
      <w:tblGrid>
        <w:gridCol w:w="4216"/>
        <w:gridCol w:w="146"/>
        <w:gridCol w:w="211"/>
        <w:gridCol w:w="78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fiscal year 2024, consisted primarily of our net loss of $40.5 million, offset by non-cash charges of stock-based compensation of $5.4 million, depreciation and amortization of $1.1 million, and the change in fair value of our redeemable convertible preferred stock warrants. Additionally we had a net increase in operating assets of $5.8 million and a net decrease in operating liabilities of $2.6 million. Net operating assets increased due to the timing of inventory purchases and accounts receivable due to the overall increase in sales in fiscal year 2024. Net operating liabilities decreased primarily due to timing of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during fiscal year 2023, consisted primarily of our net loss of $29.5 million, offset by non-cash charges of stock-based compensation of $2.7 million, and a net increase in operating assets of $6.1 million, partially offset by a net increase in operating liabilities of $2.4 million. Net operating assets increased due to the timing of inventory purchases and accounts receivable due to the overall increase in sales in fiscal year 2023. Net operating liabilities increased primarily due to increased accrued payroll, bonus, and commissions due to increased headcount.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fiscal years 2024 and 2023 was $1.6 million and $1.8 million, respectively, and consisted of purchases of equipment and purchases of components for recorders provided to customers.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during fiscal year 2024, consisted primarily of $187.8 million in proceeds from the IPO net of issuance costs, $7.6 million in net proceeds from debt issuance, and $1.1 million in proceeds from the exercise of options.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financing activities during fiscal year 2023, consisted primarily of $3.8 million in debt repayment.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as of December 31, 2024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as of December 31, 2024, was $20.0 million. Please refer to the section titled “Liquidity” in Note 1 for a discussion of changes in commitments.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December 31, 2024, estimated contractual obligations for operating lease payments were $2.4 million due within 28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to our financial statements elsewhere in this Annual Report for information about our significant accounting policies and how estimates are involved in the preparation of our financial statements. We believe the following reflect the critical accounting estimates used in the preparation of our financial statements.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Valuation of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issued freestanding warrants to purchase shares of redeemable convertible preferred stock in connection with our term loans. We classified these warrants as a liability because they contain liquidation features that are not solely within our control. We record the fair value of the warrant on the balance sheet at the inception of such classification and adjust to fair value at each financial reporting date. Our assumptions with regard to the warrant valuation are based on estimates of the valuation of the underlying preferred stock, volatility, and risk free interest rates, and such estimates could vary significantly. The changes in the fair value of the warrants were recorded as a component of non-operating income or expense in the Statements of Operations and Comprehensive Loss. Upon the close of our IPO, the warrants converted on a 1:1 basis to be exercisable for shares of common stock, at which time the liability was reclassified to equity.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Valuation of Common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Prior to the completion of our IPO, the fair value of the common stock underlying our stock awards was determined by our Board of Directors. The valuations of our common stock prior to the completion of our IPO were determined in accordance with the guidelines outlined in the American Institute of Certified Public Accountants Practice Aid,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 In the absence of a public trading market prior to our IPO, our Board of Directors, with input from management, exercised significant judgment and considered numerous objective and subjective factors to determine the fair value of our common stock as of the date of each option grant, including the following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stage of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history and the timing of the introduction of new solutions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actual operating results and performance and financial condition, including our levels of available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business conditions and projections;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prices, rights, preferences, and privileges of our redeemable convertible preferred stock relative to those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market and 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of the U.S. medical device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 price performance, volatility, and valuation multiples of comparable publicly-traded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likelihood and timing of achieving a liquidity event, such as an initial public offering or a merger or acquisition of our business given prevailing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prices of redeemable convertible preferred stock sold by us to third-party investors in arms-length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 secondary stock transactions in shares of our preferred and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relevant mergers and acquisitions in targeted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lack of marketability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contemporaneous valuations performed by third-party valuation firms.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determined the income approach and market approach, including the back-solve method, were the most appropriate methods for estimating our enterprise value. Under the income approach, we estimated the value based upon our projected financial performance. Under the back-solve method in the market approach, we estimated the value based upon our prior sales of redeemable convertible preferred stock to unrelated third parties, as well as secondary transactions undertaken in our preferred securities, using the option pricing method (the “OPM”). The back-solve analysis considered the post-transaction liquidation preferences, participation caps, dividends, conversion features, and our capital structure immediately following the closing of each financing round. Other market approaches included analyses based on the valuation of comparable publicly traded companies and mergers and acquisitions observed in related industries. We then applied these derived multiples or values to our financial metrics to estimate our market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also considered any secondary transactions involving our common stock. In our evaluation of such transactions, we considered the facts and circumstances of each such transaction to determine the extent to which they represented a fair value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exchange. Factors considered include transaction volume, timing, whether such transactions occurred among willing and unrelated parties, and whether such transactions involved investors with access to our financial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valuations performed prior to September 30, 2023, the allocation of these enterprise values to each part of our capital structure, including our common stock and redeemable convertible preferred stock, was done utilizing the OPM. The OPM treats the rights of the holders of redeemable convertible preferred and common stock as equivalent to call options on any value of the enterprise above certain break points of value based upon the liquidation preferences of the holders of redeemable convertible preferred stock, as well as their rights to participation and conversion. Thus, the estimated value of the common stock can be determined by estimating the value of its portion of each of these call option rights. The OPM back-solve derives the implied equity value of a company from a recent transaction involving our own securities issued on an arms-length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our valuations performed on or after September 30, 2023, the allocation of these enterprise values to each our share classes was done utilizing the hybrid method. The hybrid method is a hybrid between the probability-weighted expected returns method (the “PWERM”) and the OPM. The PWERM considers the enterprise value under various exit scenarios including an initial public offering (the “IPO Scenario”) and staying private, our estimate of the timing of each scenario and weightings based on our estimate of the probability of each event occurring. Our equity value under the IPO Scenario was estimated based on benchmarking analyses performed by the company and its bankers using market data observed for companies with recent IPOs. The equity value under the IPO Scenario was allocated to our capital stock using an IPO scenario analysis that contemplates the timing, size, valuation, and probability of an IPO event in the future. The stay private scenario estimated our equity value using an income approach based on our financial projections and market approaches based on the valuation of comparable publicly traded companies and mergers and acquisitions observed in related industries. Further, we used the OPM back-solve method and market indexing valuation method under the market approach with respect to the secondary transactions in our redeemable convertible preferred stock. The equity value was then allocated to our capital stock based on the OPM.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the equity value is determined and allocated to the various share classes, a discount for lack of marketability (“DLOM”) is applied to arrive at the fair value of the common stock. A DLOM is meant to account for the lack of marketability of a stock that is not traded on public exchanges. For financial reporting purposes, we considered the amount of time between the valuation date and the grant date of our stock options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valuations after the completion of our IPO, the fair value of each share of underlying common stock is based on the closing price of our common stock as reported on the date of grant on the Nasdaq stock exchange.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Valuation of Common Stock Options for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an equity incentive plan to provide long-term incentives for employees, consultants and members of the Board of Directors. The plan allows for the issuance of non-statutory and incentive stock options to employees and non-statutory stock options to consultants and non-employee directors. We are required to determine the fair value of equity incentive awards and recognize compensation expense for all equity incentive awards granted, including employee stock options.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account for stock-based compensation awards, including stock options to employees and non-employees, based on their estimated grant date fair value. We estimate the fair value of our stock options using the Black-Scholes option-pricing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fair value of stock options, which vest based on continued service, on a straight-line basis over the requisite service period, which is generally four years. For performance-based grants, we estimate when and if they will be earned. If we consider such award to be probable, we recognize expense over the estimated service period, which would be the estimated period of performance. If we do not consider such awards probable of achievement, we recognize no amount of stock-based compensation. There were 118,999 performance-based option awards outstanding as of December 31, 2024 and 64,527 performance-based option awards outstanding as of December 31, 2023. We account for forfeitures as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Determining the grant date fair value of options using the Black-Scholes option pricing model requires management to make assumptions and judgments. Changes in the assumptions can materially affect the fair value and ultimately the amount of stock-based compensation expense recognized. These inputs are subjective and generally require significant analysis and judgment to develop. Changes in the following assumptions can materially affect the estimate of the fair value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Fair Value of Common Stock</w:t>
      </w:r>
      <w:r>
        <w:rPr>
          <w:color w:val="000000"/>
        </w:rPr>
        <w:t>—</w:t>
      </w:r>
      <w:r>
        <w:rPr>
          <w:rFonts w:ascii="Times New Roman" w:hAnsi="Times New Roman"/>
          <w:color w:val="000000"/>
          <w:sz w:val="20"/>
        </w:rPr>
        <w:t>The absence of an active market for our common stock requires us to estimate the fair value of our common stock. See “—Valuation Common Stock” above.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Expected Term</w:t>
      </w:r>
      <w:r>
        <w:rPr>
          <w:color w:val="000000"/>
        </w:rPr>
        <w:t>—</w:t>
      </w:r>
      <w:r>
        <w:rPr>
          <w:rFonts w:ascii="Times New Roman" w:hAnsi="Times New Roman"/>
          <w:color w:val="000000"/>
          <w:sz w:val="20"/>
        </w:rPr>
        <w:t xml:space="preserve">The expected term represents the period that the stock-based awards are expected to be outstanding. We estimated the expected term based on an average of the midpoint of the requisite service period and the contractual term, and the historical exercise behavior.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Expected Volatility</w:t>
      </w:r>
      <w:r>
        <w:rPr>
          <w:color w:val="000000"/>
        </w:rPr>
        <w:t>—</w:t>
      </w:r>
      <w:r>
        <w:rPr>
          <w:rFonts w:ascii="Times New Roman" w:hAnsi="Times New Roman"/>
          <w:color w:val="000000"/>
          <w:sz w:val="20"/>
        </w:rPr>
        <w:t>Since there has been no public market for our common stock and lack of company specific historical volatility, we have determined the share price volatility for options granted based on an analysis of the volatility of a peer group of publicly traded companies. In evaluating similarity, we consider factors such as industry, stage of life cycle, and size.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Risk-Free Interest Rate</w:t>
      </w:r>
      <w:r>
        <w:rPr>
          <w:color w:val="000000"/>
        </w:rPr>
        <w:t>—</w:t>
      </w:r>
      <w:r>
        <w:rPr>
          <w:rFonts w:ascii="Times New Roman" w:hAnsi="Times New Roman"/>
          <w:color w:val="000000"/>
          <w:sz w:val="20"/>
        </w:rPr>
        <w:t>The risk-free interest rate is calculated using the average of the published interest rates of U.S. Treasury zero-coupon issues with maturities that are commensurate with the expected term.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Dividend Yield</w:t>
      </w:r>
      <w:r>
        <w:rPr>
          <w:color w:val="000000"/>
        </w:rPr>
        <w:t>—</w:t>
      </w:r>
      <w:r>
        <w:rPr>
          <w:rFonts w:ascii="Times New Roman" w:hAnsi="Times New Roman"/>
          <w:color w:val="000000"/>
          <w:sz w:val="20"/>
        </w:rPr>
        <w:t>The dividend yield assumption is zero, as we have no history of, or plans to make, dividend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weighted-average assumptions were used for the Black-Scholes option pricing model:</w:t>
      </w:r>
    </w:p>
    <w:p>
      <w:pPr>
        <w:pStyle w:val="TextBody"/>
        <w:bidi w:val="0"/>
        <w:spacing w:before="240" w:after="283"/>
        <w:jc w:val="both"/>
        <w:rPr/>
      </w:pPr>
      <w:r>
        <w:rPr/>
        <w:t> </w:t>
      </w:r>
    </w:p>
    <w:tbl>
      <w:tblPr>
        <w:tblW w:w="4481" w:type="dxa"/>
        <w:jc w:val="left"/>
        <w:tblInd w:w="0" w:type="dxa"/>
        <w:tblLayout w:type="fixed"/>
        <w:tblCellMar>
          <w:top w:w="28" w:type="dxa"/>
          <w:left w:w="28" w:type="dxa"/>
          <w:bottom w:w="28" w:type="dxa"/>
          <w:right w:w="28" w:type="dxa"/>
        </w:tblCellMar>
      </w:tblPr>
      <w:tblGrid>
        <w:gridCol w:w="2086"/>
        <w:gridCol w:w="146"/>
        <w:gridCol w:w="146"/>
        <w:gridCol w:w="466"/>
        <w:gridCol w:w="271"/>
        <w:gridCol w:w="146"/>
        <w:gridCol w:w="146"/>
        <w:gridCol w:w="146"/>
        <w:gridCol w:w="466"/>
        <w:gridCol w:w="27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Upon the completion of our IPO, our common stock was publicly traded and is therefore subject to potentially significant fluctuations in the market price. Increases and decreases in the market price of our common stock also increase and decrease the fair value of our stock-based awards granted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11 to our financial statements included elsewhere in this Annual Report for further details.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The JOBS Act permits an “emerging growth company” such as us to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The JOBS Act also exempts us from having to provide an attestation and report from our independent registered public accounting firm on the assessment of our internal control over financial reporting pursuant to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2 to our financial statements included elsewhere in this Annual Report 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4" w:name="quantitative_and_qualitative_disclosures"/>
      <w:bookmarkEnd w:id="14"/>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under the Securities and Exchange Act of 1934, as amended and in Item 10(f)(1) of Regulation S-K, and are not required to provide the information under this item.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financial_statements_supplementary_data"/>
      <w:bookmarkEnd w:id="15"/>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7183" w:type="dxa"/>
        <w:jc w:val="left"/>
        <w:tblInd w:w="0" w:type="dxa"/>
        <w:tblLayout w:type="fixed"/>
        <w:tblCellMar>
          <w:top w:w="28" w:type="dxa"/>
          <w:left w:w="28" w:type="dxa"/>
          <w:bottom w:w="28" w:type="dxa"/>
          <w:right w:w="28" w:type="dxa"/>
        </w:tblCellMar>
      </w:tblPr>
      <w:tblGrid>
        <w:gridCol w:w="6676"/>
        <w:gridCol w:w="146"/>
        <w:gridCol w:w="361"/>
      </w:tblGrid>
      <w:tr>
        <w:trPr/>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Audited Financial Statements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
              <w:r>
                <w:rPr>
                  <w:rStyle w:val="InternetLink"/>
                  <w:rFonts w:ascii="Times New Roman" w:hAnsi="Times New Roman"/>
                  <w:color w:val="0000FF"/>
                  <w:sz w:val="20"/>
                  <w:u w:val="single"/>
                </w:rPr>
                <w:t>Report of Independent Registered Public Accounting Firm (PCAOB ID: 238)</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000FF"/>
                  <w:sz w:val="20"/>
                  <w:u w:val="single"/>
                </w:rPr>
                <w:t>Statements of Operations and Comprehensive Loss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Statements of Redeemable Convertible Preferred Stock and Stockholders’ Deficit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report"/>
      <w:bookmarkEnd w:id="16"/>
      <w:r>
        <w:rPr>
          <w:rFonts w:ascii="Times New Roman" w:hAnsi="Times New Roman"/>
          <w:b/>
          <w:i/>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Board of Directors and Stockholders of CeriBell, Inc.</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audited the accompanying balance sheets of CeriBell, Inc. (the “Company”) as of December 31, 2024 and 2023, and the related statements of operations and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color w:val="000000"/>
          <w:sz w:val="20"/>
        </w:rPr>
      </w:pPr>
      <w:r>
        <w:rPr>
          <w:rFonts w:ascii="Times New Roman" w:hAnsi="Times New Roman"/>
          <w:color w:val="000000"/>
          <w:sz w:val="20"/>
        </w:rPr>
        <w:t>/s/PricewaterhouseCoopers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February 25, 2025</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7" w:name="balance_sheets"/>
      <w:bookmarkEnd w:id="17"/>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7"/>
        <w:gridCol w:w="146"/>
        <w:gridCol w:w="218"/>
        <w:gridCol w:w="840"/>
        <w:gridCol w:w="166"/>
        <w:gridCol w:w="146"/>
        <w:gridCol w:w="218"/>
        <w:gridCol w:w="840"/>
        <w:gridCol w:w="394"/>
      </w:tblGrid>
      <w:tr>
        <w:trPr/>
        <w:tc>
          <w:tcPr>
            <w:tcW w:w="7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51,963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58,922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redeemable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Notes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21,600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2,162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23,762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Commitments and contingencies </w:t>
            </w:r>
            <w:r>
              <w:rPr>
                <w:rFonts w:ascii="Times New Roman" w:hAnsi="Times New Roman"/>
                <w:color w:val="000000"/>
                <w:sz w:val="18"/>
              </w:rPr>
              <w:t>(Note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Redeemable convertible 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Authorized shares: none</w:t>
            </w:r>
            <w:r>
              <w:rPr>
                <w:rFonts w:ascii="Times New Roman" w:hAnsi="Times New Roman"/>
                <w:color w:val="000000"/>
                <w:sz w:val="20"/>
              </w:rPr>
              <w:t> </w:t>
            </w:r>
            <w:r>
              <w:rPr>
                <w:rFonts w:ascii="Times New Roman" w:hAnsi="Times New Roman"/>
                <w:color w:val="000000"/>
                <w:sz w:val="18"/>
              </w:rPr>
              <w:t>and 46,624,838</w:t>
            </w:r>
            <w:r>
              <w:rPr>
                <w:rFonts w:ascii="Times New Roman" w:hAnsi="Times New Roman"/>
                <w:color w:val="000000"/>
                <w:sz w:val="20"/>
              </w:rPr>
              <w:t> </w:t>
            </w:r>
            <w:r>
              <w:rPr>
                <w:rFonts w:ascii="Times New Roman" w:hAnsi="Times New Roman"/>
                <w:color w:val="000000"/>
                <w:sz w:val="18"/>
              </w:rPr>
              <w:t>shares as of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and 17,817,643</w:t>
            </w:r>
            <w:r>
              <w:rPr>
                <w:rFonts w:ascii="Times New Roman" w:hAnsi="Times New Roman"/>
                <w:color w:val="000000"/>
                <w:sz w:val="20"/>
              </w:rPr>
              <w:t> </w:t>
            </w:r>
            <w:r>
              <w:rPr>
                <w:rFonts w:ascii="Times New Roman" w:hAnsi="Times New Roman"/>
                <w:color w:val="000000"/>
                <w:sz w:val="18"/>
              </w:rPr>
              <w:t>shares as of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Aggregate liquidation preference of none</w:t>
            </w:r>
            <w:r>
              <w:rPr>
                <w:rFonts w:ascii="Times New Roman" w:hAnsi="Times New Roman"/>
                <w:color w:val="000000"/>
                <w:sz w:val="20"/>
              </w:rPr>
              <w:t> </w:t>
            </w:r>
            <w:r>
              <w:rPr>
                <w:rFonts w:ascii="Times New Roman" w:hAnsi="Times New Roman"/>
                <w:color w:val="000000"/>
                <w:sz w:val="18"/>
              </w:rPr>
              <w:t>and $152,590</w:t>
            </w:r>
            <w:r>
              <w:rPr>
                <w:rFonts w:ascii="Times New Roman" w:hAnsi="Times New Roman"/>
                <w:color w:val="000000"/>
                <w:sz w:val="20"/>
              </w:rPr>
              <w:t> </w:t>
            </w:r>
            <w:r>
              <w:rPr>
                <w:rFonts w:ascii="Times New Roman" w:hAnsi="Times New Roman"/>
                <w:color w:val="000000"/>
                <w:sz w:val="18"/>
              </w:rPr>
              <w:t>as of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147,412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Authorized shares: 10,000,000</w:t>
            </w:r>
            <w:r>
              <w:rPr>
                <w:rFonts w:ascii="Times New Roman" w:hAnsi="Times New Roman"/>
                <w:color w:val="000000"/>
                <w:sz w:val="20"/>
              </w:rPr>
              <w:t> </w:t>
            </w:r>
            <w:r>
              <w:rPr>
                <w:rFonts w:ascii="Times New Roman" w:hAnsi="Times New Roman"/>
                <w:color w:val="000000"/>
                <w:sz w:val="18"/>
              </w:rPr>
              <w:t>and none</w:t>
            </w:r>
            <w:r>
              <w:rPr>
                <w:rFonts w:ascii="Times New Roman" w:hAnsi="Times New Roman"/>
                <w:color w:val="000000"/>
                <w:sz w:val="20"/>
              </w:rPr>
              <w:t> </w:t>
            </w:r>
            <w:r>
              <w:rPr>
                <w:rFonts w:ascii="Times New Roman" w:hAnsi="Times New Roman"/>
                <w:color w:val="000000"/>
                <w:sz w:val="18"/>
              </w:rPr>
              <w:t>shares as of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as of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Common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Authorized shares: 500,000,000</w:t>
            </w:r>
            <w:r>
              <w:rPr>
                <w:rFonts w:ascii="Times New Roman" w:hAnsi="Times New Roman"/>
                <w:color w:val="000000"/>
                <w:sz w:val="20"/>
              </w:rPr>
              <w:t> </w:t>
            </w:r>
            <w:r>
              <w:rPr>
                <w:rFonts w:ascii="Times New Roman" w:hAnsi="Times New Roman"/>
                <w:color w:val="000000"/>
                <w:sz w:val="18"/>
              </w:rPr>
              <w:t>and 76,046,350</w:t>
            </w:r>
            <w:r>
              <w:rPr>
                <w:rFonts w:ascii="Times New Roman" w:hAnsi="Times New Roman"/>
                <w:color w:val="000000"/>
                <w:sz w:val="20"/>
              </w:rPr>
              <w:t> </w:t>
            </w:r>
            <w:r>
              <w:rPr>
                <w:rFonts w:ascii="Times New Roman" w:hAnsi="Times New Roman"/>
                <w:color w:val="000000"/>
                <w:sz w:val="18"/>
              </w:rPr>
              <w:t>as of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Issued and outstanding shares: 35,850,606</w:t>
            </w:r>
            <w:r>
              <w:rPr>
                <w:rFonts w:ascii="Times New Roman" w:hAnsi="Times New Roman"/>
                <w:color w:val="000000"/>
                <w:sz w:val="20"/>
              </w:rPr>
              <w:t> </w:t>
            </w:r>
            <w:r>
              <w:rPr>
                <w:rFonts w:ascii="Times New Roman" w:hAnsi="Times New Roman"/>
                <w:color w:val="000000"/>
                <w:sz w:val="18"/>
              </w:rPr>
              <w:t>and 5,430,298</w:t>
            </w:r>
            <w:r>
              <w:rPr>
                <w:rFonts w:ascii="Times New Roman" w:hAnsi="Times New Roman"/>
                <w:color w:val="000000"/>
                <w:sz w:val="20"/>
              </w:rPr>
              <w:t> </w:t>
            </w:r>
            <w:r>
              <w:rPr>
                <w:rFonts w:ascii="Times New Roman" w:hAnsi="Times New Roman"/>
                <w:color w:val="000000"/>
                <w:sz w:val="18"/>
              </w:rPr>
              <w:t>as of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(126,489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(112,252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58,922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8" w:name="stmt_of_operations_comp_loss"/>
      <w:bookmarkEnd w:id="18"/>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7"/>
        <w:gridCol w:w="146"/>
        <w:gridCol w:w="211"/>
        <w:gridCol w:w="1036"/>
        <w:gridCol w:w="166"/>
        <w:gridCol w:w="146"/>
        <w:gridCol w:w="211"/>
        <w:gridCol w:w="931"/>
        <w:gridCol w:w="391"/>
      </w:tblGrid>
      <w:tr>
        <w:trPr/>
        <w:tc>
          <w:tcPr>
            <w:tcW w:w="6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9" w:name="equity"/>
      <w:bookmarkEnd w:id="19"/>
      <w:r>
        <w:rPr>
          <w:rFonts w:ascii="Times New Roman" w:hAnsi="Times New Roman"/>
          <w:b/>
          <w:color w:val="000000"/>
          <w:sz w:val="20"/>
        </w:rPr>
        <w:t>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43"/>
        <w:gridCol w:w="146"/>
        <w:gridCol w:w="146"/>
        <w:gridCol w:w="976"/>
        <w:gridCol w:w="166"/>
        <w:gridCol w:w="146"/>
        <w:gridCol w:w="196"/>
        <w:gridCol w:w="751"/>
        <w:gridCol w:w="166"/>
        <w:gridCol w:w="146"/>
        <w:gridCol w:w="146"/>
        <w:gridCol w:w="146"/>
        <w:gridCol w:w="916"/>
        <w:gridCol w:w="146"/>
        <w:gridCol w:w="146"/>
        <w:gridCol w:w="150"/>
        <w:gridCol w:w="357"/>
        <w:gridCol w:w="146"/>
        <w:gridCol w:w="146"/>
        <w:gridCol w:w="196"/>
        <w:gridCol w:w="691"/>
        <w:gridCol w:w="146"/>
        <w:gridCol w:w="146"/>
        <w:gridCol w:w="196"/>
        <w:gridCol w:w="751"/>
        <w:gridCol w:w="166"/>
        <w:gridCol w:w="146"/>
        <w:gridCol w:w="201"/>
        <w:gridCol w:w="772"/>
        <w:gridCol w:w="213"/>
      </w:tblGrid>
      <w:tr>
        <w:trPr/>
        <w:tc>
          <w:tcPr>
            <w:tcW w:w="1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5,123,735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(86,398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5,430,298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(112,252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redeemable convertible preferred stock to common stock on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(17,817,643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redeemable convertible preferred stock warrants to common stock warrants 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upon IPO, net of offering costs of $5.0</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12,196,969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191,165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bookmarkStart w:id="20" w:name="range_a2_q15"/>
      <w:bookmarkEnd w:id="20"/>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21" w:name="statements_of_cash_flows"/>
      <w:bookmarkEnd w:id="21"/>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7"/>
        <w:gridCol w:w="146"/>
        <w:gridCol w:w="211"/>
        <w:gridCol w:w="781"/>
        <w:gridCol w:w="166"/>
        <w:gridCol w:w="146"/>
        <w:gridCol w:w="211"/>
        <w:gridCol w:w="736"/>
        <w:gridCol w:w="811"/>
      </w:tblGrid>
      <w:tr>
        <w:trPr/>
        <w:tc>
          <w:tcPr>
            <w:tcW w:w="6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non-current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recorder components and recorders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deferred IPO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IPO,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(33,740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Recorder components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into common stock on completion of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22" w:name="notes_to_financial_statements"/>
      <w:bookmarkEnd w:id="22"/>
      <w:r>
        <w:rPr>
          <w:rFonts w:ascii="Times New Roman" w:hAnsi="Times New Roman"/>
          <w:b/>
          <w:color w:val="000000"/>
          <w:sz w:val="20"/>
        </w:rPr>
        <w:t>Notes to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the Company completed its initial public offering (“IPO”) of 12,196,969 shares of its common stock, which includes 1,590,909 shares of common stock purchased by the underwriters pursuant to their option to purchase additional shares, at a price to the public of $17.00 per share. The net proceeds to the Company from the IPO were approximately $187.8 million, after deducting underwriting discounts and commissions, and offering expenses. Immediately prior to the closing of the Company’s IPO on October 15, 2024, all shares of the Company’s redeemable convertible preferred stock converted one for one into shares of the Company’s common stock and all warrants exercisable for redeemable convertible preferred stock converted into warrants exercisable for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the Company’s principal sources of liquidity consisted of $194.4 million of cash and cash equivalents.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December 31, 2024, and December 31, 2023, the Company had an accumulated deficit of $166.9 million and $126.5 million, respectively.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the Company completed its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cause customers to reduce their purchases. Changes in governmental banking, monetary, and fiscal policies to address liquidity and increase credit availability may not be effective. Continuation or further deterioration of these financial and macroeconomic conditions could harm company sales, profitability,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utilizes contract manufacturers in China to supply key sub-assemblies for its primary products. In addition, political instability or the deterioration of trade relations between the United States and China could adversely impact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minimize supply chain disruptions, the Company has increased inventory purchases of manufactured components and parts needed to meet forecast production demand.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The Company made immaterial revisions to change the classification of cash outflows for the acquisition of recorders and related components from cash outflow from operations to cash outflow from investing in the amount of $0.8 million for the year ended December 31, 2023. The Company also made immaterial revisions to change the classification of recorders and related components not placed into service from inventory to other non-current assets in the amount of $1.3 million and the classification of warrants for convertible preferred stock from other current liabilities to other liabilities, long term in the amount of $0.3 million at December 31, 2023.</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4, 2024, the Company amended and restated its amended and restated certificate of incorporation to effect a 1-for-2.57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preferred stock, options to purchase common stock, warrants to purchase redeemable convertible preferred stock and per share amounts contained in the financial statements have been retroactively adjusted to give effect to the Reverse Stock Split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valuation of warrants, valuation of the Company’s common stock (prior to the IPO), and valuation of the Company’s options to purchase common stock for purposes of accounting for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maturity of three months or less on the date of acquisition to be cash equivalents. As of December 31, 2024, and December 31, 2023, cash and cash equivalents consist of cash in business checking accounts, demand deposit accounts, and money market funds.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accounts receivables at the invoiced amount. The Company maintains an allowance for credit losses for any receivables the Company may be unable to collect. The Company estimates uncollectible receivables on an individual basis based on the receivables’ age, customers’ expected ability to pay and collection history, and current economic conditions, among other factors that may affect customers’ ability to pay. The Company uses its judgment, based on the best available facts and circumstances, and records an allowance against amounts due to reduce the receivable to the amount that is expected to be collected. Allowances for credit losses are immaterial and included in accounts receivable, net on the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Inventory is recorded at the lower of cost or net realizable value, which approximates actual cost on the first-in, first-out basis. Inventory costs include direct materials, direct labor, and normal manufacturing overhead. The Company uses third party contract manufacturers to complete the manufacturing and assembly of material components on site. Final quality inspection and packaging is performed at the Company’s headquarters. Prior to the quality inspection and packaging, the inventory is considered component material. The Company periodically assesses the recoverability of all inventories to determine whether adjustments for impairment are required. The Company evaluates the related commercial mix of finished goods and other general obsolescence and impairment criteria in assessing the recoverability of the Company’s inventory and records a provision for excess, expired, and obsolete inventory based primarily on estimates of forecasted demand. Judgment is required in determining these provisions, and a change in the timing or level of demand for products, as compared to forecasted amounts, may result in recording additional provisions for excess, expired, and obsolete inventory in the future.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and amortization. Maintenance and repairs are charged to expense as incurred, and leasehold improvements are capitalized. When assets are retired or otherwise disposed of, the cost and accumulated depreciation and amortization are removed from the balance sheet and any resulting gain or loss is reflected in the statement of operations in the period realized. Depreciation and amortization are computed using the straight-line method over the estimated useful lives of the assets in accordance with the following table: </w:t>
      </w:r>
    </w:p>
    <w:p>
      <w:pPr>
        <w:pStyle w:val="TextBody"/>
        <w:bidi w:val="0"/>
        <w:jc w:val="both"/>
        <w:rPr/>
      </w:pPr>
      <w:r>
        <w:rPr/>
        <w:t> </w:t>
      </w:r>
    </w:p>
    <w:tbl>
      <w:tblPr>
        <w:tblW w:w="7333" w:type="dxa"/>
        <w:jc w:val="left"/>
        <w:tblInd w:w="0" w:type="dxa"/>
        <w:tblLayout w:type="fixed"/>
        <w:tblCellMar>
          <w:top w:w="28" w:type="dxa"/>
          <w:left w:w="28" w:type="dxa"/>
          <w:bottom w:w="28" w:type="dxa"/>
          <w:right w:w="28" w:type="dxa"/>
        </w:tblCellMar>
      </w:tblPr>
      <w:tblGrid>
        <w:gridCol w:w="3511"/>
        <w:gridCol w:w="146"/>
        <w:gridCol w:w="36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the useful life or term of the lease</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Right-of-Use Assets and Lease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is a lease, or contains a lease, at inception. The Company recognizes on its balance sheets operating lease liabilities representing the present value of future lease payments and an associated operating lease right-of-use (ROU) asset for any operating lease with a term greater than one year. As the Company leases do not provide an implicit rate, the Company generally uses an incremental borrowing rate based on the estimated rate of interest for collateralized borrowing over a term similar to the lease arrangement. Significant judgment is required in determining the incremental collateralized borrowing rate. Lease expense is recognized on a straight-line basis over the lease term.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Redeemable Convertible Preferred Stock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holders of the outstanding shares of redeemable convertible preferred stock do not have stated redemption rights; however, the holders of the redeemable convertible stock are entitled to preferential payments in the event of a sale, lease, transfer, exclusive license or other disposition of all or substantially all of the Company’s assets or intellectual property, the acquisition of the Company by another entity by means of any reorganization, merger, or consolidation following which the Company’s stockholders as of immediately prior to such acquisition fail to hold at least 50% of the voting power of the resulting entity, or a liquidation, dissolution or winding up of the Company (a “Deemed Liquidation Event”). Because a Deemed Liquidation Event is not solely within the Company’s control, all shares of redeemable convertible preferred stock have been presented outside of permanent equity in the accompanying Balance Sheet for December 31, 2023. Immediately prior to the closing of the Company’s IPO on October 15, 2024, all shares of the Company’s redeemable convertible preferred stock converted into shares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Company issued freestanding warrants to purchase redeemable convertible preferred stock. The redeemable convertible preferred stock warrants were subject to remeasurement at each balance sheet date, and any change in fair value was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recognized as a component of non-operating income or expense in the Statements of Operations and Comprehensive Loss. The Company uses the Black- Scholes option-pricing model to determine the fair value of the warrants. Immediately prior to the closing of the Company’s IPO on October 15, 2024, all warrants exercisable for redeemable convertible preferred stock converted into warrants exercisable for common stock and were reclassified from long-term liabilities to equity. The warrants are currently exercisable and are included in Additional Paid-In Capital as of December 31, 2024, and in Other liabilities, long-term on the accompanying Balance Sheet as of December 31,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constituted 10% of the Company revenue for the years ended December 31, 2024, or 2023. No customers constituted 10% of the Company's accounts receivable balance as of December 31, 2024, or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or other comparable insurance limits will be backstopped by the U.S. or applicable foreign governments, or that 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include recorders, recorder components, and recorders at customer locations, as well as non-current deposits. The estimated useful life of recorders is three years and depreciation commences when recorders are placed into service at customer locations.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IPO 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IPO offering costs, consisting of legal fees, consulting fees, and accounting fees relating to the initial public offering are capitalized. The deferred IPO offering costs were offset against offering proceeds and reclassified as a reduction to equity upon the closing of the offering in the fourth quarter of 2024. The Company had no deferred IPO offering costs capitalized as of December 31, 2024 and December 31,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its long-lived assets, principally Property and Equipment and Right of Use Assets, for impairment whenever events or changes in circumstances indicate that the carrying amount of an asset may not be recoverable. Recoverability is measured by comparison of the carrying amount to the future cash flows that the assets are expected to generate. If such assets are considered to be impaired, the impairment to be recognized is measured by the amount by which the carrying amount of the assets exceeds the fair value of the assets. There have been no such impairments of long-lived assets recognized to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of direct and indirect costs related to the manufacturing of the Company’s products as well as hosting costs for the Company’s Clarity and EEG portal subscription services. Direct costs include headband costs, depreciation of recorders at customer locations, and costs related to assembly and testing performed by the Company’s employees. Indirect costs consist of allocated overhead for employee costs and facility costs. Shipping and handling costs incurred for inventory purchases and product shipments as well as tariffs are recorded in cost of revenue in the statements of operations and comprehensive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one reportable and operating segment. The Company generates revenue from two recurring sources. Product revenue is generated by the sale of the Company’s disposable headbands that are intended for single patient use. Subscription revenue is generated by monthly subscription fees charged to the Company’s hospital customers for use of Clarity,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“Segment Reporting” Topic of the Account Standard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accompanying financial statements. All of the Company’s revenue was in the United States for the years ended December 31, 2024, and 2023. Long-lived assets held outside of the United States are $0.9 million as of December 31, 2024, and $0.7 million as of December 31,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The estimated future minimum payments are less than $0.1 million per year through the end of the patents’ lives. The Company has an option to extend the exclusivity of the license to the date the last licensed patent expires upon payment of a term exercise fee.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$0.2 million, for both years ended December 31, 2024, and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charged to operations in the period incurred. Research and development costs include, but are not limited to, payroll and personnel and stock-based compensation expenses, laboratory supplies, consulting costs, and allocated overhead, including rent, equipment, depreciation, and utilities.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 in the statements of operations and comprehensive loss.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charges advertising costs to expense as incurred. Advertising costs were $0.4 million and $0.5 million, for the years ended December 31,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redeemable convertible preferred stock, stock options, and warrants to purchase convertible preferred stock on an as-converted basis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holders of redeemable convertible preferred stock do not have a contractual obligation to share in the Company’s losses. As such, the net loss was attributed entirely to common stockholders. Because the Company has reported a net loss for all periods presented, diluted net loss per common share is the same as basic net loss per common share for those periods. As of December 31, 2024, no participating securities remain outstanding.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stock-based compensation for employee and non-employee awards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ASC 718 requires the recognition of compensation expense, using a fair value-based method, for costs related to all service-based share- based payments, including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options granted to employees on the grant date using the Black-Scholes option valuation model. This valuation model for stock-based compensation expense requires the Company to make assumptions and judgments about the variables used in the calculation, including the value of the Company’s stock, the expected volatility of the Company’s common stock, the expected term (based on an average of the midpoint of the requisite service period and the contractual term, and the historical exercise behavior), the risk-free interest rate and expected dividends.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Comprehensive loss includes net loss as well as other changes in stockholders’ deficit that result from transactions and economic events other than those with stockholders. For the years ended December 31, 2024, and 2023, there was no difference between net loss and comprehensive loss.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deferred tax assets and liabilities for the expected future tax consequences of events that have been included in the Company’s balance sheets and income tax returns. Deferred tax assets and liabilities are determined based on the differences between the financial statement carrying amounts and the tax bases of assets and liabilities and for loss and credit carryforwards using the enacted rates expected to be in effect when the differences are expected to reverse. The Company evaluates the realizability of its deferred tax assets and records a valuation allowance if it is more likely than not that some or all of the deferred tax assets may not be realized.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assesses its income tax positions and records tax benefits based upon management’s evaluation of the facts, circumstances, and information available at the reporting date. The Company accounts for uncertainty in income taxes based on the guidance within ASC 740-10, which requires a more-likely-than-not threshold for financial statement recognition and measurement of tax positions taken or expected to be taken in a tax return. For those tax positions where it is more likely than not that a tax benefit will be sustained, the Company records the largest amount of tax benefit with a greater than 50% likelihood of being realized upon ultimate settlement with a taxing authority having full knowledge of all relevant information. For those income tax positions where it is not more likely than not that a tax benefit will be sustained, no tax benefit is recognized in the financial statements. The Company classifies interest and penalties on uncertain tax positions as income tax expense.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August 2020, the Financial Accounting Standards Board (the “FASB”) issued Account Standards Update (“ASU”) 2020-06, </w:t>
      </w:r>
      <w:r>
        <w:rPr>
          <w:rFonts w:ascii="Times New Roman" w:hAnsi="Times New Roman"/>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 w:hAnsi="Times New Roman"/>
          <w:color w:val="000000"/>
          <w:sz w:val="20"/>
        </w:rPr>
        <w:t>The amendment simplifies the accounting for certain financial instruments with characteristics of liabilities and equity, including convertible instruments and contracts on an entity’s own equity.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On January 1, 2024, the Company adopted ASU 2020-06, which had an immaterial impact on its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FASB issued ASU 2023-07 Segment Reporting—Improvements to Reportable Segment Disclosures. The amendment expands segment disclosures by requiring disclosure of significant segment expenses that are regularly provided to the chief operating decision maker (CODM), the amount and description of other segment items, permits companies to disclose more than one measure of segment profit or loss, and requires all annual segment disclosures to be included in the interim periods. The amendments do not change how an entity identifies its operating segments, aggregates those operating segments, or applies quantitative thresholds to determine its reportable segments. On December 31, 2024, the Company adopted ASU 2023-07, which had a disclosure only impact on its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The amendments expand income tax disclosure requirements by requiring an entity to disclose (i) specific categories in the rate reconciliation, (ii) additional information for reconciling items that meet a quantitative threshold, and (iii) the amount of taxes paid disaggregated by jurisdiction. The amendments are effective for fiscal years beginning after December 15, 2024. Early adoption is permitted. The adoption of ASU 2023-09 will impact the Company’s disclosures only and the Company is evaluating the effect of adopting the new disclosure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this ASU will have on our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recognizes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w:t>
      </w:r>
      <w:r>
        <w:rPr>
          <w:rFonts w:ascii="Times New Roman" w:hAnsi="Times New Roman"/>
          <w:color w:val="212428"/>
          <w:sz w:val="20"/>
        </w:rPr>
        <w:t>ASC 606 established a principle for recognizing revenue upon the transfer of promised goods or services to customers, in an amount that reflects the expected consideration received in exchange for those goods or services. The core principle of ASC 606 is to recognize revenue to depict the transfer of promised goods or services to the Company’s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Topic 606, the Company recognizes revenue through the following steps: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a contract with a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the performance obligations in the contract, including the evaluation of performance obligations and the distinct goods or services in a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Analysis of the Standalone Selling Price (SSP) and allocation of the transaction price to the performance obligations in the contract, as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Recognition of revenue when, or as, the performance obligation is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a contract when both parties have approved the contract and the Company is committed to perform its obligations, the rights of the parties are identified, payment terms (generally net 30 days) are identified, the contract has commercial substance, and collectability of consideration is probable.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is recognized upon transfer of control of promised products to the customer in an amount reflecting the consideration that is expected to be received in exchange for those products. The Company enters into contracts that include one or more products that are generally capable of being distinct and accounted for as individual performance obligations, in addition to a monthly subscription fee that is generally capable of being distinct and accounted for as an individual performance obligation.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Identification and Satisfaction of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 is derived from the sale of its products to medical groups and hospitals through its direct sales force throughout the U.S. Performance obligations in the Company’s contracts that are satisfied at a point in time include EEG headbands and EEG recorders sold to customers. The Company recognizes revenue for its EEG recorders sold separately from subscriptions and its EEG headbands upon transfer of control to the customer at a point in time. Performance obligations in the Company’s contracts that are satisfied over time include the EEG portal and Clarity software-as-a-service (SaaS) subscription products. For its Clarity and portal subscription products, the Company recognizes revenue ratably over the period in which the customer has the ability to consume and receive benefit from its access to the subscription, which is generally month to month. The Company’s Clarity subscriptions include the use of EEG recorders by the customer over the subscription term. The Company identifies the EEG recorders used in conjunction with a subscription as an operating lease component in its arrangements with its customers and identifies the subscription as a non-lease component in its arrangements with its customers, which the Company determined to be predominant. The lease and non-lease revenue components have similar patterns of revenue recognition, and as such, allows the Company to elect the practical expedient to not separate the lease and non-lease components. Therefore, the overall arrangement is accounted for under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consideration associated with customer contracts includes both fixed and variable amounts. Variable consideration includes discounts, rebates, credits, incentives, penalties, or other similar items. The amount of consideration that can vary is not material as a percentage of total annual consideration. Variable consideration estimates are reassessed at each reporting period until the contingency is resolved. The changes to the transaction price due to a change in estimated variable consideration are recorded as an adjustment to revenue in the period the estimate is changed. Changes to variable consideration are tracked and material changes are disclosed. Such changes were immaterial for the years ended December 31,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excludes sales tax from the transaction price and presents, as an accounting policy election, amounts collected from customers for sales and other taxes net of the related amounts remitted.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customer and is the basis of revenue recognition in accordance with GAAP. To determine the proper revenue recognition method for contracts, the Company evaluates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the combined or single contract into multiple performance obligations could change the amount of revenue and profit recorded in a given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6499" w:type="dxa"/>
        <w:jc w:val="left"/>
        <w:tblInd w:w="0" w:type="dxa"/>
        <w:tblLayout w:type="fixed"/>
        <w:tblCellMar>
          <w:top w:w="28" w:type="dxa"/>
          <w:left w:w="28" w:type="dxa"/>
          <w:bottom w:w="28" w:type="dxa"/>
          <w:right w:w="28" w:type="dxa"/>
        </w:tblCellMar>
      </w:tblPr>
      <w:tblGrid>
        <w:gridCol w:w="4096"/>
        <w:gridCol w:w="146"/>
        <w:gridCol w:w="211"/>
        <w:gridCol w:w="676"/>
        <w:gridCol w:w="146"/>
        <w:gridCol w:w="146"/>
        <w:gridCol w:w="211"/>
        <w:gridCol w:w="67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recorders and EEG headbands,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3841"/>
        <w:gridCol w:w="246"/>
        <w:gridCol w:w="211"/>
        <w:gridCol w:w="631"/>
        <w:gridCol w:w="266"/>
        <w:gridCol w:w="246"/>
        <w:gridCol w:w="211"/>
        <w:gridCol w:w="63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liabilities consist of up-front payments received from customers primarily for the Clarity SaaS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7106" w:type="dxa"/>
        <w:jc w:val="left"/>
        <w:tblInd w:w="0" w:type="dxa"/>
        <w:tblLayout w:type="fixed"/>
        <w:tblCellMar>
          <w:top w:w="28" w:type="dxa"/>
          <w:left w:w="28" w:type="dxa"/>
          <w:bottom w:w="28" w:type="dxa"/>
          <w:right w:w="28" w:type="dxa"/>
        </w:tblCellMar>
      </w:tblPr>
      <w:tblGrid>
        <w:gridCol w:w="4786"/>
        <w:gridCol w:w="146"/>
        <w:gridCol w:w="224"/>
        <w:gridCol w:w="672"/>
        <w:gridCol w:w="176"/>
        <w:gridCol w:w="155"/>
        <w:gridCol w:w="224"/>
        <w:gridCol w:w="512"/>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 and non-current performance obligations are expected to be recognized within 3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assets or liabilities. The fair value hierarchy gives the highest priority to Level 1 inputs.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spacing w:before="120" w:after="283"/>
        <w:jc w:val="both"/>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00" w:type="dxa"/>
        <w:jc w:val="left"/>
        <w:tblInd w:w="0" w:type="dxa"/>
        <w:tblLayout w:type="fixed"/>
        <w:tblCellMar>
          <w:top w:w="28" w:type="dxa"/>
          <w:left w:w="28" w:type="dxa"/>
          <w:bottom w:w="28" w:type="dxa"/>
          <w:right w:w="28" w:type="dxa"/>
        </w:tblCellMar>
      </w:tblPr>
      <w:tblGrid>
        <w:gridCol w:w="2551"/>
        <w:gridCol w:w="446"/>
        <w:gridCol w:w="211"/>
        <w:gridCol w:w="676"/>
        <w:gridCol w:w="146"/>
        <w:gridCol w:w="146"/>
        <w:gridCol w:w="239"/>
        <w:gridCol w:w="391"/>
        <w:gridCol w:w="146"/>
        <w:gridCol w:w="146"/>
        <w:gridCol w:w="211"/>
        <w:gridCol w:w="421"/>
        <w:gridCol w:w="146"/>
        <w:gridCol w:w="146"/>
        <w:gridCol w:w="211"/>
        <w:gridCol w:w="676"/>
        <w:gridCol w:w="591"/>
      </w:tblGrid>
      <w:tr>
        <w:trPr/>
        <w:tc>
          <w:tcPr>
            <w:tcW w:w="25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Assets,</w:t>
            </w:r>
            <w:r>
              <w:rPr>
                <w:rFonts w:ascii="Times New Roman" w:hAnsi="Times New Roman"/>
                <w:color w:val="000000"/>
                <w:sz w:val="20"/>
              </w:rPr>
              <w:t> at fair value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Liabilities, </w:t>
            </w:r>
            <w:r>
              <w:rPr>
                <w:rFonts w:ascii="Times New Roman" w:hAnsi="Times New Roman"/>
                <w:color w:val="000000"/>
                <w:sz w:val="20"/>
              </w:rPr>
              <w:t>at fair value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valuation technique used to measure the fair value of money market funds is derived from quoted prices in active markets for identical assets or liabilities, which is categorized as Level 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value of the warrants to purchase the Company’s redeemable convertible preferred stock is dependent on the inputs for which there is little or no market data, in particular the value of the Company’s stock. As a result, the valuation of the warrants to purchase the Company’s redeemable convertible preferred stock is categorized as Level 3. When a determination is made to classify a financial instrument within Level 3, the determination is based upon the lowest level of significance of the unobservable inputs to the overall fair value measurement. However, Level 3 financial instruments typically include, in addition to the unobservable inputs, observable inputs (that is, components that are actively quoted and can be validated to external sources). Accordingly, the gain or loss for changes in fair value recognized in the statements of operations and comprehensive loss are due in part, to observable factors that are part of the Level 3 methodology recognized. The fair values could change significantly based on future market conditions. Immediately prior to the closing of the Company’s IPO on October 15, 2024, all warrants exercisable for redeemable convertible preferred stock converted into warrants exercisable for common stock and reclassified from long-term liabilities to equity. The warrants are currently exercisable and are included in Additional Paid-In Capital as of December 31, 2024, and in Other liabilities, long-term on the accompanying Balance Sheet as of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warrant liability at December 31, 2023, was determined using the Black-Scholes option pricing model using the following assumptions, as well as the estimates of the valuation of the underlying preferred stock:</w:t>
      </w:r>
    </w:p>
    <w:p>
      <w:pPr>
        <w:pStyle w:val="TextBody"/>
        <w:bidi w:val="0"/>
        <w:jc w:val="both"/>
        <w:rPr/>
      </w:pPr>
      <w:r>
        <w:rPr/>
        <w:t> </w:t>
      </w:r>
    </w:p>
    <w:tbl>
      <w:tblPr>
        <w:tblW w:w="3938" w:type="dxa"/>
        <w:jc w:val="left"/>
        <w:tblInd w:w="0" w:type="dxa"/>
        <w:tblLayout w:type="fixed"/>
        <w:tblCellMar>
          <w:top w:w="28" w:type="dxa"/>
          <w:left w:w="28" w:type="dxa"/>
          <w:bottom w:w="28" w:type="dxa"/>
          <w:right w:w="28" w:type="dxa"/>
        </w:tblCellMar>
      </w:tblPr>
      <w:tblGrid>
        <w:gridCol w:w="2086"/>
        <w:gridCol w:w="146"/>
        <w:gridCol w:w="449"/>
        <w:gridCol w:w="106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6.00 - 7.00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 - 76.00%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 - 4.60%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both"/>
        <w:rPr/>
      </w:pPr>
      <w:r>
        <w:rPr/>
        <w:t> </w:t>
      </w:r>
    </w:p>
    <w:tbl>
      <w:tblPr>
        <w:tblW w:w="4680" w:type="dxa"/>
        <w:jc w:val="left"/>
        <w:tblInd w:w="0" w:type="dxa"/>
        <w:tblLayout w:type="fixed"/>
        <w:tblCellMar>
          <w:top w:w="28" w:type="dxa"/>
          <w:left w:w="28" w:type="dxa"/>
          <w:bottom w:w="28" w:type="dxa"/>
          <w:right w:w="28" w:type="dxa"/>
        </w:tblCellMar>
      </w:tblPr>
      <w:tblGrid>
        <w:gridCol w:w="1861"/>
        <w:gridCol w:w="146"/>
        <w:gridCol w:w="294"/>
        <w:gridCol w:w="801"/>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both"/>
        <w:rPr/>
      </w:pPr>
      <w:r>
        <w:rPr/>
        <w:t> </w:t>
      </w:r>
    </w:p>
    <w:tbl>
      <w:tblPr>
        <w:tblW w:w="6930" w:type="dxa"/>
        <w:jc w:val="left"/>
        <w:tblInd w:w="0" w:type="dxa"/>
        <w:tblLayout w:type="fixed"/>
        <w:tblCellMar>
          <w:top w:w="28" w:type="dxa"/>
          <w:left w:w="28" w:type="dxa"/>
          <w:bottom w:w="28" w:type="dxa"/>
          <w:right w:w="28" w:type="dxa"/>
        </w:tblCellMar>
      </w:tblPr>
      <w:tblGrid>
        <w:gridCol w:w="4111"/>
        <w:gridCol w:w="146"/>
        <w:gridCol w:w="294"/>
        <w:gridCol w:w="801"/>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$0.7 million and $0.5 million for the years ended December 31,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8305" w:type="dxa"/>
        <w:jc w:val="left"/>
        <w:tblInd w:w="0" w:type="dxa"/>
        <w:tblLayout w:type="fixed"/>
        <w:tblCellMar>
          <w:top w:w="28" w:type="dxa"/>
          <w:left w:w="28" w:type="dxa"/>
          <w:bottom w:w="28" w:type="dxa"/>
          <w:right w:w="28" w:type="dxa"/>
        </w:tblCellMar>
      </w:tblPr>
      <w:tblGrid>
        <w:gridCol w:w="5446"/>
        <w:gridCol w:w="146"/>
        <w:gridCol w:w="294"/>
        <w:gridCol w:w="801"/>
        <w:gridCol w:w="166"/>
        <w:gridCol w:w="146"/>
        <w:gridCol w:w="294"/>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Recorder depreciation expense was $0.4 million and $0.3 million for the years ended December 31,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5550" w:type="dxa"/>
        <w:jc w:val="left"/>
        <w:tblInd w:w="0" w:type="dxa"/>
        <w:tblLayout w:type="fixed"/>
        <w:tblCellMar>
          <w:top w:w="28" w:type="dxa"/>
          <w:left w:w="28" w:type="dxa"/>
          <w:bottom w:w="28" w:type="dxa"/>
          <w:right w:w="28" w:type="dxa"/>
        </w:tblCellMar>
      </w:tblPr>
      <w:tblGrid>
        <w:gridCol w:w="2731"/>
        <w:gridCol w:w="146"/>
        <w:gridCol w:w="260"/>
        <w:gridCol w:w="835"/>
        <w:gridCol w:w="146"/>
        <w:gridCol w:w="146"/>
        <w:gridCol w:w="294"/>
        <w:gridCol w:w="80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There has been no Company matching of employee contributions to the plan through December 31, 2024, and December 31,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 provision for a liability when management believes that it is both probable that a liability has been incurred and the amount of the loss can be reasonably estimated. The Company is not presently a party to any litigation. Legal fees are expensed in the period in which they are incurred. As of December 31, 2024, and December 31, 2023, there were no litigation liabilities recorded.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the Company entered into an operating lease agreement for additional office and warehouse space in Sunnyvale, California. The lease commenced when the Company obtained early use of the property beginning on June 1, 2024. The lease terminates on January 31,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6970" w:type="dxa"/>
        <w:jc w:val="left"/>
        <w:tblInd w:w="0" w:type="dxa"/>
        <w:tblLayout w:type="fixed"/>
        <w:tblCellMar>
          <w:top w:w="28" w:type="dxa"/>
          <w:left w:w="28" w:type="dxa"/>
          <w:bottom w:w="28" w:type="dxa"/>
          <w:right w:w="28" w:type="dxa"/>
        </w:tblCellMar>
      </w:tblPr>
      <w:tblGrid>
        <w:gridCol w:w="3901"/>
        <w:gridCol w:w="146"/>
        <w:gridCol w:w="294"/>
        <w:gridCol w:w="801"/>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summary of total lease expense and other information for the periods relating to the Company’s operating leases was as follows: </w:t>
      </w:r>
    </w:p>
    <w:p>
      <w:pPr>
        <w:pStyle w:val="TextBody"/>
        <w:bidi w:val="0"/>
        <w:jc w:val="both"/>
        <w:rPr/>
      </w:pPr>
      <w:r>
        <w:rPr/>
        <w:t> </w:t>
      </w:r>
    </w:p>
    <w:tbl>
      <w:tblPr>
        <w:tblW w:w="9720" w:type="dxa"/>
        <w:jc w:val="left"/>
        <w:tblInd w:w="0" w:type="dxa"/>
        <w:tblLayout w:type="fixed"/>
        <w:tblCellMar>
          <w:top w:w="28" w:type="dxa"/>
          <w:left w:w="28" w:type="dxa"/>
          <w:bottom w:w="28" w:type="dxa"/>
          <w:right w:w="28" w:type="dxa"/>
        </w:tblCellMar>
      </w:tblPr>
      <w:tblGrid>
        <w:gridCol w:w="6901"/>
        <w:gridCol w:w="146"/>
        <w:gridCol w:w="294"/>
        <w:gridCol w:w="801"/>
        <w:gridCol w:w="146"/>
        <w:gridCol w:w="146"/>
        <w:gridCol w:w="294"/>
        <w:gridCol w:w="801"/>
        <w:gridCol w:w="191"/>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1,287</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1,126</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payments for amounts included in the measurement of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795</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December 31, 2024, the future minimum lease payments under the non-cancelable operating lease are as follows (in thousands):</w:t>
      </w:r>
    </w:p>
    <w:p>
      <w:pPr>
        <w:pStyle w:val="TextBody"/>
        <w:bidi w:val="0"/>
        <w:jc w:val="both"/>
        <w:rPr/>
      </w:pPr>
      <w:r>
        <w:rPr/>
        <w:t> </w:t>
      </w:r>
    </w:p>
    <w:tbl>
      <w:tblPr>
        <w:tblW w:w="4838" w:type="dxa"/>
        <w:jc w:val="left"/>
        <w:tblInd w:w="0" w:type="dxa"/>
        <w:tblLayout w:type="fixed"/>
        <w:tblCellMar>
          <w:top w:w="28" w:type="dxa"/>
          <w:left w:w="28" w:type="dxa"/>
          <w:bottom w:w="28" w:type="dxa"/>
          <w:right w:w="28" w:type="dxa"/>
        </w:tblCellMar>
      </w:tblPr>
      <w:tblGrid>
        <w:gridCol w:w="2986"/>
        <w:gridCol w:w="546"/>
        <w:gridCol w:w="294"/>
        <w:gridCol w:w="80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 The Company and the Lenders agreed to refinance the existing Horizon term loan facility which also modified, among other things, the repayment terms of the existing Horizon term loan and the maturity date from October 2024 to March 2029. The amounts borrowed under the VLSA are secured by all of the Company’s assets, excluding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drew down the entire first tranche of $20,000,000 in principal (“Term Loan”), including $6,000,000 from SVB (“SVB Loan”) and $14,000,000 from Horizon (“Horizon Loan”) and utilized a portion of the proceeds to repay the remaining principal on the 2020 Loan. Subject to the VLSA terms, the Company is entitled to receive up to $30,000,000 (“Outstanding Commitment”) in three additional tranches of $10,000,000 each.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December 31, 2024. In each of the three additional tranches, $3,000,000 is allocated to SVB, and $7,000,000 is allocated to Horizon. Any amounts drawn under the Outstanding Commitment are subject to the same terms and conditions as the SVB Loan and Horizon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 is payable to the Lenders in twelve equal monthly installments between April 1, 2028 (“Amortization Date”) and March 1, 2029 (“Maturity Date”) subject to certain prepayment fees in accordance with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SVB Loan carries a variable per-annum interest rate at the Prime Rate (as published in the Wall Street Journal), subject to the floor of 6.00%. The Horizon Loan carries a variable per-annum interest rate at the Prime Rate plus 2.75%, subject to the floor of 9.25%. The Company is also required to pay end-of-term fees of 4.0% per tranche drawn on the Maturity Date or upon repayment of the amounts due to the Lenders under the VLSA. The Company is required to pay additional commitment fees of $35,000 upon funding of each additional tranche.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paid to the Lenders $245,000 and issued warrants to purchase 41,345 shares of the Company’s Series C-1 Preferred Stock at a price of $11.49 per share (“Initial Warrants”). The fair value of the Initial Warrants was determined to be approximately $304,000. If the Company draws down any amounts of the Outstanding Commitment, it will be required to issue additional warrants exercisable for shares of the Company’s most senior Preferred Stock with the aggregate exercise price of $150,000 per tranche (“Additional Warrants”). The exercise price of the Additional Warrants will be $11.49 per share, subject to a down-round adjustment. See Note 10 for a discussion of the Initial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VLSA was treated as a loan syndication, and the SVB Loan was determined to be a new loan. The issuance of the Horizon Loan was accounted for as a modification of the outstanding term loan. The Company utilized the proceeds from the Horizon Loan to repay the outstanding principal of $11,250,000 and end-of-term fees of $845,000 under the existing term loan due to Horizon.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$10,000,000 (“Revolving Facility”). The Revolving Facility is secured by the Company’s accounts receivable, inventory, and other property, excluding intellectual property. The Company may draw up to 85% of the eligible trade receivables and is required to remit the underlying customer proceeds to repay the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Revolving Facility carries a variable per-annum interest rate at the Prime Rate plus 0.25%, subject to the floor of 6.00%, and includes additional fees of $300,000 that are payable regardless of whether any amounts are drawn. The Revolving Facility matures on February 6, 2026. Any borrowings under the Revolving Facility are subordinate to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issuance costs under the LSA and VLSA as follows: (1) $535,000 to the Term Loan liability representing the initial lender fees and the fair value of the Initial Warrants to be recognized as interest expense through the Maturity Date, (2) $347,000 to the deferred debt financing cost asset to be recognized as interest expense through the Maturity Date and to be reclassified to the Term Loan liability upon draws or expiration of the tranches, and (3) $116,000 to the Revolving Facility deferred debt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financing cost asset to be recognized as interest expense over the availability period of two years. The end-of-term fee is being accreted and the debt issuance costs are being amortized over the term of the notes using the effective interest method. The effective interest rate is 9.5%, inclusive of the end-of-term fee and debt issuance as of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LSA and VLSA have interrelated provisions and financial covenants based on net indebtedness and certain revenue-based ratios. Upon an event of default, the interest on the Term Loan and Revolving facility may be increased by 5.0%. The Term Loan also includes a late payment fee of 6.0% of the amount not paid when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Company was in compliance with debt covenants under the LSA and VLSA. No amounts were drawn under the Outstanding Commitment and Revolving Facility through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740" w:type="dxa"/>
        <w:jc w:val="left"/>
        <w:tblInd w:w="0" w:type="dxa"/>
        <w:tblLayout w:type="fixed"/>
        <w:tblCellMar>
          <w:top w:w="28" w:type="dxa"/>
          <w:left w:w="28" w:type="dxa"/>
          <w:bottom w:w="28" w:type="dxa"/>
          <w:right w:w="28" w:type="dxa"/>
        </w:tblCellMar>
      </w:tblPr>
      <w:tblGrid>
        <w:gridCol w:w="2881"/>
        <w:gridCol w:w="146"/>
        <w:gridCol w:w="260"/>
        <w:gridCol w:w="835"/>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Redeemable Convertible Preferred Stock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Company’s Amended and Restated Certificate of Incorporation, the Company is authorized to issue none and 46,624,838 shares of $0.001 par value redeemable convertible preferred stock as of December 31, 2024, and December 31, 2023, respectively. </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Company’s IPO on October 15, 2024, all shares of the Company’s redeemable convertible preferred stock converted into shares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designated and outstanding redeemable convertible preferred stock are as follows:</w:t>
      </w:r>
    </w:p>
    <w:p>
      <w:pPr>
        <w:pStyle w:val="TextBody"/>
        <w:bidi w:val="0"/>
        <w:jc w:val="both"/>
        <w:rPr/>
      </w:pPr>
      <w:r>
        <w:rPr/>
        <w:t> </w:t>
      </w:r>
    </w:p>
    <w:tbl>
      <w:tblPr>
        <w:tblW w:w="8062" w:type="dxa"/>
        <w:jc w:val="left"/>
        <w:tblInd w:w="0" w:type="dxa"/>
        <w:tblLayout w:type="fixed"/>
        <w:tblCellMar>
          <w:top w:w="28" w:type="dxa"/>
          <w:left w:w="28" w:type="dxa"/>
          <w:bottom w:w="28" w:type="dxa"/>
          <w:right w:w="28" w:type="dxa"/>
        </w:tblCellMar>
      </w:tblPr>
      <w:tblGrid>
        <w:gridCol w:w="586"/>
        <w:gridCol w:w="146"/>
        <w:gridCol w:w="146"/>
        <w:gridCol w:w="1036"/>
        <w:gridCol w:w="146"/>
        <w:gridCol w:w="146"/>
        <w:gridCol w:w="163"/>
        <w:gridCol w:w="1157"/>
        <w:gridCol w:w="146"/>
        <w:gridCol w:w="146"/>
        <w:gridCol w:w="211"/>
        <w:gridCol w:w="1141"/>
        <w:gridCol w:w="146"/>
        <w:gridCol w:w="146"/>
        <w:gridCol w:w="211"/>
        <w:gridCol w:w="781"/>
        <w:gridCol w:w="146"/>
        <w:gridCol w:w="146"/>
        <w:gridCol w:w="238"/>
        <w:gridCol w:w="887"/>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22,973,771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101,523,315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46,624,838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17,817,643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152,590,358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holders of the outstanding shares of redeemable convertible preferred stock did not have stated redemption rights; however, the holders of the redeemable convertible stock were entitled to preferential payments in the event of Deemed Liquidation Event.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rights, preferences and privileges of the redeemable convertible preferred stockholders were as follows: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the non-voting holders of Series C-NV redeemable convertible preferred stock, the holders of redeemable convertible preferred stock were entitled to vote on all matters on which the common stockholders are entitled to vote. Holders of redeemable convertible preferred stock and common stock vote together as a single class, with respect to any matter upon which holders of common stock have the right to vote. Each holder of redeemable convertible preferred stock was entitled to the number of votes equal to the number of common stock shares into which the shares held by such holder are convertible. The holders of a majority of the voting shares were able to elect all of the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as, and if declared by the Board of Directors, the Company would have declared dividends on the Series C preferred stock (the “Series C Dividends”) at an annual rate of $0.9190 per share (the “Series C Dividend Rate”) according to the number of shares of Series C preferred stock held by such holders. The right to receive dividends on shares of Series C preferred stock was not cumulative, and no right to dividends accrued to holders of Series C preferred stock by reason of the fact that dividends on said shares were not declared or paid in any calendar year. Payment of any dividends to the holders of Series C preferred stock would have been payable in preference and priority to any declaration or payment of any dividend distribution on Series B preferred stock, Series A preferred stock, Series Seed preferred stock and common stock of the Company and the Company would not have declared, paid or set aside any dividends on shares of any other class or series of capital stock of the Company unless the holders of the Series C preferred stock then outstanding would have first received, or simultaneously received, the Series C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as, and if declared by the Board of Directors, the Company would have declared dividends on the Series B preferred stock (the “Series B Dividends”) at an annual rate of $0.6124 per share (the “Series B Dividend Rate”) according to the number of shares of Series B preferred stock held by such holders. The right to receive dividends on shares of Series B preferred stock was not cumulative, and no right to dividends accrued to holders of Series B preferred stock by reason of the fact that dividends on said shares were not declared or paid in any calendar year. Payment of any dividends to the holders of Series B preferred stock would have been payable in preference and priority to any declaration or payment of any dividend distribution on Series A preferred stock, Series Seed preferred stock and common stock of the Company and the Company would not have declared, paid or set aside any dividends on shares of any other class or series of capital stock of the Company (other than the Series C Dividends) unless the holders of the Series B preferred stock then outstanding would have first received, or simultaneously received, the Series B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as, and if declared by the Board of Directors, the Company would have declared dividends on the Series A preferred stock (the “Series A Dividends”) at an annual rate of $0.3565 per share (the “Series A Dividend Rate”) according to the number of shares of Series A preferred stock held by such holders. The right to receive dividends on shares of Series A preferred stock was not cumulative, and no right to dividends accrued to holders of Series A preferred stock by reason of the fact that dividends on said shares were not declared or paid in any calendar year. Payment of any dividends to the holders of Series A preferred stock would have been payable in preference and priority to any declaration or payment of any dividend distribution on Series Seed preferred stock and common stock of the Company and the Company would not have declared, paid or set aside any dividends on shares of any other class or series of capital stock of the Company (other than the Series C Dividends and the Series B Dividends) unless the holders of the Series A preferred stock then outstanding would have first received, or simultaneously received, the Series A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the payment or setting aside for payment of the dividends for Series A, B, and C Dividends, when, as, and if declared by the Board of Directors, the Company would have declared dividends pro rata on the common stock and the preferred stock on a pari passu basis according to the number of shares of common stock held by such holders. For this purpose each holder of shares of preferred stock was treated as holding the greatest whole number of shares of common stock then issuable upon conversion of all shares of preferred stock held by such holder. No dividends have been declared to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any liquidation, including a deemed liquidity event, dissolution, or winding up of the Company, either voluntary or involuntary, the holders of Series C redeemable convertible preferred stock first were entitled to receive, prior and in preference to any distribution of any of the assets of the Company to the holders of common stock, Series B, Series A and Series Seed redeemable convertible preferred stock, an amount equal to the greater of the sum $11.49 per share as adjusted for any stock splits, stock dividends, combinations, recapitalizations plus all declared but unpaid dividends on such shares, and such amount per share as would have been payable had all shares of Series C and redeemable convertible preferred stock been converted into common stock prior to such liquidation, dissolution, or winding up of the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completion of the distribution of the full amount of Series C, the holders of Series B were entitled to receive, prior and in preference to any distribution of any of the assets of the Company to the holders of common stock, Series A and Series Seed convertible preferred stock, an amount equal to the greater of the sum $7.6540 per share, as adjusted for any stock splits, stock dividends, combinations, recapitalizations plus all declared but unpaid dividends on such shares, and such amount per share as would have been payable had all shares of Series B redeemable convertible preferred stock been converted into common stock prior to such liquidation, dissolution, or winding up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completion of the distribution of the full amount to Series C and Series B redeemable convertible preferred shareholders, the holders of Series A and Series Seed convertible preferred stock were entitled to receive, prior and in preference to any distribution of any of the assets of the Company to the holders of common stock, for each share of Series A convertible preferred stock, an amount equal to the greater of the sum of $4.4564, as adjusted for any recapitalizations plus all declared but unpaid dividends on such shares, and such amount per share as would have been payable had all shares of Series A redeemable convertible preferred stock been converted into common stock immediately prior to such liquidation, dissolution, or winding up of the Company, and for each share of Series Seed redeemable convertible preferred stock, $0.8233 and an amount equal to all declared but unpaid dividends on such shares as adjusted for any recapitalizations.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assets legally available for distribution were insufficient to cover the amounts owed to the holders of Series A and Series Seed convertible preferred stock together as a class, the assets would have been distributed with equal priority and pro rata among the holders of both Series A and Series Seed redeemable convertible preferred stock in proportion to the full amounts that they would have received had funds been sufficient.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completion of the distributions of the full amount required to the holders of Series C, Series B, Series A, and Series Seed redeemable convertible preferred stock, all of the remaining assets of the Company available for distribution to stockholders would have been distributed among the holders of common stock and Series Seed redeemable convertible preferred stock pro rata based on the number of shares of common stock held by each (treating the shares of Series Seed redeemable convertible preferred stock for this purpose as if they had been converted to shares of common stock at the then-effective conversion price for such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share of redeemable convertible preferred stock was convertible at the option of the holder into that number of common shares that is equal to the original issuance price of the redeemable convertible preferred stock divided by the conversion price, subject to adjustment for events of dilution. Upon conversion, holders of Series C-NV convertible preferred stock could have elected to receive non-voting common stock or common stock on the same terms. The original issuance price is equal to $0.8233 per Series Seed preferred share, $4.4564 per Series A preferred share, $7.6540 per Series B preferred share, and $11.49 per Series C preferred share. As of December 31, 2023, all redeemable convertible preferred units were convertible into common shares at a one-for-one conversion ratio.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closed its IPO on October 15, 2024, and all of the outstanding shares of convertible preferred stock were automatically converted into common stock.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February 6, 2024, the Company, Horizon, and SVB entered into a $60 million financing commitment, consisting of a $50 million term loan commitment and a $10 million revolving line of credit. Warrants representing the right to purchase 41,345 shares of Series C-1 redeemable convertible preferred stock at a price of $11.49 per share were issued upon closing. See Note 9 for a discussion of the new financing commitment.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342"/>
        <w:gridCol w:w="146"/>
        <w:gridCol w:w="211"/>
        <w:gridCol w:w="736"/>
        <w:gridCol w:w="166"/>
        <w:gridCol w:w="146"/>
        <w:gridCol w:w="211"/>
        <w:gridCol w:w="736"/>
        <w:gridCol w:w="166"/>
        <w:gridCol w:w="146"/>
        <w:gridCol w:w="271"/>
        <w:gridCol w:w="870"/>
        <w:gridCol w:w="146"/>
        <w:gridCol w:w="146"/>
        <w:gridCol w:w="271"/>
        <w:gridCol w:w="870"/>
        <w:gridCol w:w="146"/>
        <w:gridCol w:w="146"/>
        <w:gridCol w:w="179"/>
        <w:gridCol w:w="959"/>
        <w:gridCol w:w="195"/>
      </w:tblGrid>
      <w:tr>
        <w:trPr/>
        <w:tc>
          <w:tcPr>
            <w:tcW w:w="3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C-1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warrants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60,954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w:t>
              <w:br/>
              <w:t>stock warrants to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warrants were subject to remeasurement at each balance sheet date, and any change in fair value was recognized as a change in fair value as a component of non-operating income or expense in the Statements of Operations and Comprehensive Loss. Immediately prior to the closing of the Company’s IPO on October 15, 2024, all warrants exercisable for redeemable convertible preferred stock converted into warrants exercisable for common stock and reclassified from long-term liabilities to equity. The warrants are included in Additional paid-in capital as of December 31, 2024, and in Other liabilities, long-term on the accompanying Balance Sheet as of December 31, 2023. The change in the value of the warrant liability for the years ended December 31, 2024, and 2023, is summarized in the following table (in thousands).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fair value activity for the warrant liability (in thousands):</w:t>
      </w:r>
    </w:p>
    <w:p>
      <w:pPr>
        <w:pStyle w:val="TextBody"/>
        <w:bidi w:val="0"/>
        <w:jc w:val="both"/>
        <w:rPr/>
      </w:pPr>
      <w:r>
        <w:rPr/>
        <w:t> </w:t>
      </w:r>
    </w:p>
    <w:tbl>
      <w:tblPr>
        <w:tblW w:w="8550" w:type="dxa"/>
        <w:jc w:val="left"/>
        <w:tblInd w:w="0" w:type="dxa"/>
        <w:tblLayout w:type="fixed"/>
        <w:tblCellMar>
          <w:top w:w="28" w:type="dxa"/>
          <w:left w:w="28" w:type="dxa"/>
          <w:bottom w:w="28" w:type="dxa"/>
          <w:right w:w="28" w:type="dxa"/>
        </w:tblCellMar>
      </w:tblPr>
      <w:tblGrid>
        <w:gridCol w:w="7351"/>
        <w:gridCol w:w="146"/>
        <w:gridCol w:w="211"/>
        <w:gridCol w:w="631"/>
        <w:gridCol w:w="211"/>
      </w:tblGrid>
      <w:tr>
        <w:trPr/>
        <w:tc>
          <w:tcPr>
            <w:tcW w:w="7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 stock warrants to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Deficit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authorized to issue 500,000,000 and 76,046,350 shares of $0.001 par value common stock as of December 31, 2024, and December 31, 2023, respectively. Authorized shares of common stock as of December 31, 2023, include 626,398 shares of non-voting common stock, none of which were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subject to the prior rights of holders of redeemable convertible preferred stock outstanding. As of December 31, 2024, and December 31, 2023,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and December 31, 2023, the Company had reserved common stock for future issuance as follows:</w:t>
      </w:r>
    </w:p>
    <w:p>
      <w:pPr>
        <w:pStyle w:val="TextBody"/>
        <w:bidi w:val="0"/>
        <w:jc w:val="both"/>
        <w:rPr/>
      </w:pPr>
      <w:r>
        <w:rPr/>
        <w:t> </w:t>
      </w:r>
    </w:p>
    <w:tbl>
      <w:tblPr>
        <w:tblW w:w="8634" w:type="dxa"/>
        <w:jc w:val="left"/>
        <w:tblInd w:w="0" w:type="dxa"/>
        <w:tblLayout w:type="fixed"/>
        <w:tblCellMar>
          <w:top w:w="28" w:type="dxa"/>
          <w:left w:w="28" w:type="dxa"/>
          <w:bottom w:w="28" w:type="dxa"/>
          <w:right w:w="28" w:type="dxa"/>
        </w:tblCellMar>
      </w:tblPr>
      <w:tblGrid>
        <w:gridCol w:w="5641"/>
        <w:gridCol w:w="146"/>
        <w:gridCol w:w="146"/>
        <w:gridCol w:w="1036"/>
        <w:gridCol w:w="146"/>
        <w:gridCol w:w="146"/>
        <w:gridCol w:w="146"/>
        <w:gridCol w:w="1036"/>
        <w:gridCol w:w="1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Seed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1,218,208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A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3,026,755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C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C-1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under the 2014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4,746,527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under the 2024 EIP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under the 2024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 under the 2024 EIP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 under the 2024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reserved for future issuance under the 2014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reserved for future issuance under the 2024 EIP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awards reserved for future issuance under the 2024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23,034,141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2014, the Board of Directors adopted the 2014 Stock Incentive Plan (the “2014 Plan”) under which incentive stock options (“ISO”), non-statutory stock options (“NQ”), restricted stock, restricted stock units (“RSU”), stock appreciation rights (“SAR”), dividend equivalent rights, performance stock units (“PSU”), and performance shares may be granted to its employees, directors, and consultants. To date only ISO and NQ awards have been granted. The Board of Directors determines the terms and conditions of the awards, including the number of awards to be granted and vesting criteria at the time of grant. The term of each option shall be stated in the option agreement; however, the term shall be no more than ten years from the date of the grant thereof. Options granted under the 2014 Plan generally vest over a four-year period starting from the date specified in each agreement. Stock options must be granted with an exercise price no less than the stock’s fair market value at the date of grant. Except for as-needed increases in the size of the total option pool, the 2014 Plan has had no major changes since its inception.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23, 2024, the Board of Directors terminated the 2014 Plan and adopted the 2024 Equity Incentive Plan (the “2024 EIP”). An aggregate of 3,610,238 shares of the Company’s common stock under the 2014 Plan plus forfeited shares to the Company under the 2014 Plan may be issued under the 2024 EIP. Upon termination of the 2014 Plan, no additional awards will be granted under the 2014 Plan. Under the 2024 EIP, ISOs, NQs, RSUs, and other stock-based awards may be granted to its employees, directors, and consultants. To date, only ISO, NQ, and performance-based awards have been granted. The Board of Directors determines the terms and conditions of the awards, including the number of awards to be granted and vesting criteria at the time of grant. The term of each option shall be stated in the option agreement; however, the term shall be no more than ten years from the date of the grant thereof. Stock options must be granted with an exercise price no less than the stock’s fair market value at the date of grant.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9, 2024, the Board of Directors terminated the 2024 EIP and adopted the 2024 Incentive Award Plan (the “2024 Plan”). An aggregate of 4,366,326 shares of the Company's common stock under the 2024 EIP plus forfeited shares to the Company under the 2014 Plan and 2024 EIP may be issued under the 2024 Plan plus an increase commencing on the first day of each calendar year beginning January 1, 2025, and continuing annually on the anniversary thereof through (and including) January 1, 2034, equal to the lesser of 5% of the shares of all classes of the Company’s common stock outstanding on the last day of the immediately preceding fiscal year (calculated on an as-converted basis) and such smaller number of shares as determined by the Board of Directors. Upon termination of the 2024 EIP, no additional awards will be granted under the 2024 EIP. Under the 2024 Plan, ISOs, NQs, RSUs, PSUs, and other stock-based awards may be granted to its employees, directors, and consultants. To date, ISO, NQ, RSUs, and performance-based awards have been granted. The Board of Directors determines the terms and conditions of the awards, including the number of awards to be granted and vesting criteria at the time of grant. The terms of each option and award shall be stated in the agreement; however, the term shall be no more than ten years from the date of the grant thereof. Stock options must be granted with an exercise price no less than the stock’s fair market value at the date of grant.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 activity under the plans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57"/>
        <w:gridCol w:w="146"/>
        <w:gridCol w:w="146"/>
        <w:gridCol w:w="931"/>
        <w:gridCol w:w="166"/>
        <w:gridCol w:w="146"/>
        <w:gridCol w:w="285"/>
        <w:gridCol w:w="778"/>
        <w:gridCol w:w="146"/>
        <w:gridCol w:w="146"/>
        <w:gridCol w:w="250"/>
        <w:gridCol w:w="808"/>
        <w:gridCol w:w="146"/>
        <w:gridCol w:w="146"/>
        <w:gridCol w:w="175"/>
        <w:gridCol w:w="939"/>
        <w:gridCol w:w="194"/>
      </w:tblGrid>
      <w:tr>
        <w:trPr/>
        <w:tc>
          <w:tcPr>
            <w:tcW w:w="4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4,746,527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13,383</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5,708,070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years ended December 31, 2024 and 2023 was $7.46 and $3.22 per share, respectively. The aggregate intrinsic value of options exercised during the years ended December 31, 2024 and 2023 was $4.0 million and $0.4 million,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Unit activity under the plans is as follows:</w:t>
      </w:r>
    </w:p>
    <w:p>
      <w:pPr>
        <w:pStyle w:val="TextBody"/>
        <w:bidi w:val="0"/>
        <w:jc w:val="both"/>
        <w:rPr/>
      </w:pPr>
      <w:r>
        <w:rPr/>
        <w:t> </w:t>
      </w:r>
    </w:p>
    <w:tbl>
      <w:tblPr>
        <w:tblW w:w="5957" w:type="dxa"/>
        <w:jc w:val="left"/>
        <w:tblInd w:w="0" w:type="dxa"/>
        <w:tblLayout w:type="fixed"/>
        <w:tblCellMar>
          <w:top w:w="28" w:type="dxa"/>
          <w:left w:w="28" w:type="dxa"/>
          <w:bottom w:w="28" w:type="dxa"/>
          <w:right w:w="28" w:type="dxa"/>
        </w:tblCellMar>
      </w:tblPr>
      <w:tblGrid>
        <w:gridCol w:w="2761"/>
        <w:gridCol w:w="146"/>
        <w:gridCol w:w="146"/>
        <w:gridCol w:w="781"/>
        <w:gridCol w:w="166"/>
        <w:gridCol w:w="146"/>
        <w:gridCol w:w="435"/>
        <w:gridCol w:w="1185"/>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fair value of shares vested during the year ended December 31, 2024 was $0.02 million. No restricted stock units were granted or vested in 2023.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the aggregate unrecognized compensation costs related to outstanding unvested options and RSUs under the 2014 Plan, 2024 EIP, and 2024 Plan was $24.0 million. The Company expects to recognize those costs over a weighted average period of 2.9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estimated the fair value of stock options and RSUs granted prior to being publicly traded using the Black-Scholes option-pricing model. The fair value of RSUs post IPO is based on the Company’s closing stock price on the date of grant. The fair value of service-based stock options and RSUs are amortized on a straight-line basis over the requisite service period of the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w:t>
      </w:r>
    </w:p>
    <w:p>
      <w:pPr>
        <w:pStyle w:val="TextBody"/>
        <w:bidi w:val="0"/>
        <w:jc w:val="both"/>
        <w:rPr/>
      </w:pPr>
      <w:r>
        <w:rPr/>
        <w:t> </w:t>
      </w:r>
    </w:p>
    <w:tbl>
      <w:tblPr>
        <w:tblW w:w="4481" w:type="dxa"/>
        <w:jc w:val="left"/>
        <w:tblInd w:w="0" w:type="dxa"/>
        <w:tblLayout w:type="fixed"/>
        <w:tblCellMar>
          <w:top w:w="28" w:type="dxa"/>
          <w:left w:w="28" w:type="dxa"/>
          <w:bottom w:w="28" w:type="dxa"/>
          <w:right w:w="28" w:type="dxa"/>
        </w:tblCellMar>
      </w:tblPr>
      <w:tblGrid>
        <w:gridCol w:w="2086"/>
        <w:gridCol w:w="146"/>
        <w:gridCol w:w="146"/>
        <w:gridCol w:w="466"/>
        <w:gridCol w:w="271"/>
        <w:gridCol w:w="146"/>
        <w:gridCol w:w="146"/>
        <w:gridCol w:w="146"/>
        <w:gridCol w:w="466"/>
        <w:gridCol w:w="27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6011" w:type="dxa"/>
        <w:jc w:val="left"/>
        <w:tblInd w:w="0" w:type="dxa"/>
        <w:tblLayout w:type="fixed"/>
        <w:tblCellMar>
          <w:top w:w="28" w:type="dxa"/>
          <w:left w:w="28" w:type="dxa"/>
          <w:bottom w:w="28" w:type="dxa"/>
          <w:right w:w="28" w:type="dxa"/>
        </w:tblCellMar>
      </w:tblPr>
      <w:tblGrid>
        <w:gridCol w:w="3526"/>
        <w:gridCol w:w="146"/>
        <w:gridCol w:w="211"/>
        <w:gridCol w:w="571"/>
        <w:gridCol w:w="146"/>
        <w:gridCol w:w="146"/>
        <w:gridCol w:w="146"/>
        <w:gridCol w:w="211"/>
        <w:gridCol w:w="571"/>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total fair value of options and RSUs vested during the period are $4.2 million and $2.4 million for the years ended December 31, 2024, and 2023, respectively.</w:t>
      </w:r>
      <w:r>
        <w:rPr>
          <w:rFonts w:ascii="Times New Roman" w:hAnsi="Times New Roman"/>
          <w:color w:val="FF0000"/>
          <w:sz w:val="20"/>
        </w:rPr>
        <w:t xml:space="preserve"> </w:t>
      </w:r>
      <w:r>
        <w:rPr>
          <w:rFonts w:ascii="Times New Roman" w:hAnsi="Times New Roman"/>
          <w:color w:val="000000"/>
          <w:sz w:val="20"/>
        </w:rPr>
        <w:t xml:space="preserve">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118,999 and 64,527 of option awards outstanding as of December 31, 2024, and December 31, 2023, respectively and stock-based compensation related to performance-based awards was not material. Total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includes non-employee stock-based compensation of $0.3 million and $0.4 million for the years ended December 31, 2024, and 2023,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years presented because the effects of potentially dilutive items were anti-dilutive given the Company’s net loss position in each period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7214"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5645" w:type="dxa"/>
        <w:jc w:val="left"/>
        <w:tblInd w:w="0" w:type="dxa"/>
        <w:tblLayout w:type="fixed"/>
        <w:tblCellMar>
          <w:top w:w="28" w:type="dxa"/>
          <w:left w:w="28" w:type="dxa"/>
          <w:bottom w:w="28" w:type="dxa"/>
          <w:right w:w="28" w:type="dxa"/>
        </w:tblCellMar>
      </w:tblPr>
      <w:tblGrid>
        <w:gridCol w:w="3346"/>
        <w:gridCol w:w="146"/>
        <w:gridCol w:w="156"/>
        <w:gridCol w:w="613"/>
        <w:gridCol w:w="156"/>
        <w:gridCol w:w="156"/>
        <w:gridCol w:w="156"/>
        <w:gridCol w:w="725"/>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recorded no income tax expense for the years ended December 31,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a reconciliation of the statutory federal rate and the Company’s effective tax rate for the periods presented.</w:t>
      </w:r>
    </w:p>
    <w:p>
      <w:pPr>
        <w:pStyle w:val="TextBody"/>
        <w:bidi w:val="0"/>
        <w:jc w:val="both"/>
        <w:rPr/>
      </w:pPr>
      <w:r>
        <w:rPr/>
        <w:t> </w:t>
      </w:r>
    </w:p>
    <w:tbl>
      <w:tblPr>
        <w:tblW w:w="5140" w:type="dxa"/>
        <w:jc w:val="left"/>
        <w:tblInd w:w="0" w:type="dxa"/>
        <w:tblLayout w:type="fixed"/>
        <w:tblCellMar>
          <w:top w:w="28" w:type="dxa"/>
          <w:left w:w="28" w:type="dxa"/>
          <w:bottom w:w="28" w:type="dxa"/>
          <w:right w:w="28" w:type="dxa"/>
        </w:tblCellMar>
      </w:tblPr>
      <w:tblGrid>
        <w:gridCol w:w="2656"/>
        <w:gridCol w:w="146"/>
        <w:gridCol w:w="157"/>
        <w:gridCol w:w="567"/>
        <w:gridCol w:w="357"/>
        <w:gridCol w:w="157"/>
        <w:gridCol w:w="157"/>
        <w:gridCol w:w="567"/>
        <w:gridCol w:w="37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Rate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significant components of the net deferred tax assets are as follows (in thousands):</w:t>
      </w:r>
    </w:p>
    <w:p>
      <w:pPr>
        <w:pStyle w:val="TextBody"/>
        <w:bidi w:val="0"/>
        <w:jc w:val="both"/>
        <w:rPr/>
      </w:pPr>
      <w:r>
        <w:rPr/>
        <w:t> </w:t>
      </w:r>
    </w:p>
    <w:tbl>
      <w:tblPr>
        <w:tblW w:w="6389" w:type="dxa"/>
        <w:jc w:val="left"/>
        <w:tblInd w:w="0" w:type="dxa"/>
        <w:tblLayout w:type="fixed"/>
        <w:tblCellMar>
          <w:top w:w="28" w:type="dxa"/>
          <w:left w:w="28" w:type="dxa"/>
          <w:bottom w:w="28" w:type="dxa"/>
          <w:right w:w="28" w:type="dxa"/>
        </w:tblCellMar>
      </w:tblPr>
      <w:tblGrid>
        <w:gridCol w:w="3426"/>
        <w:gridCol w:w="146"/>
        <w:gridCol w:w="211"/>
        <w:gridCol w:w="736"/>
        <w:gridCol w:w="166"/>
        <w:gridCol w:w="146"/>
        <w:gridCol w:w="211"/>
        <w:gridCol w:w="736"/>
        <w:gridCol w:w="61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ROU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Bonus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No tax benefit has been recorded through December 31, 2024, because, given the history of operating losses, the Company believes it is more likely than not that the deferred tax asset will not be realized, and a full valuation allowance has been provided. The change in the valuation allowance for the years ended December 31, 2024, and 2023 was $9.6 million and $8.5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the Company had federal and state net operating loss carryforwards of $127.1 million and $126.9 million, respectively, available to reduce future taxable income, if any. As of December 31, 2023, the Company had federal and state net operating loss carryforwards of $105.0 million and $104.8 million, respectively, available to reduce future taxable income, if any. The federal net operating loss carryforwards generated prior to January 1, 2018, of $5.0 million and state net operating losses will begin to expire in 2035. The remaining federal net operating loss carryforwards of $122.1 million will not expire. Net federal operating losses generated after December 31, 2017 are not limited as they can be carried forward indefinitely, subject to an 80% income limitation. As of December 31, 2024, the Company had federal and state research and development credits of $1.4 million and $1.5 million, respectively. As of December 31, 2023, the Company had federal and state research and development credits of $1.1 million and $1.4 million, respectively. The federal research and development credits will begin to expire in 2035. The state research and development credit will not expire.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Utilization of some of the federal and state net operating losses and credit carryforwards may be subject to annual limitations due to the change in ownership provisions of the Internal Revenue Code of 1986 (“Internal Revenue Code”) and similar state provisions. The Tax Reform Act of 1986 limits the use of net operating loss and tax credit carryforwards in certain situations where changes occur in the stock ownership of a company. Due to ownership changes since inception, the Company’s net operating losses may be limited as to their usage. In the event the Company has additional changes in ownership, utilization of the carryforwards could be further restricted. The Company performed an Internal Revenue Code Section 382 study in 2023 and there was no change in ownership identified. A study has not yet been performed for 2024. If there was an ownership change, there could be an annual limitation that may result in the expiration of net operating losses and credits before utilization.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Beginning in 2022, additional changes under the U.S. Tax Cuts and Jobs Act came into effect, including the mandatory capitalization and amortization of research and development expenses. These provisions require the Company to capitalize research and experimental expenditures and amortize them on the U.S. tax return over five or fifteen years, depending on where research is conducted.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uncertainty in income taxes under ASC topic 740. ASC 740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 The Company has netted its current gross unrecognized tax benefits against its deferred tax assets.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gross unrecognized tax benefits (in thousands):</w:t>
      </w:r>
    </w:p>
    <w:p>
      <w:pPr>
        <w:pStyle w:val="TextBody"/>
        <w:bidi w:val="0"/>
        <w:jc w:val="both"/>
        <w:rPr/>
      </w:pPr>
      <w:r>
        <w:rPr/>
        <w:t> </w:t>
      </w:r>
    </w:p>
    <w:tbl>
      <w:tblPr>
        <w:tblW w:w="4365" w:type="dxa"/>
        <w:jc w:val="left"/>
        <w:tblInd w:w="0" w:type="dxa"/>
        <w:tblLayout w:type="fixed"/>
        <w:tblCellMar>
          <w:top w:w="28" w:type="dxa"/>
          <w:left w:w="28" w:type="dxa"/>
          <w:bottom w:w="28" w:type="dxa"/>
          <w:right w:w="28" w:type="dxa"/>
        </w:tblCellMar>
      </w:tblPr>
      <w:tblGrid>
        <w:gridCol w:w="3376"/>
        <w:gridCol w:w="146"/>
        <w:gridCol w:w="211"/>
        <w:gridCol w:w="42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related to prior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related to prior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3" w:name="changes_disagreements_with_accounta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4" w:name="controls_and_procedures"/>
      <w:bookmarkEnd w:id="24"/>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Based on such evaluation, our Chief Executive Officer and Chief Financial Officer have concluded that these disclosure controls and procedures were effective at a reasonable assurance level as of December 31,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13a-15(d) and 15d-15(d) of the Exchange Act) during the quarter ended December 31, 2024,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360" w:after="283"/>
        <w:jc w:val="both"/>
        <w:rPr>
          <w:rFonts w:ascii="Times New Roman" w:hAnsi="Times New Roman"/>
          <w:b/>
          <w:color w:val="000000"/>
          <w:sz w:val="20"/>
        </w:rPr>
      </w:pPr>
      <w:bookmarkStart w:id="25" w:name="other_information"/>
      <w:bookmarkEnd w:id="25"/>
      <w:r>
        <w:rPr>
          <w:rFonts w:ascii="Times New Roman" w:hAnsi="Times New Roman"/>
          <w:b/>
          <w:color w:val="000000"/>
          <w:sz w:val="20"/>
        </w:rPr>
        <w:t>Item 9B.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12, 2024, David Foehr, the Company’s Senior Vice President, Finance, adopted a 10b5-1 trading plan, which is designed to be in effect until December 15, 2025. The aggregate number of shares of common stock available to be sold pursuant to Mr. Foehr’s 10b5-1 plan is 17,223 and such shares will not be available for sale pursuant to so such plan until after April 8, 2025. Mr. Foehr’s 10b5-1 plan is intended to satisfy the affirmative defense conditions of Rule 10b5-1(c) under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13, 2024, Xingjuan (Jane) Chao, Ph.D., the Company’s President and Chief Executive Officer and a member of the Company's Board of Directors, adopted a 10b5-1 trading plan, which is designed to be in effect until December 31, 2025. The aggregate number of shares of common stock available to be sold pursuant to Dr. Chao’s 10b5-1 plan is 395,000 and such shares will not be available for sale pursuant to so such plan until after April 8, 2025. Dr. Chao’s 10b5-1 plan is intended to satisfy the affirmative defense conditions of Rule 10b5-1(c) under the Exchange Act.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Appointment of Chief Revenue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25, 2025, the Company announced that it intends to appoint Sean Manni to the position of Chief Revenue Officer. Mr. Manni, age 50, has served as the Company’s Senior Vice President, Sales, since April 2024. Prior to that, he served as the Vice President, North America Sales of Omnicell, Inc., a healthcare technology company (“Omnicell”), from 2019 to 2024. Mr. Manni also held other positions of increasing responsibility at Omnicell between 2008 and 2019. He holds a B.A. in sociology/criminal justice from East Stroudsburg University of Pennsylvania.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Departure of Chief Business Officer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Joshua Copp, the Company’s Chief Business Officer, will be departing from the Company as of March 19, 2025. Mr. Copp's departure will be subject to a separation agreement, which will include severance payments and other customary provisions. The Company expects to finalize and enter into the separation agreement with Mr. Copp in the near future, and the finalized agreement will be filed as an exhibit to the Company's next Quarterly Report on Form 10-Q.</w:t>
      </w:r>
    </w:p>
    <w:p>
      <w:pPr>
        <w:pStyle w:val="TextBody"/>
        <w:bidi w:val="0"/>
        <w:jc w:val="both"/>
        <w:rPr>
          <w:rFonts w:ascii="Times New Roman" w:hAnsi="Times New Roman"/>
          <w:sz w:val="20"/>
        </w:rPr>
      </w:pPr>
      <w:bookmarkStart w:id="26" w:name="disclosure_regarding_foreign_jurisdicti"/>
      <w:bookmarkEnd w:id="26"/>
      <w:r>
        <w:rPr>
          <w:rFonts w:ascii="Times New Roman" w:hAnsi="Times New Roman"/>
          <w:color w:val="000000"/>
          <w:sz w:val="20"/>
        </w:rPr>
        <w:br/>
      </w:r>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7" w:name="directors_executive_officers_and_corpor"/>
      <w:bookmarkEnd w:id="27"/>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 information required by this item is incorporated by reference to our definitive Proxy Statement to be filed with the SEC in connection with our 2025 Annual Meeting of Stockholders within 120 days after the end of the fiscal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 www.ceribell.com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Market, by filing a Current Report on Form 8-K with the SEC, disclosing such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as Exhibit 19.1.</w:t>
      </w:r>
    </w:p>
    <w:p>
      <w:pPr>
        <w:pStyle w:val="TextBody"/>
        <w:bidi w:val="0"/>
        <w:spacing w:before="360" w:after="283"/>
        <w:jc w:val="left"/>
        <w:rPr>
          <w:rFonts w:ascii="Times New Roman" w:hAnsi="Times New Roman"/>
          <w:b/>
          <w:color w:val="000000"/>
          <w:sz w:val="20"/>
        </w:rPr>
      </w:pPr>
      <w:bookmarkStart w:id="28" w:name="executive_compensation"/>
      <w:bookmarkEnd w:id="28"/>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2025 Annual Meeting of Stockholders within 120 days after the end of the fiscal year ended December 31, 2024.</w:t>
      </w:r>
    </w:p>
    <w:p>
      <w:pPr>
        <w:pStyle w:val="TextBody"/>
        <w:bidi w:val="0"/>
        <w:spacing w:before="360" w:after="283"/>
        <w:jc w:val="left"/>
        <w:rPr>
          <w:rFonts w:ascii="Times New Roman" w:hAnsi="Times New Roman"/>
          <w:b/>
          <w:color w:val="000000"/>
          <w:sz w:val="20"/>
        </w:rPr>
      </w:pPr>
      <w:bookmarkStart w:id="29" w:name="security_ownership_of_certain_beneficial"/>
      <w:bookmarkEnd w:id="29"/>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2025 Annual Meeting of Stockholders within 120 days after the end of the fiscal year ended December 31, 2024.</w:t>
      </w:r>
    </w:p>
    <w:p>
      <w:pPr>
        <w:pStyle w:val="TextBody"/>
        <w:bidi w:val="0"/>
        <w:spacing w:before="360" w:after="283"/>
        <w:jc w:val="left"/>
        <w:rPr>
          <w:rFonts w:ascii="Times New Roman" w:hAnsi="Times New Roman"/>
          <w:b/>
          <w:color w:val="000000"/>
          <w:sz w:val="20"/>
        </w:rPr>
      </w:pPr>
      <w:bookmarkStart w:id="30" w:name="certain_relationships_and_related"/>
      <w:bookmarkEnd w:id="30"/>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2025 Annual Meeting of Stockholders within 120 days after the end of the fiscal year ended December 31, 2024.</w:t>
      </w:r>
    </w:p>
    <w:p>
      <w:pPr>
        <w:pStyle w:val="TextBody"/>
        <w:bidi w:val="0"/>
        <w:spacing w:before="360" w:after="283"/>
        <w:jc w:val="left"/>
        <w:rPr>
          <w:rFonts w:ascii="Times New Roman" w:hAnsi="Times New Roman"/>
          <w:b/>
          <w:color w:val="000000"/>
          <w:sz w:val="20"/>
        </w:rPr>
      </w:pPr>
      <w:bookmarkStart w:id="31" w:name="principal_accounting_fees_and_services"/>
      <w:bookmarkEnd w:id="31"/>
      <w:r>
        <w:rPr>
          <w:rFonts w:ascii="Times New Roman" w:hAnsi="Times New Roman"/>
          <w:b/>
          <w:color w:val="000000"/>
          <w:sz w:val="20"/>
        </w:rPr>
        <w:t>Item 14. Principal Accounting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2025 Annual Meeting of Stockholders within 120 days after the end of the fiscal year ended December 31,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2" w:name="exhibits_financial_statement_schedules"/>
      <w:bookmarkEnd w:id="32"/>
      <w:r>
        <w:rPr>
          <w:rFonts w:ascii="Times New Roman" w:hAnsi="Times New Roman"/>
          <w:b/>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See Index to Financial Statements included in the financial statements in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 Schedules. All financial statement schedules are omitted because they are not applicable or required, or the information required to be set forth therein is included in the financial statements or notes thereto included in the Index to Financial Statements of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 The exhibits required to be filed as part of this Annual Report are listed in the Exhibit List attached hereto and are incorporated herein by reference.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06"/>
        <w:gridCol w:w="146"/>
        <w:gridCol w:w="6566"/>
        <w:gridCol w:w="533"/>
        <w:gridCol w:w="735"/>
        <w:gridCol w:w="691"/>
        <w:gridCol w:w="828"/>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Certificate of Incorporation.</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Bylaws.</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Common Stock Certificate.</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4_02.htm">
              <w:r>
                <w:rPr>
                  <w:rStyle w:val="InternetLink"/>
                  <w:rFonts w:ascii="Times New Roman" w:hAnsi="Times New Roman"/>
                  <w:color w:val="0000FF"/>
                  <w:sz w:val="20"/>
                  <w:u w:val="single"/>
                </w:rPr>
                <w:t>Description of the Registrant’s Securities Registered Pursuant to Section 12 of the Securities Exchange Act of 1934.</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Warrant to Purchase Shares of Series Preferred Stock, dated May 1, 2020, issued to Horizon Technology Finance Corporation (Loan A).</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4.03</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Warrant to Purchase Shares of Series Preferred Stock, dated May 1, 2020, issued to Horizon Technology Finance Corporation (Loan B).</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Amended and Restated Warrant to Purchase Shares of Series Preferred Stock, dated May 1, 2020, issued to Horizon Technology Finance Corporation (Loan C), as amended on March 10, 2022.</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Amended and Restated Warrant to Purchase Shares of Series Preferred Stock, dated May 1, 2020, issued to Horizon Technology Finance Corporation (Loan D), as amended on March 10, 2022.</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Warrant to Purchase Shares of Series Preferred Stock, dated May 1, 2020, issued to Horizon Technology Finance Corporation (Loan E).</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4.07</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Warrant to Purchase Shares of Series Preferred Stock, dated May 1, 2020, issued to Horizon Technology Finance Corporation (Loan F).</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4.08</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Warrant to Purchase Shares of Series C-1 Preferred Stock, dated March 10, 2022, issued to Horizon Technology Finance Corporation (Loan C).</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4.09</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Warrant to Purchase Shares of Series C-1 Preferred Stock, dated March 10, 2022, issued to Horizon Technology Finance Corporation (Loan D).</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Warrant to Purchase Shares of Series C-1 Preferred Stock, dated March 10, 2022, issued to Horizon Technology Finance Corporation (Loan G).</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Warrant to Purchase Shares of Series C-1 Preferred Stock, dated March 10, 2022, issued to Horizon Technology Finance Corporation (Loan H).</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Warrant to Purchase Shares of Series C-1 Preferred Stock, dated March 10, 2022, issued to Horizon Technology Finance Corporation (Loan I).</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Warrant to Purchase Shares of Series C-1 Preferred Stock, dated March 10, 2022, issued to Horizon Technology Finance Corporation (Loan J).</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Warrant to Purchase Shares of Series C-1 Preferred Stock, dated February 6, 2024, issued to Silicon Valley Bank, a Division of First-Citizens Bank &amp; Trust Company. (Closing Warrant).</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Warrant to Purchase Shares of Series C-1 Preferred Stock, dated February 6, 2024, issued to Horizon Technology Finance Corporation. (Loan B).</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Warrant to Purchase Shares of Series C-1 Preferred Stock, dated February 6, 2024, issued to Horizon Technology Finance Corporation. (Loan C).</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
        <w:gridCol w:w="146"/>
        <w:gridCol w:w="7542"/>
        <w:gridCol w:w="369"/>
        <w:gridCol w:w="669"/>
        <w:gridCol w:w="571"/>
        <w:gridCol w:w="288"/>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Warrant to Purchase Shares of Series C-1 Preferred Stock, dated February 6, 2024, issued to Horizon Technology Finance Corporation. (Loan D).</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Warrant to Purchase Shares of Series C-1 Preferred Stock, dated February 6, 2024, issued to Horizon Technology Finance Corporation. (Loan F Commitment).</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Warrant to Purchase Shares of Series C-1 Preferred Stock, dated February 6, 2024, issued to Horizon Technology Finance Corporation. (Loan G Commitment).</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Warrant to Purchase Shares of Series C-1 Preferred Stock, dated February 6, 2024, issued to Horizon Technology Finance Corporation. (Loan I Commitment).</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Warrant to Purchase Shares of Series C-1 Preferred Stock, dated February 6, 2024, issued to Horizon Technology Finance Corporation. (Loan J Commitment).</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Warrant to Purchase Shares of Series C-1 Preferred Stock, dated February 6, 2024, issued to Horizon Technology Finance Corporation. (Loan L Commitment).</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Warrant to Purchase Shares of Series C-1 Preferred Stock, dated February 6, 2024, issued to Horizon Technology Finance Corporation. (Loan M Commitment).</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Lease Agreement dated July 2021, by and between WTA Pastoria II LLC and CeriBell, Inc.</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Letter Agreement dated October 5, 2021, by and between WTA Pastoria II LLC and CeriBell, Inc.</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Standard Industrial/Commercial Multi-Tenant Lease, dated May 17, 2024, by and between George Yagmourian and Josefa Yagmourian, Trustees of the Yagmourian 1984 Living Trust dated October 10, 1984 and CeriBell, Inc.</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Loan and Security Agreement, dated February 6, 2024, by and between CeriBell, Inc. and Silicon Valley Bank.</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Venture Loan and Security Agreement, dated February 6, 2024, by and among CeriBell, Inc., Horizon Technology Finance Corporation and Silicon Valley Bank.</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10_06.htm">
              <w:r>
                <w:rPr>
                  <w:rStyle w:val="InternetLink"/>
                  <w:rFonts w:ascii="Times New Roman" w:hAnsi="Times New Roman"/>
                  <w:color w:val="0000FF"/>
                  <w:sz w:val="20"/>
                  <w:u w:val="single"/>
                </w:rPr>
                <w:t>First Amendment to Venture Loan and Security Agreement, dated February 14, 2025, by and among CeriBell, Inc., Horizon Technology Finance Corporation and Silicon Valley Bank.</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Exclusive (Equity) Agreement, dated June 15, 2015, by and between the Board of Trustees of the Leland Stanford Junior University and CeriBell, Inc.</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Amendment No. 1 to the License Agreement effective the 15th Day of June 2015 by and between the Board of Trustees of the Leland Stanford Junior University and CeriBell, Inc., dated September 14, 2015.</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2 to the License Agreement effective the 15th Day of June 2015 and amended the 14th Day of September 2015, by and between the Board of Trustees of the Leland Stanford Junior University and CeriBell, Inc., dated April 1, 2017.</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Amendment No. 3 to the License Agreement effective the 15th Day of June 2015, by and between the Board of Trustees of the Leland Stanford Junior University and CeriBell, Inc., dated March 8, 2022.</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2024 Incentive Award Plan.</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Form Agreements under 2024 Incentive Award Plan.</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2024 Employee Stock Purchase Plan.</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Non-Employee Director Compensation Program.</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Form of Indemnification Agreement for Directors and Officers.</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Employment Agreement, by and between CeriBell, Inc. and Xingjuan (Jane) Chao, Ph.D.</w:t>
              </w:r>
            </w:hyperlink>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7444"/>
        <w:gridCol w:w="382"/>
        <w:gridCol w:w="687"/>
        <w:gridCol w:w="571"/>
        <w:gridCol w:w="289"/>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Employment Agreement, by and between CeriBell, Inc. and Scott Blumberg.</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Employment Agreement, by and between CeriBell, Inc. and Joshua Copp.</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Employment Agreement, by and between CeriBell, Inc. and Raymond Woo, Ph.D., as amended.</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Form of Executive Change in Control and Severance Agreement.</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Consulting Agreement, dated May 7, 2018, and Amendment No.1 to Consulting Agreement, dated October 2, 2024, by and between CeriBell, Inc. and Josef Parvizi.</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Corporate Supply Agreement, dated January 10, 2022, by and between CeriBell, Inc. and Shenzhen Everwin Precision Technology Co., Ltd.</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Corporate Supply Agreement Amendment, dated March 7, 2023, by and between CeriBell, Inc. and Shenzhen Everwin Precision Technology Co., Ltd.</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Corporate Supply Agreement, dated February 1, 2024, by and between CeriBell, Inc. and Ease Care under the management of Luxen and Kersen.</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19_1.htm">
              <w:r>
                <w:rPr>
                  <w:rStyle w:val="InternetLink"/>
                  <w:rFonts w:ascii="Times New Roman" w:hAnsi="Times New Roman"/>
                  <w:color w:val="0000FF"/>
                  <w:sz w:val="20"/>
                  <w:u w:val="single"/>
                </w:rPr>
                <w:t>Insider Trading Compliance Policy and Procedures.</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23_1.htm">
              <w:r>
                <w:rPr>
                  <w:rStyle w:val="InternetLink"/>
                  <w:rFonts w:ascii="Times New Roman" w:hAnsi="Times New Roman"/>
                  <w:color w:val="0000FF"/>
                  <w:sz w:val="20"/>
                  <w:u w:val="single"/>
                </w:rPr>
                <w:t>Consent of PricewaterhouseCoopers LLP, independent registered public accounting firm.</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signature page to this Annual Report on Form 10-K).</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97.htm">
              <w:r>
                <w:rPr>
                  <w:rStyle w:val="InternetLink"/>
                  <w:rFonts w:ascii="Times New Roman" w:hAnsi="Times New Roman"/>
                  <w:color w:val="0000FF"/>
                  <w:sz w:val="20"/>
                  <w:u w:val="single"/>
                </w:rPr>
                <w:t>Policy Relating to Recovery of Erroneously Awarded Compensation.</w:t>
              </w:r>
            </w:hyperlink>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Portions of the exhibit, marked by brackets, have been omitted because the omitted information is (i) not material and (ii) the type of information that the registrant customarily and actually treats as private or confidential.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attached as Exhibit 32.1 and Exhibit 32.2 that accompanies this Annual Report pursuant to 18 U.S.C. Section 1350, as adopted pursuant to Section 906 of the Sarbanes-Oxley Act of 2002, is not deemed “filed” by the Registrant for purposes of Section 18 of the Securities Exchange Act of 1934, as amended.</w:t>
      </w:r>
    </w:p>
    <w:p>
      <w:pPr>
        <w:pStyle w:val="TextBody"/>
        <w:bidi w:val="0"/>
        <w:spacing w:before="360" w:after="283"/>
        <w:jc w:val="both"/>
        <w:rPr>
          <w:rFonts w:ascii="Times New Roman" w:hAnsi="Times New Roman"/>
          <w:b/>
          <w:color w:val="000000"/>
          <w:sz w:val="20"/>
        </w:rPr>
      </w:pPr>
      <w:bookmarkStart w:id="33" w:name="form_10k_summary"/>
      <w:bookmarkEnd w:id="33"/>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2086"/>
        <w:gridCol w:w="146"/>
        <w:gridCol w:w="406"/>
        <w:gridCol w:w="32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CeriBell,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center"/>
        <w:rPr/>
      </w:pPr>
      <w:r>
        <w:rPr/>
        <w:t> </w:t>
      </w:r>
    </w:p>
    <w:p>
      <w:pPr>
        <w:pStyle w:val="TextBody"/>
        <w:bidi w:val="0"/>
        <w:spacing w:before="0" w:after="180"/>
        <w:jc w:val="both"/>
        <w:rPr>
          <w:rFonts w:ascii="Times New Roman" w:hAnsi="Times New Roman"/>
          <w:sz w:val="20"/>
        </w:rPr>
      </w:pPr>
      <w:r>
        <w:rPr>
          <w:rFonts w:ascii="Times New Roman" w:hAnsi="Times New Roman"/>
          <w:color w:val="231F20"/>
          <w:sz w:val="20"/>
        </w:rPr>
        <w:t xml:space="preserve">KNOW ALL PERSONS BY THESE PRESENTS, that each person whose signature appears below constitutes and appoints </w:t>
      </w:r>
      <w:r>
        <w:rPr>
          <w:rFonts w:ascii="Times New Roman" w:hAnsi="Times New Roman"/>
          <w:color w:val="000000"/>
          <w:sz w:val="20"/>
        </w:rPr>
        <w:t>Xingjuan (Jane) Chao, Ph.D.</w:t>
      </w:r>
      <w:r>
        <w:rPr>
          <w:rFonts w:ascii="Times New Roman" w:hAnsi="Times New Roman"/>
          <w:color w:val="231F20"/>
          <w:sz w:val="20"/>
        </w:rPr>
        <w:t xml:space="preserve"> and </w:t>
      </w:r>
      <w:r>
        <w:rPr>
          <w:rFonts w:ascii="Times New Roman" w:hAnsi="Times New Roman"/>
          <w:color w:val="000000"/>
          <w:sz w:val="20"/>
        </w:rPr>
        <w:t>Scott Blumberg</w:t>
      </w:r>
      <w:r>
        <w:rPr>
          <w:rFonts w:ascii="Times New Roman" w:hAnsi="Times New Roman"/>
          <w:color w:val="231F20"/>
          <w:sz w:val="20"/>
        </w:rPr>
        <w:t xml:space="preserve">, and each of them, his or her true and lawful attorneys-in-fact and agents, with full power of substitution and resubstitution, for him or her and in his or her name, place, and stead, in any and all capacities, to sign any and all amendments to this </w:t>
      </w:r>
      <w:r>
        <w:rPr>
          <w:rFonts w:ascii="Times New Roman" w:hAnsi="Times New Roman"/>
          <w:color w:val="000000"/>
          <w:sz w:val="20"/>
        </w:rPr>
        <w:t>this Annual Report on Form 10-K, and to file the same, with all exhibits thereto</w:t>
      </w:r>
      <w:r>
        <w:rPr>
          <w:rFonts w:ascii="Times New Roman" w:hAnsi="Times New Roman"/>
          <w:color w:val="231F20"/>
          <w:sz w:val="20"/>
        </w:rPr>
        <w:t>,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531" w:type="dxa"/>
        <w:jc w:val="left"/>
        <w:tblInd w:w="0" w:type="dxa"/>
        <w:tblLayout w:type="fixed"/>
        <w:tblCellMar>
          <w:top w:w="28" w:type="dxa"/>
          <w:left w:w="28" w:type="dxa"/>
          <w:bottom w:w="28" w:type="dxa"/>
          <w:right w:w="28" w:type="dxa"/>
        </w:tblCellMar>
      </w:tblPr>
      <w:tblGrid>
        <w:gridCol w:w="2656"/>
        <w:gridCol w:w="109"/>
        <w:gridCol w:w="3961"/>
        <w:gridCol w:w="109"/>
        <w:gridCol w:w="1696"/>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Financial Officer)</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Foehr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Senior Vice President, Finance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Foehr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Accounting Officer)</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Rebecca Robertson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Chair of the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Rebecca Robertson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Juliet Tammenoms Bakker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Juliet Tammenoms Bakker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W. Burke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W. Burke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Lucian Iancovici, M.D.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Lucian Iancovici,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Josef Parvizi, M.D., Ph.D.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Josef Parvizi, M.D.,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M. Taylor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25, 2025</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M. Taylor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bookmarkStart w:id="34" w:name="cbll-ex4_02.htm"/>
      <w:bookmarkStart w:id="35" w:name="kscbllex4_02"/>
      <w:bookmarkEnd w:id="34"/>
      <w:bookmarkEnd w:id="35"/>
      <w:r>
        <w:rPr/>
        <w:t> </w:t>
      </w:r>
      <w:r>
        <w:br w:type="page"/>
      </w:r>
    </w:p>
    <w:p>
      <w:pPr>
        <w:pStyle w:val="TextBody"/>
        <w:bidi w:val="0"/>
        <w:spacing w:before="0" w:after="160"/>
        <w:jc w:val="center"/>
        <w:rPr>
          <w:rFonts w:ascii="Times New Roman" w:hAnsi="Times New Roman"/>
          <w:sz w:val="20"/>
        </w:rPr>
      </w:pPr>
      <w:r>
        <w:rPr>
          <w:rFonts w:ascii="Times New Roman" w:hAnsi="Times New Roman"/>
          <w:b/>
          <w:color w:val="000000"/>
          <w:sz w:val="22"/>
        </w:rPr>
        <w:t xml:space="preserve">DESCRIPTION OF SECURITIES REGISTERED PURSUANT TO SECTION 12 OF THE EXCHANGE ACT </w:t>
      </w:r>
      <w:r>
        <w:rPr>
          <w:rFonts w:ascii="Times New Roman" w:hAnsi="Times New Roman"/>
          <w:b/>
          <w:caps/>
          <w:color w:val="000000"/>
          <w:sz w:val="22"/>
        </w:rPr>
        <w:t>of 1934, as amended (the “Exchange Act”)</w:t>
      </w:r>
    </w:p>
    <w:p>
      <w:pPr>
        <w:pStyle w:val="TextBody"/>
        <w:bidi w:val="0"/>
        <w:spacing w:before="0" w:after="160"/>
        <w:jc w:val="both"/>
        <w:rPr>
          <w:rFonts w:ascii="Times New Roman" w:hAnsi="Times New Roman"/>
          <w:sz w:val="20"/>
        </w:rPr>
      </w:pPr>
      <w:r>
        <w:rPr>
          <w:rFonts w:ascii="Times New Roman" w:hAnsi="Times New Roman"/>
          <w:i/>
          <w:color w:val="000000"/>
          <w:sz w:val="22"/>
        </w:rPr>
        <w:t>The following descriptions of the common stock of CeriBell, Inc. (the “Company,” “we,” “us,” and “our”) and certain provisions of our Amended and Restated Certificate of Incorporation, as amended from time to time (the “Certificate of Incorporation”), Amended and Restated Bylaws, as amended from time to time (the “Bylaws”), and Amended and Restated Investors’ Rights Agreement,</w:t>
      </w:r>
      <w:r>
        <w:rPr>
          <w:rFonts w:ascii="Times New Roman" w:hAnsi="Times New Roman"/>
          <w:color w:val="000000"/>
          <w:sz w:val="20"/>
        </w:rPr>
        <w:t xml:space="preserve"> </w:t>
      </w:r>
      <w:r>
        <w:rPr>
          <w:rFonts w:ascii="Times New Roman" w:hAnsi="Times New Roman"/>
          <w:i/>
          <w:color w:val="000000"/>
          <w:sz w:val="22"/>
        </w:rPr>
        <w:t>dated April 22, 2021, by and among the Company and the investors listed therein, as amended on September 16, 2022 (the “Investors’ Rights Agreement”) is a summary and is qualified in its entirety by reference to the full text of our Certificate of Incorporation, Bylaws and Investors’ Rights Agreement and applicable provisions of the General Corporation Law of the State of Delaware (the “DGCL”).</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General</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Our Certificate of Incorporation authorizes capital stock consisting of 500,000,000 shares of common stock, par value $0.001 per share, and 10,000,000 shares of preferred stock, par value $0.001 per share.</w:t>
      </w:r>
    </w:p>
    <w:p>
      <w:pPr>
        <w:pStyle w:val="TextBody"/>
        <w:bidi w:val="0"/>
        <w:spacing w:before="240" w:after="240"/>
        <w:jc w:val="both"/>
        <w:rPr>
          <w:rFonts w:ascii="Times New Roman" w:hAnsi="Times New Roman"/>
          <w:sz w:val="20"/>
        </w:rPr>
      </w:pPr>
      <w:r>
        <w:rPr>
          <w:rFonts w:ascii="Times New Roman" w:hAnsi="Times New Roman"/>
          <w:b/>
          <w:color w:val="000000"/>
          <w:sz w:val="22"/>
        </w:rPr>
        <w:t>Common Stock</w:t>
      </w:r>
      <w:r>
        <w:rPr>
          <w:rFonts w:ascii="Times New Roman" w:hAnsi="Times New Roman"/>
          <w:color w:val="000000"/>
          <w:sz w:val="20"/>
        </w:rPr>
        <w:t xml:space="preserve"> </w:t>
      </w:r>
    </w:p>
    <w:p>
      <w:pPr>
        <w:pStyle w:val="TextBody"/>
        <w:bidi w:val="0"/>
        <w:spacing w:before="0" w:after="160"/>
        <w:jc w:val="both"/>
        <w:rPr>
          <w:rFonts w:ascii="Times New Roman" w:hAnsi="Times New Roman"/>
          <w:b/>
          <w:i/>
          <w:color w:val="000000"/>
          <w:sz w:val="22"/>
        </w:rPr>
      </w:pPr>
      <w:r>
        <w:rPr>
          <w:rFonts w:ascii="Times New Roman" w:hAnsi="Times New Roman"/>
          <w:b/>
          <w:i/>
          <w:color w:val="000000"/>
          <w:sz w:val="22"/>
        </w:rPr>
        <w:t>Voting Rights</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pStyle w:val="TextBody"/>
        <w:bidi w:val="0"/>
        <w:spacing w:before="0" w:after="160"/>
        <w:jc w:val="both"/>
        <w:rPr>
          <w:rFonts w:ascii="Times New Roman" w:hAnsi="Times New Roman"/>
          <w:b/>
          <w:i/>
          <w:color w:val="000000"/>
          <w:sz w:val="22"/>
        </w:rPr>
      </w:pPr>
      <w:r>
        <w:rPr>
          <w:rFonts w:ascii="Times New Roman" w:hAnsi="Times New Roman"/>
          <w:b/>
          <w:i/>
          <w:color w:val="000000"/>
          <w:sz w:val="22"/>
        </w:rPr>
        <w:t>Dividend Rights</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Subject to preferences that may be applicable to any then outstanding preferred stock, holders of our common stock are entitled to receive ratably any dividends that our board of directors may declare out of funds legally available.</w:t>
      </w:r>
    </w:p>
    <w:p>
      <w:pPr>
        <w:pStyle w:val="TextBody"/>
        <w:bidi w:val="0"/>
        <w:spacing w:before="0" w:after="160"/>
        <w:jc w:val="both"/>
        <w:rPr>
          <w:rFonts w:ascii="Times New Roman" w:hAnsi="Times New Roman"/>
          <w:b/>
          <w:i/>
          <w:color w:val="000000"/>
          <w:sz w:val="22"/>
        </w:rPr>
      </w:pPr>
      <w:r>
        <w:rPr>
          <w:rFonts w:ascii="Times New Roman" w:hAnsi="Times New Roman"/>
          <w:b/>
          <w:i/>
          <w:color w:val="000000"/>
          <w:sz w:val="22"/>
        </w:rPr>
        <w:t>Right to Receive Liquidation Distribution</w:t>
      </w:r>
    </w:p>
    <w:p>
      <w:pPr>
        <w:pStyle w:val="TextBody"/>
        <w:bidi w:val="0"/>
        <w:spacing w:before="240" w:after="240"/>
        <w:jc w:val="both"/>
        <w:rPr>
          <w:rFonts w:ascii="Times New Roman" w:hAnsi="Times New Roman"/>
          <w:sz w:val="20"/>
        </w:rPr>
      </w:pPr>
      <w:r>
        <w:rPr>
          <w:rFonts w:ascii="Times New Roman" w:hAnsi="Times New Roman"/>
          <w:color w:val="000000"/>
          <w:sz w:val="22"/>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r>
        <w:rPr>
          <w:rFonts w:ascii="Times New Roman" w:hAnsi="Times New Roman"/>
          <w:color w:val="000000"/>
          <w:sz w:val="20"/>
        </w:rPr>
        <w:t xml:space="preserve"> </w:t>
      </w:r>
    </w:p>
    <w:p>
      <w:pPr>
        <w:pStyle w:val="TextBody"/>
        <w:bidi w:val="0"/>
        <w:spacing w:before="0" w:after="160"/>
        <w:jc w:val="both"/>
        <w:rPr>
          <w:rFonts w:ascii="Times New Roman" w:hAnsi="Times New Roman"/>
          <w:b/>
          <w:i/>
          <w:color w:val="000000"/>
          <w:sz w:val="22"/>
        </w:rPr>
      </w:pPr>
      <w:r>
        <w:rPr>
          <w:rFonts w:ascii="Times New Roman" w:hAnsi="Times New Roman"/>
          <w:b/>
          <w:i/>
          <w:color w:val="000000"/>
          <w:sz w:val="22"/>
        </w:rPr>
        <w:t>No Preemptive or Similar Rights</w:t>
      </w:r>
    </w:p>
    <w:p>
      <w:pPr>
        <w:pStyle w:val="TextBody"/>
        <w:bidi w:val="0"/>
        <w:spacing w:before="240" w:after="240"/>
        <w:jc w:val="both"/>
        <w:rPr>
          <w:rFonts w:ascii="Times New Roman" w:hAnsi="Times New Roman"/>
          <w:sz w:val="20"/>
        </w:rPr>
      </w:pPr>
      <w:r>
        <w:rPr>
          <w:rFonts w:ascii="Times New Roman" w:hAnsi="Times New Roman"/>
          <w:color w:val="000000"/>
          <w:sz w:val="22"/>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b/>
          <w:color w:val="000000"/>
          <w:sz w:val="22"/>
        </w:rPr>
        <w:t>Preferred Stock</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2"/>
        </w:rPr>
        <w:t>dividend rights, conversion rights, redemption privileges and liquidation preferences, of each series of preferred stock.</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r>
        <w:rPr>
          <w:rFonts w:ascii="Times New Roman" w:hAnsi="Times New Roman"/>
          <w:color w:val="000000"/>
          <w:sz w:val="20"/>
        </w:rPr>
        <w:t xml:space="preserve"> </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Registration Rights</w:t>
      </w:r>
    </w:p>
    <w:p>
      <w:pPr>
        <w:pStyle w:val="TextBody"/>
        <w:bidi w:val="0"/>
        <w:spacing w:before="240" w:after="240"/>
        <w:jc w:val="both"/>
        <w:rPr>
          <w:rFonts w:ascii="Times New Roman" w:hAnsi="Times New Roman"/>
          <w:sz w:val="20"/>
        </w:rPr>
      </w:pPr>
      <w:r>
        <w:rPr>
          <w:rFonts w:ascii="Times New Roman" w:hAnsi="Times New Roman"/>
          <w:color w:val="000000"/>
          <w:sz w:val="22"/>
        </w:rPr>
        <w:t>Certain holders of shares of our common stock are entitled to certain rights with respect to registration of such shares under the Securities Act of 1933, as amended (the “Securities Act”). These shares are referred to as registrable securities. The holders of these registrable securities possess registration rights pursuant to the terms of our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stock transfer taxes, fees and disbursements of more than one special counsel for the holders, and the compensation of regular employees of the company, of the shares registered pursuant to the demand, piggyback, and Form S-3 registrations described below.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to occur of (1) the date five years after the consummation of our Initial Public Offering (“IPO”) or (2) with respect to each stockholder, such time after the completion of the IPO at which Rule 144 of the Securities Act or another similar exemption under the Securities Act is available for the sale of all of such stockholder’s shares without limitation, during a three-month period without registration.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b/>
          <w:i/>
          <w:color w:val="000000"/>
          <w:sz w:val="22"/>
        </w:rPr>
        <w:t>Demand Registration Rights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Certain holders of shares of our common stock are entitled to certain demand registration rights. Beginning six months following the IPO, investors holding, collectively, not less than 20% of registrable securities may, on not more than two occasions, request that we register all or a portion of their shares, subject to certain specified exceptions. Such request for registration must cover securities the anticipated aggregate offering price of which is at least $25.0 million and the proposed sale price of which is at least $22.98 per share. If such holders exercise their demand registration rights, then they will be entitled to register their shares, subject to specified conditions and limitations in the corresponding offering.</w:t>
      </w:r>
    </w:p>
    <w:p>
      <w:pPr>
        <w:pStyle w:val="TextBody"/>
        <w:bidi w:val="0"/>
        <w:spacing w:before="0" w:after="160"/>
        <w:jc w:val="both"/>
        <w:rPr>
          <w:rFonts w:ascii="Times New Roman" w:hAnsi="Times New Roman"/>
          <w:sz w:val="20"/>
        </w:rPr>
      </w:pPr>
      <w:r>
        <w:rPr>
          <w:rFonts w:ascii="Times New Roman" w:hAnsi="Times New Roman"/>
          <w:b/>
          <w:i/>
          <w:color w:val="000000"/>
          <w:sz w:val="22"/>
        </w:rPr>
        <w:t>Piggyback Registration Rights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b/>
          <w:i/>
          <w:color w:val="000000"/>
          <w:sz w:val="22"/>
        </w:rPr>
        <w:t>S-3 Registration Rights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Certain holders of shares of our common stock are entitled to certain Form S-3 registration rights. Any holder or holders of registrable securities may, with respect to not more than two such registrations within any 12-month period, request that we register all or a portion of their shares on Form S-3 if we are qualified to file a registration statement on Form S-3, subject to specified exceptions. Such request for registration on Form S-3 must cover securities with aggregate proceeds, net of underwriting discounts and expenses related to the issuance, which equal or exceed $3.0 million. The right to have such shares registered on Form S-3 is further subject to other specified conditions and limitations.</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Warrants</w:t>
      </w:r>
    </w:p>
    <w:p>
      <w:pPr>
        <w:pStyle w:val="TextBody"/>
        <w:bidi w:val="0"/>
        <w:spacing w:before="240" w:after="240"/>
        <w:jc w:val="both"/>
        <w:rPr>
          <w:rFonts w:ascii="Times New Roman" w:hAnsi="Times New Roman"/>
          <w:sz w:val="20"/>
        </w:rPr>
      </w:pPr>
      <w:r>
        <w:rPr>
          <w:rFonts w:ascii="Times New Roman" w:hAnsi="Times New Roman"/>
          <w:color w:val="000000"/>
          <w:sz w:val="22"/>
        </w:rPr>
        <w:t>The following table sets forth information about outstanding warrants to purchase shares of our stock as of December 31, 2024.</w:t>
      </w:r>
      <w:r>
        <w:rPr>
          <w:rFonts w:ascii="Times New Roman" w:hAnsi="Times New Roman"/>
          <w:color w:val="000000"/>
          <w:sz w:val="20"/>
        </w:rPr>
        <w:t xml:space="preserve"> </w:t>
      </w:r>
    </w:p>
    <w:tbl>
      <w:tblPr>
        <w:tblW w:w="7279" w:type="dxa"/>
        <w:jc w:val="left"/>
        <w:tblInd w:w="0" w:type="dxa"/>
        <w:tblLayout w:type="fixed"/>
        <w:tblCellMar>
          <w:top w:w="28" w:type="dxa"/>
          <w:left w:w="28" w:type="dxa"/>
          <w:bottom w:w="28" w:type="dxa"/>
          <w:right w:w="28" w:type="dxa"/>
        </w:tblCellMar>
      </w:tblPr>
      <w:tblGrid>
        <w:gridCol w:w="1996"/>
        <w:gridCol w:w="961"/>
        <w:gridCol w:w="1666"/>
        <w:gridCol w:w="267"/>
        <w:gridCol w:w="858"/>
        <w:gridCol w:w="1531"/>
      </w:tblGrid>
      <w:tr>
        <w:trPr/>
        <w:tc>
          <w:tcPr>
            <w:tcW w:w="19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Class of Stock Underlying</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Issue Date</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Number of Shares</w:t>
              <w:br/>
              <w:t>of Common Stock</w:t>
              <w:br/>
              <w:t>Underlying Warrants</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Exercise Price</w:t>
              <w:br/>
              <w:t>Per Share</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Expiration Date</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Common Stock</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5/1/2020</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45,726</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7.6540</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May 1, 2030</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Common Stock</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3/10/2022</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15,228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11.49</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10, 2032</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Common Stock</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2/6/2024</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41,345</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11.49</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6, 2034</w:t>
            </w:r>
          </w:p>
        </w:tc>
      </w:tr>
    </w:tbl>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Anti-Takeover Provisions</w:t>
      </w:r>
    </w:p>
    <w:p>
      <w:pPr>
        <w:pStyle w:val="TextBody"/>
        <w:bidi w:val="0"/>
        <w:spacing w:before="240" w:after="240"/>
        <w:jc w:val="both"/>
        <w:rPr>
          <w:rFonts w:ascii="Times New Roman" w:hAnsi="Times New Roman"/>
          <w:sz w:val="20"/>
        </w:rPr>
      </w:pPr>
      <w:r>
        <w:rPr>
          <w:rFonts w:ascii="Times New Roman" w:hAnsi="Times New Roman"/>
          <w:color w:val="000000"/>
          <w:sz w:val="22"/>
        </w:rPr>
        <w:t>Among other things, our Certificate of Incorporation and Bylaws: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permit our board of directors to issue up to 10,000,000 shares of preferred stock, with any rights, preferences, and privileges as they may designate;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provide that the authorized number of directors may be changed only by resolution of our board of directors;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provide that our board of directors are classified into three classes of directors, divided as nearly as equal in number as possible;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provide that all vacancies, including newly created directorships, may, except as otherwise required by law, be filled by the affirmative vote of a majority of directors then in office, even if less than a quorum;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require that any action to be taken by our stockholders must be effected at a duly called annual or special meeting of stockholders and not be taken by written consent or electronic transmission;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p>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provide that special meetings of our stockholders may be called only by our board of directors pursuant to a resolution adopted by a majority of the total number of directors constituting the board, and not by our stockholders; and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does not provide for cumulative voting rights, therefore allowing the holders of a majority of the shares of common stock entitled to vote in any election of directors to elect all of the directors standing for election, if they should so choose. </w:t>
      </w:r>
    </w:p>
    <w:p>
      <w:pPr>
        <w:pStyle w:val="TextBody"/>
        <w:bidi w:val="0"/>
        <w:spacing w:before="240" w:after="240"/>
        <w:jc w:val="both"/>
        <w:rPr>
          <w:rFonts w:ascii="Times New Roman" w:hAnsi="Times New Roman"/>
          <w:sz w:val="20"/>
        </w:rPr>
      </w:pPr>
      <w:r>
        <w:rPr>
          <w:rFonts w:ascii="Times New Roman" w:hAnsi="Times New Roman"/>
          <w:color w:val="000000"/>
          <w:sz w:val="22"/>
        </w:rPr>
        <w:t>The amendment of any of these provisions would require approval by the holders of at least 66 2/3% of the voting power of all of our then-outstanding common stock.</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The combination of these provisions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before="0" w:after="160"/>
        <w:jc w:val="both"/>
        <w:rPr>
          <w:rFonts w:ascii="Times New Roman" w:hAnsi="Times New Roman"/>
          <w:b/>
          <w:i/>
          <w:color w:val="000000"/>
          <w:sz w:val="22"/>
        </w:rPr>
      </w:pPr>
      <w:r>
        <w:rPr>
          <w:rFonts w:ascii="Times New Roman" w:hAnsi="Times New Roman"/>
          <w:b/>
          <w:i/>
          <w:color w:val="000000"/>
          <w:sz w:val="22"/>
        </w:rPr>
        <w:t>Choice of Forum</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Our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Certificate of Incorporation, or our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also provides that the federal district courts of the United States of America are the exclusive forum for the resolution of any complaint asserting a cause of action against us or any of our directors, officers, employees, or agents and arising under the Securities Act. Nothing in our Certificate of Incorporation or Bylaws precludes stockholders that assert claims under the Exchange Act from bringing such claims in state or federal court, subject to applicable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2"/>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Certificate of Incorporation and having service of process made upon such stockholder in any such action by service upon such stockholder’s counsel in the Foreign Action as agent for such stockholder. Although our Certificate of Incorporation contains the choice of forum provision described above, it is possible that a court could find that such a provision is inapplicable for a particular claim or action or that such provision is unenforceable.</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are not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Section 203 of the Delaware General Corporation Law</w:t>
      </w:r>
    </w:p>
    <w:p>
      <w:pPr>
        <w:pStyle w:val="TextBody"/>
        <w:bidi w:val="0"/>
        <w:spacing w:before="240" w:after="240"/>
        <w:jc w:val="both"/>
        <w:rPr>
          <w:rFonts w:ascii="Times New Roman" w:hAnsi="Times New Roman"/>
          <w:sz w:val="20"/>
        </w:rPr>
      </w:pPr>
      <w:r>
        <w:rPr>
          <w:rFonts w:ascii="Times New Roman" w:hAnsi="Times New Roman"/>
          <w:color w:val="000000"/>
          <w:sz w:val="22"/>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before such date, the board of directors of the corporation approved either the business combination or the transaction that resulted in the stockholder becoming an interested stockholder;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Times New Roman" w:hAnsi="Times New Roman"/>
          <w:color w:val="000000"/>
          <w:sz w:val="22"/>
        </w:rPr>
        <w:t xml:space="preserve">on or after such date, the business combination is approved by the board of directors and authorized at an annual or special meeting of the stockholders, and not by written consent, by the affirmative vote of at least 66 </w:t>
      </w:r>
      <w:r>
        <w:rPr>
          <w:rFonts w:ascii="Times New Roman" w:hAnsi="Times New Roman"/>
          <w:color w:val="000000"/>
          <w:sz w:val="15"/>
        </w:rPr>
        <w:t>2</w:t>
      </w:r>
      <w:r>
        <w:rPr>
          <w:rFonts w:ascii="Times New Roman" w:hAnsi="Times New Roman"/>
          <w:color w:val="000000"/>
          <w:sz w:val="22"/>
        </w:rPr>
        <w:t>/</w:t>
      </w:r>
      <w:r>
        <w:rPr>
          <w:rFonts w:ascii="Times New Roman" w:hAnsi="Times New Roman"/>
          <w:color w:val="000000"/>
          <w:sz w:val="15"/>
        </w:rPr>
        <w:t>3</w:t>
      </w:r>
      <w:r>
        <w:rPr>
          <w:rFonts w:ascii="Times New Roman" w:hAnsi="Times New Roman"/>
          <w:color w:val="000000"/>
          <w:sz w:val="22"/>
        </w:rPr>
        <w:t xml:space="preserve">% of the outstanding voting stock that is not owned by the interested stockholder. </w:t>
      </w:r>
    </w:p>
    <w:p>
      <w:pPr>
        <w:pStyle w:val="TextBody"/>
        <w:bidi w:val="0"/>
        <w:spacing w:before="0" w:after="160"/>
        <w:jc w:val="both"/>
        <w:rPr>
          <w:rFonts w:ascii="Times New Roman" w:hAnsi="Times New Roman"/>
          <w:sz w:val="20"/>
        </w:rPr>
      </w:pPr>
      <w:r>
        <w:rPr>
          <w:rFonts w:ascii="Times New Roman" w:hAnsi="Times New Roman"/>
          <w:color w:val="000000"/>
          <w:sz w:val="22"/>
        </w:rPr>
        <w:t>In general, Section 203 defines a “business combination” to include the following:</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any merger or consolidation involving the corporation and the interested stockholder;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any sale, transfer, pledge, or other disposition of 10% or more of the assets of the corporation involving the interested stockholder;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subject to certain exceptions, any transaction that results in the issuance or transfer by the corporation of any stock of the corporation to the interested stockholder; </w:t>
      </w:r>
    </w:p>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any transaction involving the corporation that has the effect of increasing the proportionate share of the stock or any class or series of the corporation beneficially owned by the interested stockholder; and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the receipt by the interested stockholder of the benefit of any loans, advances, guarantees, pledges, or other financial benefits by or through the corporation. </w:t>
      </w:r>
    </w:p>
    <w:p>
      <w:pPr>
        <w:pStyle w:val="TextBody"/>
        <w:bidi w:val="0"/>
        <w:spacing w:before="240" w:after="240"/>
        <w:jc w:val="both"/>
        <w:rPr>
          <w:rFonts w:ascii="Times New Roman" w:hAnsi="Times New Roman"/>
          <w:sz w:val="20"/>
        </w:rPr>
      </w:pPr>
      <w:r>
        <w:rPr>
          <w:rFonts w:ascii="Times New Roman" w:hAnsi="Times New Roman"/>
          <w:color w:val="000000"/>
          <w:sz w:val="22"/>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Limitations on Liability and Indemnification Matters</w:t>
      </w:r>
    </w:p>
    <w:p>
      <w:pPr>
        <w:pStyle w:val="TextBody"/>
        <w:bidi w:val="0"/>
        <w:spacing w:before="240" w:after="240"/>
        <w:jc w:val="both"/>
        <w:rPr>
          <w:rFonts w:ascii="Times New Roman" w:hAnsi="Times New Roman"/>
          <w:sz w:val="20"/>
        </w:rPr>
      </w:pPr>
      <w:r>
        <w:rPr>
          <w:rFonts w:ascii="Times New Roman" w:hAnsi="Times New Roman"/>
          <w:color w:val="000000"/>
          <w:sz w:val="22"/>
        </w:rPr>
        <w:t>Our Certificate of Incorporation and Bylaws limit our directors’ and officers’ liability and provide that we shall indemnify our directors and officers to the fullest extent permitted under the DGCL. The DGCL provides that directors and officers of a corporation will not be personally liable for monetary damages for breach of their fiduciary duties as directors or officers, except for liability for any:</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transaction from which the director or officer derives an improper personal benefit;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act or omission not in good faith or that involves intentional misconduct or a knowing violation of law;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unlawful payment of dividends or redemption of shares; or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breach of a director’s or officer’s duty of loyalty to the corporation or its stockholders. </w:t>
      </w:r>
    </w:p>
    <w:p>
      <w:pPr>
        <w:pStyle w:val="TextBody"/>
        <w:bidi w:val="0"/>
        <w:spacing w:before="240" w:after="240"/>
        <w:jc w:val="both"/>
        <w:rPr>
          <w:rFonts w:ascii="Times New Roman" w:hAnsi="Times New Roman"/>
          <w:sz w:val="20"/>
        </w:rPr>
      </w:pPr>
      <w:r>
        <w:rPr>
          <w:rFonts w:ascii="Times New Roman" w:hAnsi="Times New Roman"/>
          <w:color w:val="000000"/>
          <w:sz w:val="22"/>
        </w:rPr>
        <w:t>These limitations of liability do not apply to liabilities arising under federal securities laws and do not affect the availability of equitable remedies such as injunctive relief or recession.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The DGCL, our Certificate of Incorporation, and our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We maintain a directors’ and officers’ insurance policy pursuant to which our directors and officers are insured against liability for actions taken in their capacities as directors and officers. We believe that these provisions in our Certificate of incorporation and Bylaws and these indemnification agreements are necessary to attract and retain qualified persons as directors and officers.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Transfer Agent and Registrar</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The transfer agent and registrar for our common stock is Broadridge Corporate Issuer Solutions, LLC. The transfer agent and registrar’s address is 51 Mercedes Way, Edgewood, NY 11717.</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Stock Exchange Listing</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Our common stock is listed on the Nasdaq Global Select Market under the trading symbol “CBLL.”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6" w:name="cbll-ex10_06.htm"/>
      <w:bookmarkStart w:id="37" w:name="kscbllex10_06"/>
      <w:bookmarkEnd w:id="36"/>
      <w:bookmarkEnd w:id="37"/>
      <w:r>
        <w:rPr/>
        <w:t> </w:t>
      </w:r>
      <w:r>
        <w:br w:type="page"/>
      </w:r>
    </w:p>
    <w:p>
      <w:pPr>
        <w:pStyle w:val="TextBody"/>
        <w:bidi w:val="0"/>
        <w:jc w:val="center"/>
        <w:rPr>
          <w:rFonts w:ascii="Times New Roman" w:hAnsi="Times New Roman"/>
          <w:sz w:val="20"/>
        </w:rPr>
      </w:pPr>
      <w:r>
        <w:rPr>
          <w:rFonts w:ascii="Times New Roman" w:hAnsi="Times New Roman"/>
          <w:b/>
          <w:caps/>
          <w:color w:val="000000"/>
          <w:sz w:val="24"/>
        </w:rPr>
        <w:t xml:space="preserve">FIRST amendment TO </w:t>
        <w:br/>
        <w:t xml:space="preserve">VENTURE LOAN AND SECURITY AGREEMENT </w:t>
        <w:br/>
      </w:r>
      <w:r>
        <w:rPr>
          <w:rFonts w:ascii="Times New Roman" w:hAnsi="Times New Roman"/>
          <w:caps/>
          <w:color w:val="000000"/>
          <w:sz w:val="20"/>
        </w:rPr>
        <w:t> </w:t>
      </w:r>
    </w:p>
    <w:p>
      <w:pPr>
        <w:pStyle w:val="TextBody"/>
        <w:bidi w:val="0"/>
        <w:spacing w:before="0" w:after="240"/>
        <w:jc w:val="both"/>
        <w:rPr>
          <w:rFonts w:ascii="Times New Roman" w:hAnsi="Times New Roman"/>
          <w:sz w:val="20"/>
        </w:rPr>
      </w:pPr>
      <w:r>
        <w:rPr>
          <w:rFonts w:ascii="Times New Roman" w:hAnsi="Times New Roman"/>
          <w:color w:val="000000"/>
          <w:sz w:val="24"/>
        </w:rPr>
        <w:t>This FIRST AMENDMENT TO VENTURE LOAN AND SECURITY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dated as of February 14, 2025 is entered into by and among CERIBELL, INC., a Delaware corporation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SILICON VALLEY BANK, A DIVISION OF FIRST-CITIZENS BANK &amp; TRUST COMPANY (“</w:t>
      </w:r>
      <w:r>
        <w:rPr>
          <w:rFonts w:ascii="Times New Roman" w:hAnsi="Times New Roman"/>
          <w:color w:val="000000"/>
          <w:sz w:val="24"/>
          <w:u w:val="single"/>
        </w:rPr>
        <w:t>SVB</w:t>
      </w:r>
      <w:r>
        <w:rPr>
          <w:rFonts w:ascii="Times New Roman" w:hAnsi="Times New Roman"/>
          <w:color w:val="000000"/>
          <w:sz w:val="20"/>
        </w:rPr>
        <w:t>”</w:t>
      </w:r>
      <w:r>
        <w:rPr>
          <w:rFonts w:ascii="Times New Roman" w:hAnsi="Times New Roman"/>
          <w:color w:val="000000"/>
          <w:sz w:val="24"/>
        </w:rPr>
        <w:t>) as lender, HORIZON FUNDING TRUST 2022-1 (“</w:t>
      </w:r>
      <w:r>
        <w:rPr>
          <w:rFonts w:ascii="Times New Roman" w:hAnsi="Times New Roman"/>
          <w:color w:val="000000"/>
          <w:sz w:val="24"/>
          <w:u w:val="single"/>
        </w:rPr>
        <w:t>Horizon Trust</w:t>
      </w:r>
      <w:r>
        <w:rPr>
          <w:rFonts w:ascii="Times New Roman" w:hAnsi="Times New Roman"/>
          <w:color w:val="000000"/>
          <w:sz w:val="20"/>
        </w:rPr>
        <w:t>”</w:t>
      </w:r>
      <w:r>
        <w:rPr>
          <w:rFonts w:ascii="Times New Roman" w:hAnsi="Times New Roman"/>
          <w:color w:val="000000"/>
          <w:sz w:val="24"/>
        </w:rPr>
        <w:t>), as assignee of HORIZON TECHNOLOGY FINANCE CORPORATION (“</w:t>
      </w:r>
      <w:r>
        <w:rPr>
          <w:rFonts w:ascii="Times New Roman" w:hAnsi="Times New Roman"/>
          <w:color w:val="000000"/>
          <w:sz w:val="24"/>
          <w:u w:val="single"/>
        </w:rPr>
        <w:t>Horizon</w:t>
      </w:r>
      <w:r>
        <w:rPr>
          <w:rFonts w:ascii="Times New Roman" w:hAnsi="Times New Roman"/>
          <w:color w:val="000000"/>
          <w:sz w:val="20"/>
        </w:rPr>
        <w:t>”</w:t>
      </w:r>
      <w:r>
        <w:rPr>
          <w:rFonts w:ascii="Times New Roman" w:hAnsi="Times New Roman"/>
          <w:color w:val="000000"/>
          <w:sz w:val="24"/>
        </w:rPr>
        <w:t>) as lender, HORIZON FUNDING I, LLC (“</w:t>
      </w:r>
      <w:r>
        <w:rPr>
          <w:rFonts w:ascii="Times New Roman" w:hAnsi="Times New Roman"/>
          <w:color w:val="000000"/>
          <w:sz w:val="24"/>
          <w:u w:val="single"/>
        </w:rPr>
        <w:t>HFI</w:t>
      </w:r>
      <w:r>
        <w:rPr>
          <w:rFonts w:ascii="Times New Roman" w:hAnsi="Times New Roman"/>
          <w:color w:val="000000"/>
          <w:sz w:val="20"/>
        </w:rPr>
        <w:t>”</w:t>
      </w:r>
      <w:r>
        <w:rPr>
          <w:rFonts w:ascii="Times New Roman" w:hAnsi="Times New Roman"/>
          <w:color w:val="000000"/>
          <w:sz w:val="24"/>
        </w:rPr>
        <w:t>), as an assignee of Horizon as lender, and Horizon, as lender and collateral agent (together with SVB, Horizon Trust and HFI, collectively, “</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and, individually, each a “</w:t>
      </w:r>
      <w:r>
        <w:rPr>
          <w:rFonts w:ascii="Times New Roman" w:hAnsi="Times New Roman"/>
          <w:color w:val="000000"/>
          <w:sz w:val="24"/>
          <w:u w:val="single"/>
        </w:rPr>
        <w:t>Lender</w:t>
      </w:r>
      <w:r>
        <w:rPr>
          <w:rFonts w:ascii="Times New Roman" w:hAnsi="Times New Roman"/>
          <w:color w:val="000000"/>
          <w:sz w:val="20"/>
        </w:rPr>
        <w:t>”</w:t>
      </w:r>
      <w:r>
        <w:rPr>
          <w:rFonts w:ascii="Times New Roman" w:hAnsi="Times New Roman"/>
          <w:color w:val="000000"/>
          <w:sz w:val="24"/>
        </w:rPr>
        <w:t>, and in its capacity as collateral agent, “</w:t>
      </w:r>
      <w:r>
        <w:rPr>
          <w:rFonts w:ascii="Times New Roman" w:hAnsi="Times New Roman"/>
          <w:color w:val="000000"/>
          <w:sz w:val="24"/>
          <w:u w:val="single"/>
        </w:rPr>
        <w:t>Collateral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Borrower, Lenders and Collateral Agent are parties to a certain Venture Loan and Security Agreement dated as of February 6, 2024 (as amended, restated, supplemented or otherwise modified from time to time, the “</w:t>
      </w:r>
      <w:r>
        <w:rPr>
          <w:rFonts w:ascii="Times New Roman" w:hAnsi="Times New Roman"/>
          <w:color w:val="000000"/>
          <w:sz w:val="24"/>
          <w:u w:val="single"/>
        </w:rPr>
        <w:t>Loan Agreement</w:t>
      </w:r>
      <w:r>
        <w:rPr>
          <w:color w:val="000000"/>
        </w:rPr>
        <w:t>”</w:t>
      </w:r>
      <w:r>
        <w:rPr>
          <w:rFonts w:ascii="Times New Roman" w:hAnsi="Times New Roman"/>
          <w:color w:val="000000"/>
          <w:sz w:val="24"/>
        </w:rPr>
        <w:t>), pursuant to which, among other things, (i) SVB provided to Borrower a loan in the original principal amount of Six Million Dollars ($6,000,000) (“</w:t>
      </w:r>
      <w:r>
        <w:rPr>
          <w:rFonts w:ascii="Times New Roman" w:hAnsi="Times New Roman"/>
          <w:color w:val="000000"/>
          <w:sz w:val="24"/>
          <w:u w:val="single"/>
        </w:rPr>
        <w:t>Loan A</w:t>
      </w:r>
      <w:r>
        <w:rPr>
          <w:color w:val="000000"/>
        </w:rPr>
        <w:t>”</w:t>
      </w:r>
      <w:r>
        <w:rPr>
          <w:rFonts w:ascii="Times New Roman" w:hAnsi="Times New Roman"/>
          <w:color w:val="000000"/>
          <w:sz w:val="24"/>
        </w:rPr>
        <w:t>), which Loan A is evidenced by a certain Secured Promissory Note (Loan A) executed by Borrower in favor of SVB, dated February 6, 2024 (the “</w:t>
      </w:r>
      <w:r>
        <w:rPr>
          <w:rFonts w:ascii="Times New Roman" w:hAnsi="Times New Roman"/>
          <w:color w:val="000000"/>
          <w:sz w:val="24"/>
          <w:u w:val="single"/>
        </w:rPr>
        <w:t>Loan A Note</w:t>
      </w:r>
      <w:r>
        <w:rPr>
          <w:color w:val="000000"/>
        </w:rPr>
        <w:t>”</w:t>
      </w:r>
      <w:r>
        <w:rPr>
          <w:rFonts w:ascii="Times New Roman" w:hAnsi="Times New Roman"/>
          <w:color w:val="000000"/>
          <w:sz w:val="24"/>
        </w:rPr>
        <w:t>), and (ii) Horizon provided to Borrower (a) a loan in the original principal amount of Five Million Dollars ($5,000,000) (“</w:t>
      </w:r>
      <w:r>
        <w:rPr>
          <w:rFonts w:ascii="Times New Roman" w:hAnsi="Times New Roman"/>
          <w:color w:val="000000"/>
          <w:sz w:val="24"/>
          <w:u w:val="single"/>
        </w:rPr>
        <w:t>Loan B</w:t>
      </w:r>
      <w:r>
        <w:rPr>
          <w:color w:val="000000"/>
        </w:rPr>
        <w:t>”</w:t>
      </w:r>
      <w:r>
        <w:rPr>
          <w:rFonts w:ascii="Times New Roman" w:hAnsi="Times New Roman"/>
          <w:color w:val="000000"/>
          <w:sz w:val="24"/>
        </w:rPr>
        <w:t>), which Loan B is evidenced by a certain Secured Promissory Note (Loan B) executed by Borrower in favor of Horizon, dated February 6, 2024 (the “</w:t>
      </w:r>
      <w:r>
        <w:rPr>
          <w:rFonts w:ascii="Times New Roman" w:hAnsi="Times New Roman"/>
          <w:color w:val="000000"/>
          <w:sz w:val="24"/>
          <w:u w:val="single"/>
        </w:rPr>
        <w:t>Loan B Note</w:t>
      </w:r>
      <w:r>
        <w:rPr>
          <w:color w:val="000000"/>
        </w:rPr>
        <w:t>”</w:t>
      </w:r>
      <w:r>
        <w:rPr>
          <w:rFonts w:ascii="Times New Roman" w:hAnsi="Times New Roman"/>
          <w:color w:val="000000"/>
          <w:sz w:val="24"/>
        </w:rPr>
        <w:t>), (b) a loan in the original principal amount of Five Million Dollars ($5,000,000) (“</w:t>
      </w:r>
      <w:r>
        <w:rPr>
          <w:rFonts w:ascii="Times New Roman" w:hAnsi="Times New Roman"/>
          <w:color w:val="000000"/>
          <w:sz w:val="24"/>
          <w:u w:val="single"/>
        </w:rPr>
        <w:t>Loan C</w:t>
      </w:r>
      <w:r>
        <w:rPr>
          <w:color w:val="000000"/>
        </w:rPr>
        <w:t>”</w:t>
      </w:r>
      <w:r>
        <w:rPr>
          <w:rFonts w:ascii="Times New Roman" w:hAnsi="Times New Roman"/>
          <w:color w:val="000000"/>
          <w:sz w:val="24"/>
        </w:rPr>
        <w:t>), which Loan C is evidenced by a certain Secured Promissory Note (Loan C) executed by Borrower in favor of Horizon, dated February 6, 2024 (the “</w:t>
      </w:r>
      <w:r>
        <w:rPr>
          <w:rFonts w:ascii="Times New Roman" w:hAnsi="Times New Roman"/>
          <w:color w:val="000000"/>
          <w:sz w:val="24"/>
          <w:u w:val="single"/>
        </w:rPr>
        <w:t>Loan C Note</w:t>
      </w:r>
      <w:r>
        <w:rPr>
          <w:color w:val="000000"/>
        </w:rPr>
        <w:t>”</w:t>
      </w:r>
      <w:r>
        <w:rPr>
          <w:rFonts w:ascii="Times New Roman" w:hAnsi="Times New Roman"/>
          <w:color w:val="000000"/>
          <w:sz w:val="24"/>
        </w:rPr>
        <w:t>), and (c) a loan in the original principal amount of Four Million Dollars ($4,000,000) (“</w:t>
      </w:r>
      <w:r>
        <w:rPr>
          <w:rFonts w:ascii="Times New Roman" w:hAnsi="Times New Roman"/>
          <w:color w:val="000000"/>
          <w:sz w:val="24"/>
          <w:u w:val="single"/>
        </w:rPr>
        <w:t>Loan D</w:t>
      </w:r>
      <w:r>
        <w:rPr>
          <w:color w:val="000000"/>
        </w:rPr>
        <w:t>”</w:t>
      </w:r>
      <w:r>
        <w:rPr>
          <w:rFonts w:ascii="Times New Roman" w:hAnsi="Times New Roman"/>
          <w:color w:val="000000"/>
          <w:sz w:val="24"/>
        </w:rPr>
        <w:t>), which Loan D is evidenced by a certain Secured Promissory Note (Loan D) executed by Borrower in favor of Horizon, dated February 6, 2024 (the “</w:t>
      </w:r>
      <w:r>
        <w:rPr>
          <w:rFonts w:ascii="Times New Roman" w:hAnsi="Times New Roman"/>
          <w:color w:val="000000"/>
          <w:sz w:val="24"/>
          <w:u w:val="single"/>
        </w:rPr>
        <w:t>Loan D Note</w:t>
      </w:r>
      <w:r>
        <w:rPr>
          <w:color w:val="000000"/>
        </w:rPr>
        <w:t>”</w:t>
      </w:r>
      <w:r>
        <w:rPr>
          <w:rFonts w:ascii="Times New Roman" w:hAnsi="Times New Roman"/>
          <w:color w:val="000000"/>
          <w:sz w:val="24"/>
        </w:rPr>
        <w:t>), (iii) SVB has made available to Borrower additional loans in the aggregate principal amount not to exceed Nine Million Dollars ($9,000,000) upon the satisfaction by Borrower of certain conditions, (iv) Horizon has made available to Borrower additional loans in the aggregate principal amount not to exceed Twenty-One Million Dollars ($21,000,000) upon the satisfaction by Borrower of certain conditions, and (v) Collateral Agent and Lenders have been granted a security interest in all assets of Borrower, except with respect to Borrower’s Intellectual Property (as defined in the Loan Agreement) and as set forth in Section 4.1 of the Loan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about February 6, 2024, Horizon assigned all of its right, title and interest in and to the Loan B Note to Horizon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about February 6, 2024, Horizon assigned all of its right, title and interest in and to the Loan C Note to Horizon Secured Loan Fund I LLC, which then assigned all of its right, title and interest in and to the Loan C Note to HFI.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about February 6, 2024, Horizon assigned all of its right, title and interest in and to the Loan D Note to Horizon Secured Loan Fund I LLC, which then assigned all of its right, title and interest in and to the Loan D Note to HFI.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has requested that Lenders amend the Loan Agreement to revise certain Commitment Termination Dates.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Lenders are willing to grant such request, but only to the extent, and in accordance with the terms, and subject to the conditions, set forth herein.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above recitals and for other good and valuable consideration, the receipt and adequacy of which are hereby acknowledged, Borrower and Lenders hereby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Definitions; Interpretation</w:t>
      </w:r>
      <w:r>
        <w:rPr>
          <w:rFonts w:ascii="Times New Roman" w:hAnsi="Times New Roman"/>
          <w:color w:val="000000"/>
          <w:sz w:val="24"/>
        </w:rPr>
        <w:t>. Unless otherwise defined herein, all capitalized terms used herein and defined in the Loan Agreement shall have the respective meanings given to those terms in the Loan Agreement. Other rules of construction set forth in the Loan Agreement, to the extent not inconsistent with this Agreement, apply to this Agreement and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Confirmation</w:t>
      </w:r>
      <w:r>
        <w:rPr>
          <w:rFonts w:ascii="Times New Roman" w:hAnsi="Times New Roman"/>
          <w:color w:val="000000"/>
          <w:sz w:val="24"/>
        </w:rPr>
        <w:t>. Borrower hereby acknowledges and agrees that: (i) the Loan Agreement sets forth the legal, valid, binding and continuing obligations of Borrower to Lenders, and (ii) the Obligations to Lenders under the Loan Agreement are secured by validly perfected security interests in all assets of Borrower, except with respect to Borrower’s Intellectual Property, as set forth in Section 4.1 of the Loan Agreement. Borrower represents and warrants that no Default or Event of Default has occurred and is continuing under the Loan Agreement or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Amendments to Loan Agreement</w:t>
      </w:r>
      <w:r>
        <w:rPr>
          <w:rFonts w:ascii="Times New Roman" w:hAnsi="Times New Roman"/>
          <w:color w:val="000000"/>
          <w:sz w:val="24"/>
        </w:rPr>
        <w:t>. Subject to the occurrence of the Amendment Effective Date, Collateral Agent, Borrower and Lenders hereby agree that the columns “COMMITMENT AMOUNTS” and “COMMITMENT TERMINATION DATES” appearing on the cover page of the Loan Agreement are deleted in their entirety and replaced with the following:</w:t>
      </w:r>
    </w:p>
    <w:p>
      <w:pPr>
        <w:pStyle w:val="TextBody"/>
        <w:bidi w:val="0"/>
        <w:jc w:val="left"/>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523" w:type="dxa"/>
        <w:jc w:val="left"/>
        <w:tblInd w:w="0" w:type="dxa"/>
        <w:tblLayout w:type="fixed"/>
        <w:tblCellMar>
          <w:top w:w="28" w:type="dxa"/>
          <w:left w:w="28" w:type="dxa"/>
          <w:bottom w:w="28" w:type="dxa"/>
          <w:right w:w="28" w:type="dxa"/>
        </w:tblCellMar>
      </w:tblPr>
      <w:tblGrid>
        <w:gridCol w:w="3752"/>
        <w:gridCol w:w="4771"/>
      </w:tblGrid>
      <w:tr>
        <w:trPr/>
        <w:tc>
          <w:tcPr>
            <w:tcW w:w="3752"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ind w:left="0" w:right="0" w:firstLine="76"/>
              <w:jc w:val="left"/>
              <w:rPr>
                <w:sz w:val="4"/>
                <w:szCs w:val="4"/>
              </w:rPr>
            </w:pPr>
            <w:r>
              <w:rPr>
                <w:sz w:val="4"/>
                <w:szCs w:val="4"/>
              </w:rPr>
            </w:r>
          </w:p>
        </w:tc>
      </w:tr>
      <w:tr>
        <w:trPr/>
        <w:tc>
          <w:tcPr>
            <w:tcW w:w="3752" w:type="dxa"/>
            <w:tcBorders/>
            <w:tcMar>
              <w:top w:w="0" w:type="dxa"/>
              <w:left w:w="0" w:type="dxa"/>
              <w:bottom w:w="0" w:type="dxa"/>
              <w:right w:w="0" w:type="dxa"/>
            </w:tcMar>
            <w:vAlign w:val="center"/>
          </w:tcPr>
          <w:p>
            <w:pPr>
              <w:pStyle w:val="TableContents"/>
              <w:bidi w:val="0"/>
              <w:spacing w:before="0" w:after="120"/>
              <w:ind w:left="0" w:right="0" w:firstLine="76"/>
              <w:jc w:val="left"/>
              <w:rPr/>
            </w:pPr>
            <w:r>
              <w:rPr>
                <w:color w:val="000000"/>
              </w:rPr>
              <w:t>“</w:t>
            </w:r>
            <w:r>
              <w:rPr>
                <w:rFonts w:ascii="Times New Roman" w:hAnsi="Times New Roman"/>
                <w:b/>
                <w:color w:val="000000"/>
                <w:sz w:val="24"/>
              </w:rPr>
              <w:t>COMMITMENT AMOUNTS:</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A [TR 1]: $6,000,000 (SVB)</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B [TR 1]: $5,000,000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C [TR 1]: $5,000,000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D [TR 1]: $4,000,000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E [TR 2]: $3,000,000 (SVB)</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F [TR 2]: $3,500,000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G [TR 2]: $3,500,000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H [TR 3]: $3,000,000 (SVB)</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I [TR 3]: $3,500,000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J [TR 3]: $3,500,000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K [TR 4]: $3,000,000 (SVB)</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L [TR 4]: $3,500,000 (HRZN)</w:t>
            </w:r>
          </w:p>
          <w:p>
            <w:pPr>
              <w:pStyle w:val="TableContents"/>
              <w:bidi w:val="0"/>
              <w:spacing w:before="0" w:after="120"/>
              <w:ind w:left="0" w:right="0" w:firstLine="76"/>
              <w:jc w:val="left"/>
              <w:rPr>
                <w:rFonts w:ascii="Times New Roman" w:hAnsi="Times New Roman"/>
                <w:color w:val="000000"/>
                <w:sz w:val="24"/>
              </w:rPr>
            </w:pPr>
            <w:r>
              <w:rPr>
                <w:rFonts w:ascii="Times New Roman" w:hAnsi="Times New Roman"/>
                <w:color w:val="000000"/>
                <w:sz w:val="24"/>
              </w:rPr>
              <w:t>Loan M [TR 4]: $3,500,000 (HRZN)</w:t>
            </w:r>
          </w:p>
        </w:tc>
        <w:tc>
          <w:tcPr>
            <w:tcW w:w="477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COMMITMENT TERMINATION DATES:</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A: February 6, 2024</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B: February 6, 2024</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C: February 6, 2024</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D: February 6, 2024</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E: June 30,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F: June 30,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G: June 30,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H: September 30,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I: September 30,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J: September 30,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K: December 31,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L: December 31, 2026</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Loan M: December 31, 2026”</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Conditions to Effectiveness</w:t>
      </w:r>
      <w:r>
        <w:rPr>
          <w:rFonts w:ascii="Times New Roman" w:hAnsi="Times New Roman"/>
          <w:color w:val="000000"/>
          <w:sz w:val="24"/>
        </w:rPr>
        <w:t>. Collateral Agent and Lenders’ waiver, consent and agreement herein are expressly conditioned on the following (the date of satisfaction of such conditions precedent being the “</w:t>
      </w:r>
      <w:r>
        <w:rPr>
          <w:rFonts w:ascii="Times New Roman" w:hAnsi="Times New Roman"/>
          <w:color w:val="000000"/>
          <w:sz w:val="24"/>
          <w:u w:val="single"/>
        </w:rPr>
        <w:t>Amendment Effective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executing and delivering to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executed copy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executed copy of that certain Acknowledgement and Reaffirmation of Subordination Agreement, dated as of the date hereof, by and between Collateral Agent and Lenders in their capacities as subordinated creditors, SVB in its capacity as senior creditor, and Borrower;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executed copy of the Updated Perfection Certificate;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of the representations and warranties made in this Agreement shall be true and correct on and as of the date hereof as if made on and as of such date, both before and after giving effect to this Agreement in all material respects (except with respect to any such representation or warranty which is already qualified by a materiality qualifier, in which case such representation or warranty shall be true in all respects, and where such representations and warranties expressly relate to an earlier date, in which case such representations and warranties are true and correct as of such earlier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Borrower’s payment to Horizon of a commitment extension fee of One Hundred Five Thousand and 00/100 Dollars ($105,000.00);</w:t>
      </w:r>
    </w:p>
    <w:p>
      <w:pPr>
        <w:pStyle w:val="TextBody"/>
        <w:bidi w:val="0"/>
        <w:jc w:val="left"/>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Borrower’s payment to SVB of a commitment extension fee of Forty-Five Thousand and 00/100 Dollars ($45,000.00);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Borrower’s payment to Horizon of its legal fees incurred in connection with this Agreement in the amount of Two Thousand Five Hundred Dollars ($2,500);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Borrower’s payment to SVB of its legal fees incurred in connection with this Agreement in the amount of Five Thousand Dollars ($5,000).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To induce Lenders and Collateral Agent to enter into this Agreement, Borrower hereby represents and warrants to Lenders and Collateral Agent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At and as of the date of this Agreement and both prior to and after giving effect to this Agreement, each of the representations and warranties contained in the Loan Agreement is true and correct in all material respects (except with respect to any such representation or warranty which is already qualified by a materiality qualifier, in which case such representation or warranty shall be true and correct in all respects, and where such representations and warranties expressly relate to an earlier date, in which case such representations and warranties are true and correct as of such earlier date). Borrower understands and agrees that in modifying the existing Obligations, Lenders and Collateral Agent are relying upon Borrower’s representations, warranties, and agreements, as set forth in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Borrower has all necessary power and authority to execute, deliver, and perform in accordance with the terms thereof, each of this Agreement and the Loan Agreement, as amended by this Agreement. Borrower has all requisite power and authority to own and operate its Property and to carry on its businesses as now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organizational documents of Borrower delivered to Collateral Agent and each Lender on the Closing Date have been amended, supplemented or restated as reflected in the attached Exhibits A and B (Amended and Restated Bylaws and Amended and Restated Certificate of Incorporation), which are and continue to be in full force and effect. All other organizational documents of Borrower delivered to Collateral Agent and each Lender on the Closing Date remain true, accurate and complete and have not been amended, supplemented or restated and are and continue to be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execution and delivery by Borrower of this Agreement and the performance by Borrower of its obligations under the Loan Agreement, as amended by this Agreement, have been duly authorized by all necessary action on the part of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4"/>
        </w:rPr>
        <w:t>The execution and delivery by Borrower of this Agreement and the performance by Borrower of its obligations under the Loan Agreement, as amended by this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pStyle w:val="TextBody"/>
        <w:bidi w:val="0"/>
        <w:jc w:val="left"/>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4"/>
        </w:rPr>
        <w:t>The execution and delivery by Borrower of this Agreement and the performance by Borrower of its obligations under the Loan Agreement, as amended by this Agreement,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Effect of Agreement</w:t>
      </w:r>
      <w:r>
        <w:rPr>
          <w:rFonts w:ascii="Times New Roman" w:hAnsi="Times New Roman"/>
          <w:color w:val="000000"/>
          <w:sz w:val="24"/>
        </w:rPr>
        <w:t>. On and after the date hereof, each reference to the Loan Agreement in the Loan Agreement or in any other document shall mean the Loan Agreement as amended by this Agreement. Except as expressly provided hereunder, the execution, delivery and effectiveness of this Agreement shall not operate as a waiver of any right, power, or remedy of Lenders, nor constitute a waiver of any provision of, under or in connection with any Loan Document. Except to the limited extent expressly provided herein, nothing contained herein shall, or shall be construed to (nor shall Borrower ever argue to the contrary) (i) amend or modify the Loan Agreement or any other Loan Document, (ii) modify, waive, impair, or affect any of the covenants, agreements, terms and conditions thereof, or (iii) waive the due keeping, observance and/or performance thereof, each of which is hereby ratified and confirmed by Borrower. Except as amended above, the Loan Agreement remains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Release by Borrower</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FOR GOOD AND VALUABLE CONSIDERATION, Borrower hereby forever relieves, releases, and discharges Collateral Agent, Lenders and their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Agreement (collectively “</w:t>
      </w:r>
      <w:r>
        <w:rPr>
          <w:rFonts w:ascii="Times New Roman" w:hAnsi="Times New Roman"/>
          <w:color w:val="000000"/>
          <w:sz w:val="24"/>
          <w:u w:val="single"/>
        </w:rPr>
        <w:t>Released Claims</w:t>
      </w:r>
      <w:r>
        <w:rPr>
          <w:rFonts w:ascii="Times New Roman" w:hAnsi="Times New Roman"/>
          <w:color w:val="000000"/>
          <w:sz w:val="20"/>
        </w:rPr>
        <w:t>”</w:t>
      </w:r>
      <w:r>
        <w:rPr>
          <w:rFonts w:ascii="Times New Roman" w:hAnsi="Times New Roman"/>
          <w:color w:val="000000"/>
          <w:sz w:val="24"/>
        </w:rPr>
        <w:t>).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(b) 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any Lender with respect to the facts underlying this release or with regard to any of such party’s rights or asserted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Collateral Agent and each Lender to enter into this Agreement, and that none of Collateral Agent nor any Lender would not have done so but for such Person’s expectation that such release is valid and enforceable in all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Borrower hereby acknowledges and agrees that Borrower has no offsets, defenses, claims, or counterclaims against Collateral Agent or any Lender with respect to the Obligations, or otherwise, and that if Borrower now has, or ever did have, any offsets, defenses, claims, or counterclaims against Collateral Agent or any Lender, whether known or unknown, at law or in equity, all of them are hereby expressly WAIVED and Borrower hereby RELEASES Collateral Agent or such Lender from any liability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Updated Perfection Certificate</w:t>
      </w:r>
      <w:r>
        <w:rPr>
          <w:rFonts w:ascii="Times New Roman" w:hAnsi="Times New Roman"/>
          <w:color w:val="000000"/>
          <w:sz w:val="24"/>
        </w:rPr>
        <w:t>. In connection with this Agreement, Borrower has delivered an updated Perfection Certificate (the “</w:t>
      </w:r>
      <w:r>
        <w:rPr>
          <w:rFonts w:ascii="Times New Roman" w:hAnsi="Times New Roman"/>
          <w:color w:val="000000"/>
          <w:sz w:val="24"/>
          <w:u w:val="single"/>
        </w:rPr>
        <w:t>Updated Perfection Certificate</w:t>
      </w:r>
      <w:r>
        <w:rPr>
          <w:color w:val="000000"/>
        </w:rPr>
        <w:t>”</w:t>
      </w:r>
      <w:r>
        <w:rPr>
          <w:rFonts w:ascii="Times New Roman" w:hAnsi="Times New Roman"/>
          <w:color w:val="000000"/>
          <w:sz w:val="24"/>
        </w:rPr>
        <w:t>). Borrower, Collateral Agent and Lenders acknowledge and agree that, from and after the date of this Agreement, each reference in the Loan Documents to the “Perfection Certificate” shall be deemed to be a reference to the Updated Perfection Certificate. Borrower acknowledges, confirms and agrees the disclosures and information Borrower provided to Collateral Agent and Lenders in the Updated Perfection Certificate have not changed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Prior Agreement</w:t>
      </w:r>
      <w:r>
        <w:rPr>
          <w:rFonts w:ascii="Times New Roman" w:hAnsi="Times New Roman"/>
          <w:color w:val="000000"/>
          <w:sz w:val="24"/>
        </w:rPr>
        <w:t>.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xml:space="preserve">. Borrower shall pay to Collateral Agent and each Lender on the date of this Agreement all fees and expenses set forth in Section 4(c), 4(d), 4(e) and 4(f) above.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 xml:space="preserve">. This Agreement shall constitute a Loan Document under the Loan Agreement. The failure to comply with a covenant (if any) contained herein shall constitute an Event of Default, without any cure period, under the Loan Agreement. All obligations included in this Agreement (including, without limitation, all obligations for the payment of principal, interest, fees, and other amounts and expenses) shall constitute Obligations and be secured by the </w:t>
      </w:r>
    </w:p>
    <w:p>
      <w:pPr>
        <w:pStyle w:val="TextBody"/>
        <w:bidi w:val="0"/>
        <w:jc w:val="left"/>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Collateral. Each provision of this Agreement is severable from every other provision in determining the enforceability of any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Post-Closing Condition</w:t>
      </w:r>
      <w:r>
        <w:rPr>
          <w:rFonts w:ascii="Times New Roman" w:hAnsi="Times New Roman"/>
          <w:b/>
          <w:color w:val="000000"/>
          <w:sz w:val="24"/>
        </w:rPr>
        <w:t xml:space="preserve">. </w:t>
      </w:r>
      <w:r>
        <w:rPr>
          <w:rFonts w:ascii="Times New Roman" w:hAnsi="Times New Roman"/>
          <w:color w:val="000000"/>
          <w:sz w:val="24"/>
        </w:rPr>
        <w:t>Borrower shall make commercially reasonable efforts to deliver to each Lender, in form and substance acceptable to each Lender, within forty-five (45) days of the Amendment Effective Date (or such later date as the Lenders may determine in their sole discretion), a duly executed landlord consent in favor of Collateral Agent from the landlord of 625 Pastoria Ave., Sunnyvale, CA 94085, Santa Clara.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Headings in this Agreement are for convenience of reference only and are not part of the substance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Agreement shall be governed by and construed in accordance with the laws of the State of New York without reference to conflicts of law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including by electronic or facsimile transmission, each of which when so delivered shall be deemed an original, but all such counterparts taken together shall constitute but one and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This Agreement and the Loan Documents constitute and contain the entire agreement of Borrower and Lenders with respect to their respective subject matters, and supersede any and all prior agreements, correspondence and communications.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xml:space="preserve">. Section 14 of the Loan Agreement applies to this Agreement.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Collateral Agent, Borrower and Lenders have caused this Agreement to be executed as of the day and year first above written.</w:t>
      </w:r>
    </w:p>
    <w:p>
      <w:pPr>
        <w:pStyle w:val="TextBody"/>
        <w:bidi w:val="0"/>
        <w:jc w:val="left"/>
        <w:rPr>
          <w:rFonts w:ascii="Times New Roman" w:hAnsi="Times New Roman"/>
          <w:sz w:val="20"/>
        </w:rPr>
      </w:pPr>
      <w:r>
        <w:rPr>
          <w:rFonts w:ascii="Times New Roman" w:hAnsi="Times New Roman"/>
          <w:color w:val="000000"/>
          <w:sz w:val="24"/>
        </w:rPr>
        <w:t>- 8</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BORROWER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CERIBELL,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/s/ Scott Blumberg </w:t>
      </w:r>
    </w:p>
    <w:p>
      <w:pPr>
        <w:pStyle w:val="TextBody"/>
        <w:bidi w:val="0"/>
        <w:jc w:val="left"/>
        <w:rPr>
          <w:rFonts w:ascii="Times New Roman" w:hAnsi="Times New Roman"/>
          <w:color w:val="000000"/>
          <w:sz w:val="24"/>
        </w:rPr>
      </w:pPr>
      <w:r>
        <w:rPr>
          <w:rFonts w:ascii="Times New Roman" w:hAnsi="Times New Roman"/>
          <w:color w:val="000000"/>
          <w:sz w:val="24"/>
        </w:rPr>
        <w:t>Name: Scott Blumberg</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COLLATERAL AGENT and LENDER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HORIZON TECHNOLOGY FINANCE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Gerald A. Michaud</w:t>
      </w:r>
    </w:p>
    <w:p>
      <w:pPr>
        <w:pStyle w:val="TextBody"/>
        <w:bidi w:val="0"/>
        <w:jc w:val="left"/>
        <w:rPr>
          <w:rFonts w:ascii="Times New Roman" w:hAnsi="Times New Roman"/>
          <w:color w:val="000000"/>
          <w:sz w:val="24"/>
        </w:rPr>
      </w:pPr>
      <w:r>
        <w:rPr>
          <w:rFonts w:ascii="Times New Roman" w:hAnsi="Times New Roman"/>
          <w:color w:val="000000"/>
          <w:sz w:val="24"/>
        </w:rPr>
        <w:t>Name: Gerald A. Michaud</w:t>
      </w:r>
    </w:p>
    <w:p>
      <w:pPr>
        <w:pStyle w:val="TextBody"/>
        <w:bidi w:val="0"/>
        <w:jc w:val="left"/>
        <w:rPr>
          <w:rFonts w:ascii="Times New Roman" w:hAnsi="Times New Roman"/>
          <w:sz w:val="20"/>
        </w:rPr>
      </w:pPr>
      <w:r>
        <w:rPr>
          <w:rFonts w:ascii="Times New Roman" w:hAnsi="Times New Roman"/>
          <w:color w:val="000000"/>
          <w:sz w:val="24"/>
        </w:rPr>
        <w:t>Title: President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LENDERS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HORIZON FUNDING TRUST 2022-1</w:t>
      </w:r>
    </w:p>
    <w:p>
      <w:pPr>
        <w:pStyle w:val="TextBody"/>
        <w:bidi w:val="0"/>
        <w:jc w:val="left"/>
        <w:rPr>
          <w:rFonts w:ascii="Times New Roman" w:hAnsi="Times New Roman"/>
          <w:color w:val="000000"/>
          <w:sz w:val="24"/>
        </w:rPr>
      </w:pPr>
      <w:r>
        <w:rPr>
          <w:rFonts w:ascii="Times New Roman" w:hAnsi="Times New Roman"/>
          <w:color w:val="000000"/>
          <w:sz w:val="24"/>
        </w:rPr>
        <w:t>By: Horizon Technology Finance Corporation, its agent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Gerald A. Michaud</w:t>
      </w:r>
    </w:p>
    <w:p>
      <w:pPr>
        <w:pStyle w:val="TextBody"/>
        <w:bidi w:val="0"/>
        <w:jc w:val="left"/>
        <w:rPr>
          <w:rFonts w:ascii="Times New Roman" w:hAnsi="Times New Roman"/>
          <w:color w:val="000000"/>
          <w:sz w:val="24"/>
        </w:rPr>
      </w:pPr>
      <w:r>
        <w:rPr>
          <w:rFonts w:ascii="Times New Roman" w:hAnsi="Times New Roman"/>
          <w:color w:val="000000"/>
          <w:sz w:val="24"/>
        </w:rPr>
        <w:t>Name: Gerald A. Michaud</w:t>
      </w:r>
    </w:p>
    <w:p>
      <w:pPr>
        <w:pStyle w:val="TextBody"/>
        <w:bidi w:val="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HORIZON FUNDING I, LLC</w:t>
      </w:r>
    </w:p>
    <w:p>
      <w:pPr>
        <w:pStyle w:val="TextBody"/>
        <w:bidi w:val="0"/>
        <w:jc w:val="left"/>
        <w:rPr>
          <w:rFonts w:ascii="Times New Roman" w:hAnsi="Times New Roman"/>
          <w:color w:val="000000"/>
          <w:sz w:val="24"/>
        </w:rPr>
      </w:pPr>
      <w:r>
        <w:rPr>
          <w:rFonts w:ascii="Times New Roman" w:hAnsi="Times New Roman"/>
          <w:color w:val="000000"/>
          <w:sz w:val="24"/>
        </w:rPr>
        <w:t>By: Horizon Secured Loan Fund I LLC, 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Gerald A. Michaud</w:t>
      </w:r>
    </w:p>
    <w:p>
      <w:pPr>
        <w:pStyle w:val="TextBody"/>
        <w:bidi w:val="0"/>
        <w:jc w:val="left"/>
        <w:rPr>
          <w:rFonts w:ascii="Times New Roman" w:hAnsi="Times New Roman"/>
          <w:color w:val="000000"/>
          <w:sz w:val="24"/>
        </w:rPr>
      </w:pPr>
      <w:r>
        <w:rPr>
          <w:rFonts w:ascii="Times New Roman" w:hAnsi="Times New Roman"/>
          <w:color w:val="000000"/>
          <w:sz w:val="24"/>
        </w:rPr>
        <w:t>Name: Gerald A. Michaud</w:t>
      </w:r>
    </w:p>
    <w:p>
      <w:pPr>
        <w:pStyle w:val="TextBody"/>
        <w:bidi w:val="0"/>
        <w:jc w:val="left"/>
        <w:rPr>
          <w:rFonts w:ascii="Times New Roman" w:hAnsi="Times New Roman"/>
          <w:color w:val="000000"/>
          <w:sz w:val="24"/>
        </w:rPr>
      </w:pPr>
      <w:r>
        <w:rPr>
          <w:rFonts w:ascii="Times New Roman" w:hAnsi="Times New Roman"/>
          <w:color w:val="000000"/>
          <w:sz w:val="24"/>
        </w:rPr>
        <w:t>Title: Manager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FIRST-CITIZENS BANK &amp; TRUST COMPANY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Matt Perry</w:t>
      </w:r>
    </w:p>
    <w:p>
      <w:pPr>
        <w:pStyle w:val="TextBody"/>
        <w:bidi w:val="0"/>
        <w:jc w:val="left"/>
        <w:rPr>
          <w:rFonts w:ascii="Times New Roman" w:hAnsi="Times New Roman"/>
          <w:color w:val="000000"/>
          <w:sz w:val="24"/>
        </w:rPr>
      </w:pPr>
      <w:r>
        <w:rPr>
          <w:rFonts w:ascii="Times New Roman" w:hAnsi="Times New Roman"/>
          <w:color w:val="000000"/>
          <w:sz w:val="24"/>
        </w:rPr>
        <w:t>Name: Matt Perry</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First Amendment to Loan and Security Agreement – Ceribell]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BYLAWS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B</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CERTIFICATE OF INCORPORATION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0" w:after="283"/>
        <w:jc w:val="center"/>
        <w:rPr>
          <w:rFonts w:ascii="Times New Roman" w:hAnsi="Times New Roman"/>
          <w:b/>
          <w:color w:val="000000"/>
          <w:sz w:val="22"/>
        </w:rPr>
      </w:pPr>
      <w:bookmarkStart w:id="38" w:name="cbll-ex19_1.htm"/>
      <w:bookmarkStart w:id="39" w:name="kscbllex19_1"/>
      <w:bookmarkEnd w:id="38"/>
      <w:bookmarkEnd w:id="39"/>
      <w:r>
        <w:rPr>
          <w:rFonts w:ascii="Times New Roman" w:hAnsi="Times New Roman"/>
          <w:b/>
          <w:color w:val="000000"/>
          <w:sz w:val="22"/>
        </w:rPr>
        <w:t>CeriBell, Inc.</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Insider Trading Compliance Policy and Procedures</w:t>
      </w:r>
    </w:p>
    <w:p>
      <w:pPr>
        <w:pStyle w:val="TextBody"/>
        <w:bidi w:val="0"/>
        <w:spacing w:before="240" w:after="283"/>
        <w:jc w:val="both"/>
        <w:rPr>
          <w:rFonts w:ascii="Times New Roman" w:hAnsi="Times New Roman"/>
          <w:sz w:val="20"/>
        </w:rPr>
      </w:pPr>
      <w:r>
        <w:rPr>
          <w:rFonts w:ascii="Times New Roman" w:hAnsi="Times New Roman"/>
          <w:color w:val="000000"/>
          <w:sz w:val="22"/>
        </w:rPr>
        <w:t>Federal and state laws prohibit trading in the securities of a company while in possession of material nonpublic information or in breach of a duty of trust or confidence. These laws also prohibit anyone who is aware of material nonpublic information from providing this information to (“tipping”) others who may trade (“tippees”). Violating such laws can undermine investor trust, harm the reputation and integrity of CeriBell, Inc. (together with its subsidiaries (if applicable),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Persons Covered and Administration of Policy</w:t>
      </w:r>
    </w:p>
    <w:p>
      <w:pPr>
        <w:pStyle w:val="TextBody"/>
        <w:bidi w:val="0"/>
        <w:spacing w:before="240" w:after="283"/>
        <w:jc w:val="both"/>
        <w:rPr>
          <w:rFonts w:ascii="Times New Roman" w:hAnsi="Times New Roman"/>
          <w:sz w:val="20"/>
        </w:rPr>
      </w:pPr>
      <w:r>
        <w:rPr>
          <w:rFonts w:ascii="Times New Roman" w:hAnsi="Times New Roman"/>
          <w:color w:val="000000"/>
          <w:sz w:val="22"/>
        </w:rPr>
        <w:t>The Insider Trading Compliance Policy and Procedures (this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 applies to all officers, directors, employees, contractors, consultants and other contingent workers of the Company (“</w:t>
      </w:r>
      <w:r>
        <w:rPr>
          <w:rFonts w:ascii="Times New Roman" w:hAnsi="Times New Roman"/>
          <w:color w:val="000000"/>
          <w:sz w:val="22"/>
          <w:u w:val="single"/>
        </w:rPr>
        <w:t>Covered Persons</w:t>
      </w:r>
      <w:r>
        <w:rPr>
          <w:rFonts w:ascii="Times New Roman" w:hAnsi="Times New Roman"/>
          <w:color w:val="000000"/>
          <w:sz w:val="20"/>
        </w:rPr>
        <w:t>”</w:t>
      </w:r>
      <w:r>
        <w:rPr>
          <w:rFonts w:ascii="Times New Roman" w:hAnsi="Times New Roman"/>
          <w:color w:val="000000"/>
          <w:sz w:val="22"/>
        </w:rPr>
        <w:t>). For purposes of this Policy, “officers” refer to those individuals who meet the definition of “officer” under Section 16 of the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Individuals subject to this Policy are responsible for ensuring that members of their household and close family members also comply with this Policy. In addition this Policy applies to any entities controlled by individuals subject to the Policy, including any corporations, limited liability companies, partnerships, or trusts. Transactions by these entities should be treated as if they were for the individual’s own account.</w:t>
      </w:r>
    </w:p>
    <w:p>
      <w:pPr>
        <w:pStyle w:val="TextBody"/>
        <w:bidi w:val="0"/>
        <w:spacing w:before="240" w:after="283"/>
        <w:jc w:val="both"/>
        <w:rPr>
          <w:rFonts w:ascii="Times New Roman" w:hAnsi="Times New Roman"/>
          <w:sz w:val="20"/>
        </w:rPr>
      </w:pPr>
      <w:r>
        <w:rPr>
          <w:rFonts w:ascii="Times New Roman" w:hAnsi="Times New Roman"/>
          <w:color w:val="000000"/>
          <w:sz w:val="22"/>
        </w:rPr>
        <w:t>Questions regarding the Policy should be directed to the General Counsel or his or her designee (the “</w:t>
      </w:r>
      <w:r>
        <w:rPr>
          <w:rFonts w:ascii="Times New Roman" w:hAnsi="Times New Roman"/>
          <w:color w:val="000000"/>
          <w:sz w:val="22"/>
          <w:u w:val="single"/>
        </w:rPr>
        <w:t>Compliance Officer</w:t>
      </w:r>
      <w:r>
        <w:rPr>
          <w:rFonts w:ascii="Times New Roman" w:hAnsi="Times New Roman"/>
          <w:color w:val="000000"/>
          <w:sz w:val="20"/>
        </w:rPr>
        <w:t>”</w:t>
      </w:r>
      <w:r>
        <w:rPr>
          <w:rFonts w:ascii="Times New Roman" w:hAnsi="Times New Roman"/>
          <w:color w:val="000000"/>
          <w:sz w:val="22"/>
        </w:rPr>
        <w:t>), who is responsible for the administration of this Policy, or his or her designee.</w:t>
      </w:r>
    </w:p>
    <w:p>
      <w:pPr>
        <w:pStyle w:val="TextBody"/>
        <w:bidi w:val="0"/>
        <w:spacing w:before="239" w:after="283"/>
        <w:jc w:val="left"/>
        <w:rPr>
          <w:rFonts w:ascii="Times New Roman" w:hAnsi="Times New Roman"/>
          <w:b/>
          <w:color w:val="000000"/>
          <w:sz w:val="22"/>
          <w:u w:val="single"/>
        </w:rPr>
      </w:pPr>
      <w:r>
        <w:rPr>
          <w:rFonts w:ascii="Times New Roman" w:hAnsi="Times New Roman"/>
          <w:b/>
          <w:color w:val="000000"/>
          <w:sz w:val="22"/>
          <w:u w:val="single"/>
        </w:rPr>
        <w:t>Policy Statement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pStyle w:val="TextBody"/>
        <w:bidi w:val="0"/>
        <w:spacing w:before="240" w:after="283"/>
        <w:jc w:val="both"/>
        <w:rPr/>
      </w:pPr>
      <w:r>
        <w:rPr>
          <w:color w:val="000000"/>
        </w:rPr>
        <w:t>“</w:t>
      </w:r>
      <w:r>
        <w:rPr>
          <w:rFonts w:ascii="Times New Roman" w:hAnsi="Times New Roman"/>
          <w:color w:val="000000"/>
          <w:sz w:val="22"/>
          <w:u w:val="single"/>
        </w:rPr>
        <w:t>Securities</w:t>
      </w:r>
      <w:r>
        <w:rPr>
          <w:rFonts w:ascii="Times New Roman" w:hAnsi="Times New Roman"/>
          <w:color w:val="000000"/>
          <w:sz w:val="20"/>
        </w:rPr>
        <w:t xml:space="preserve">” </w:t>
      </w:r>
      <w:r>
        <w:rPr>
          <w:rFonts w:ascii="Times New Roman" w:hAnsi="Times New Roman"/>
          <w:color w:val="000000"/>
          <w:sz w:val="22"/>
        </w:rPr>
        <w:t>includes stocks, bonds, notes, debentures, options, warrants, equity, and other convertible securities, as well as derivative instruments.</w:t>
      </w:r>
    </w:p>
    <w:p>
      <w:pPr>
        <w:pStyle w:val="TextBody"/>
        <w:bidi w:val="0"/>
        <w:spacing w:before="240" w:after="283"/>
        <w:jc w:val="both"/>
        <w:rPr/>
      </w:pPr>
      <w:r>
        <w:rPr>
          <w:color w:val="000000"/>
        </w:rPr>
        <w:t>“</w:t>
      </w:r>
      <w:r>
        <w:rPr>
          <w:rFonts w:ascii="Times New Roman" w:hAnsi="Times New Roman"/>
          <w:color w:val="000000"/>
          <w:sz w:val="22"/>
          <w:u w:val="single"/>
        </w:rPr>
        <w:t>Purchase</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0"/>
        </w:rPr>
        <w:t>“</w:t>
      </w:r>
      <w:r>
        <w:rPr>
          <w:rFonts w:ascii="Times New Roman" w:hAnsi="Times New Roman"/>
          <w:color w:val="000000"/>
          <w:sz w:val="22"/>
          <w:u w:val="single"/>
        </w:rPr>
        <w:t>sale</w:t>
      </w:r>
      <w:r>
        <w:rPr>
          <w:rFonts w:ascii="Times New Roman" w:hAnsi="Times New Roman"/>
          <w:color w:val="000000"/>
          <w:sz w:val="20"/>
        </w:rPr>
        <w:t xml:space="preserve">” </w:t>
      </w:r>
      <w:r>
        <w:rPr>
          <w:rFonts w:ascii="Times New Roman" w:hAnsi="Times New Roman"/>
          <w:color w:val="000000"/>
          <w:sz w:val="22"/>
        </w:rPr>
        <w:t xml:space="preserve">are defined broadly under the federal securities law. </w:t>
      </w:r>
      <w:r>
        <w:rPr>
          <w:rFonts w:ascii="Times New Roman" w:hAnsi="Times New Roman"/>
          <w:color w:val="000000"/>
          <w:sz w:val="20"/>
        </w:rPr>
        <w:t>“</w:t>
      </w:r>
      <w:r>
        <w:rPr>
          <w:rFonts w:ascii="Times New Roman" w:hAnsi="Times New Roman"/>
          <w:color w:val="000000"/>
          <w:sz w:val="22"/>
        </w:rPr>
        <w:t>Purchase</w:t>
      </w:r>
      <w:r>
        <w:rPr>
          <w:rFonts w:ascii="Times New Roman" w:hAnsi="Times New Roman"/>
          <w:color w:val="000000"/>
          <w:sz w:val="20"/>
        </w:rPr>
        <w:t xml:space="preserve">” </w:t>
      </w:r>
      <w:r>
        <w:rPr>
          <w:rFonts w:ascii="Times New Roman" w:hAnsi="Times New Roman"/>
          <w:color w:val="000000"/>
          <w:sz w:val="22"/>
        </w:rPr>
        <w:t xml:space="preserve">includes not only the actual purchase of a security, but also any contract to purchase or otherwise acquire a security. </w:t>
      </w:r>
      <w:r>
        <w:rPr>
          <w:rFonts w:ascii="Times New Roman" w:hAnsi="Times New Roman"/>
          <w:color w:val="000000"/>
          <w:sz w:val="20"/>
        </w:rPr>
        <w:t>“</w:t>
      </w:r>
      <w:r>
        <w:rPr>
          <w:rFonts w:ascii="Times New Roman" w:hAnsi="Times New Roman"/>
          <w:color w:val="000000"/>
          <w:sz w:val="22"/>
        </w:rPr>
        <w:t>Sale</w:t>
      </w:r>
      <w:r>
        <w:rPr>
          <w:rFonts w:ascii="Times New Roman" w:hAnsi="Times New Roman"/>
          <w:color w:val="000000"/>
          <w:sz w:val="20"/>
        </w:rPr>
        <w:t xml:space="preserve">” </w:t>
      </w:r>
      <w:r>
        <w:rPr>
          <w:rFonts w:ascii="Times New Roman" w:hAnsi="Times New Roman"/>
          <w:color w:val="000000"/>
          <w:sz w:val="22"/>
        </w:rPr>
        <w:t>includes not only the actual sale of a security, but also any contract to sell or otherwise dispose of a security. These definitions extend to a broad range of transactions, including conventional cash-for-stock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transactions, conversions, the exercise of stock options, transfers, gifts, and acquisitions and exercises of warrants or puts, calls, pledging and margin loans, or other derivative securities.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laws and regulations concerning insider trading are complex, and Covered Persons are encouraged to seek guidance from the Compliance Officer prior to considering a transaction in Company securities.</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Restricted Trading Periods</w:t>
      </w:r>
    </w:p>
    <w:p>
      <w:pPr>
        <w:pStyle w:val="TextBody"/>
        <w:bidi w:val="0"/>
        <w:spacing w:before="240" w:after="283"/>
        <w:jc w:val="both"/>
        <w:rPr>
          <w:rFonts w:ascii="Times New Roman" w:hAnsi="Times New Roman"/>
          <w:sz w:val="20"/>
        </w:rPr>
      </w:pPr>
      <w:r>
        <w:rPr>
          <w:rFonts w:ascii="Times New Roman" w:hAnsi="Times New Roman"/>
          <w:color w:val="000000"/>
          <w:sz w:val="22"/>
        </w:rPr>
        <w:t>No director, officer, or employee (as well as any individual or entity covered by this Policy by virtue of their relationship to such director, officer, or employee) shall purchase or sell any security of the Company during the period beginning on the 15th calendar day of the last month of any fiscal quarter of the Company and ending after completion of the second full trading day after the public release of earnings data for such fiscal quarter or during any other trading suspension period declared by the Company (each such period, a “</w:t>
      </w:r>
      <w:r>
        <w:rPr>
          <w:rFonts w:ascii="Times New Roman" w:hAnsi="Times New Roman"/>
          <w:color w:val="000000"/>
          <w:sz w:val="22"/>
          <w:u w:val="single"/>
        </w:rPr>
        <w:t>restricted trading period</w:t>
      </w:r>
      <w:r>
        <w:rPr>
          <w:rFonts w:ascii="Times New Roman" w:hAnsi="Times New Roman"/>
          <w:color w:val="000000"/>
          <w:sz w:val="20"/>
        </w:rPr>
        <w:t>”</w:t>
      </w:r>
      <w:r>
        <w:rPr>
          <w:rFonts w:ascii="Times New Roman" w:hAnsi="Times New Roman"/>
          <w:color w:val="000000"/>
          <w:sz w:val="22"/>
        </w:rPr>
        <w:t xml:space="preserve">). A “trading day” is a day on which U.S. national stock exchanges are open for trading. If, for example, the Company were to make an announcement on Monday </w:t>
      </w:r>
      <w:r>
        <w:rPr>
          <w:rFonts w:ascii="Times New Roman" w:hAnsi="Times New Roman"/>
          <w:i/>
          <w:color w:val="000000"/>
          <w:sz w:val="22"/>
        </w:rPr>
        <w:t xml:space="preserve">prior </w:t>
      </w:r>
      <w:r>
        <w:rPr>
          <w:rFonts w:ascii="Times New Roman" w:hAnsi="Times New Roman"/>
          <w:color w:val="000000"/>
          <w:sz w:val="22"/>
        </w:rPr>
        <w:t xml:space="preserve">to 9:30 a.m. Eastern Time, then the restricted trading period would terminate </w:t>
      </w:r>
      <w:r>
        <w:rPr>
          <w:rFonts w:ascii="Times New Roman" w:hAnsi="Times New Roman"/>
          <w:i/>
          <w:color w:val="000000"/>
          <w:sz w:val="22"/>
        </w:rPr>
        <w:t xml:space="preserve">after </w:t>
      </w:r>
      <w:r>
        <w:rPr>
          <w:rFonts w:ascii="Times New Roman" w:hAnsi="Times New Roman"/>
          <w:color w:val="000000"/>
          <w:sz w:val="22"/>
        </w:rPr>
        <w:t>the close of trading on Tuesday. If an announcement were made on Monday after 9:30 a.m. Eastern Time, then the restricted trading period would terminate after the close of trading on Wednesday. If you have any question as to whether information is publicly available, please direct an inquiry to the Compliance Officer.</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These prohibitions do not apply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purchases of the Company’s securities from the Company, or sales of the Company’s securities to the Company;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2"/>
        </w:rPr>
      </w:pPr>
      <w:r>
        <w:rPr>
          <w:rFonts w:ascii="Times New Roman" w:hAnsi="Times New Roman"/>
          <w:color w:val="000000"/>
          <w:sz w:val="22"/>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2"/>
        </w:rPr>
        <w:t xml:space="preserve">bona fide </w:t>
      </w:r>
      <w:r>
        <w:rPr>
          <w:rFonts w:ascii="Times New Roman" w:hAnsi="Times New Roman"/>
          <w:color w:val="000000"/>
          <w:sz w:val="22"/>
        </w:rPr>
        <w:t>gifts of the Company’s securities, unless the individual making the gift knows, or is reckless in not knowing, the recipient intends to sell the securities while the donor is in possession of material nonpublic information about the Company; or</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purchases or sales of the Company’s securities made pursuant to a plan adopted to comply with the Exchange Act Rule 10b5-1 (“</w:t>
      </w:r>
      <w:r>
        <w:rPr>
          <w:rFonts w:ascii="Times New Roman" w:hAnsi="Times New Roman"/>
          <w:color w:val="000000"/>
          <w:sz w:val="22"/>
          <w:u w:val="single"/>
        </w:rPr>
        <w:t>Rule 10b5-1</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Exceptions to the restricted trading period policy may be approved by (a) the Compliance Officer (b) the Chief Financial Officer, if the Compliance Officer is not available or in the case of an exception for the Compliance Officer, or (c) the Board of Directors, in the case of exceptions for directors).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Compliance Officer may recommend that directors, officers, employees, or others suspend trading in Company securities because of developments that have not yet been disclosed to the public. Subject to the exceptions noted above, all of those individuals affected should not trade in the Company’s securities while the suspension is in effect, and should not disclose to others that the Company has suspended trading.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Preclearance of Trades by Directors, Officers, and Certain Employees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transactions in the Company’s securities by directors, officers, and employees listed on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(each, a “</w:t>
      </w:r>
      <w:r>
        <w:rPr>
          <w:rFonts w:ascii="Times New Roman" w:hAnsi="Times New Roman"/>
          <w:color w:val="000000"/>
          <w:sz w:val="22"/>
          <w:u w:val="single"/>
        </w:rPr>
        <w:t>Preclearance Person</w:t>
      </w:r>
      <w:r>
        <w:rPr>
          <w:rFonts w:ascii="Times New Roman" w:hAnsi="Times New Roman"/>
          <w:color w:val="000000"/>
          <w:sz w:val="20"/>
        </w:rPr>
        <w:t>”</w:t>
      </w:r>
      <w:r>
        <w:rPr>
          <w:rFonts w:ascii="Times New Roman" w:hAnsi="Times New Roman"/>
          <w:color w:val="000000"/>
          <w:sz w:val="22"/>
        </w:rPr>
        <w:t>) must be precleared by the Compliance Officer or the Chief Financial Officer for transactions by the Compliance Officer. Preclearance does not constitute legal advice that a proposed transaction complies with the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All transactions that are precleared must take effect within five business days of receipt of the preclearance. A precleared transaction (or any portion of a precleared transaction) that has not been effected during the five business day period must be submitted for preclearance determination again prior to execution. Notwithstanding prior receipt of preclearance, if the Preclearance Person becomes aware of material nonpublic information or becomes subject to a restricted trading period before the transaction is effected, the transaction may not be completed. Transactions under a previously established Rule 10b5-1 Trading Plan that has been preapproved in accordance with this Policy are not subject to further preclearance.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Company, the Compliance Officer, or the Company’s other employees will have any liability for any delay in reviewing, or refusal of, a request for preclearance.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the foregoing, this pre-clearance policy does not apply to venture capital firms or institutional investors, and the related transactions in the Company’s equity securities by such entities, that may be affiliated with a director of the Company or that a director may be deemed to have beneficial ownership of by virtue of such affiliation.</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Material Nonpublic Information</w:t>
      </w:r>
    </w:p>
    <w:p>
      <w:pPr>
        <w:pStyle w:val="TextBody"/>
        <w:bidi w:val="0"/>
        <w:spacing w:before="240" w:after="283"/>
        <w:jc w:val="both"/>
        <w:rPr>
          <w:rFonts w:ascii="Times New Roman" w:hAnsi="Times New Roman"/>
          <w:sz w:val="20"/>
        </w:rPr>
      </w:pPr>
      <w:r>
        <w:rPr>
          <w:rFonts w:ascii="Times New Roman" w:hAnsi="Times New Roman"/>
          <w:color w:val="000000"/>
          <w:sz w:val="22"/>
        </w:rPr>
        <w:t>Information is considered “</w:t>
      </w:r>
      <w:r>
        <w:rPr>
          <w:rFonts w:ascii="Times New Roman" w:hAnsi="Times New Roman"/>
          <w:color w:val="000000"/>
          <w:sz w:val="22"/>
          <w:u w:val="single"/>
        </w:rPr>
        <w:t>material</w:t>
      </w:r>
      <w:r>
        <w:rPr>
          <w:rFonts w:ascii="Times New Roman" w:hAnsi="Times New Roman"/>
          <w:color w:val="000000"/>
          <w:sz w:val="20"/>
        </w:rPr>
        <w:t xml:space="preserve">” </w:t>
      </w:r>
      <w:r>
        <w:rPr>
          <w:rFonts w:ascii="Times New Roman" w:hAnsi="Times New Roman"/>
          <w:color w:val="000000"/>
          <w:sz w:val="22"/>
        </w:rPr>
        <w:t>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Examples of material information include (but are not limited to) information about: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corporate earnings or earnings forecasts;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possible mergers, acquisitions, tender offers, or dispositions;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major new products or product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important business developments, such as developments regarding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management or control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significant financing developments including pending public sales or offerings of debt or equity securities;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defaults on borrowings;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bankruptcies;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cybersecurity or data security incidents;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significant litigation or regulatory actions.</w:t>
      </w:r>
    </w:p>
    <w:p>
      <w:pPr>
        <w:pStyle w:val="TextBody"/>
        <w:bidi w:val="0"/>
        <w:spacing w:before="240" w:after="283"/>
        <w:jc w:val="both"/>
        <w:rPr>
          <w:rFonts w:ascii="Times New Roman" w:hAnsi="Times New Roman"/>
          <w:sz w:val="20"/>
        </w:rPr>
      </w:pPr>
      <w:r>
        <w:rPr>
          <w:rFonts w:ascii="Times New Roman" w:hAnsi="Times New Roman"/>
          <w:color w:val="000000"/>
          <w:sz w:val="22"/>
        </w:rPr>
        <w:t>Information is “</w:t>
      </w:r>
      <w:r>
        <w:rPr>
          <w:rFonts w:ascii="Times New Roman" w:hAnsi="Times New Roman"/>
          <w:color w:val="000000"/>
          <w:sz w:val="22"/>
          <w:u w:val="single"/>
        </w:rPr>
        <w:t>nonpublic</w:t>
      </w:r>
      <w:r>
        <w:rPr>
          <w:rFonts w:ascii="Times New Roman" w:hAnsi="Times New Roman"/>
          <w:color w:val="000000"/>
          <w:sz w:val="20"/>
        </w:rPr>
        <w:t xml:space="preserve">” </w:t>
      </w:r>
      <w:r>
        <w:rPr>
          <w:rFonts w:ascii="Times New Roman" w:hAnsi="Times New Roman"/>
          <w:color w:val="000000"/>
          <w:sz w:val="22"/>
        </w:rPr>
        <w:t>if it is not available to the general public. In order for information to be considered “</w:t>
      </w:r>
      <w:r>
        <w:rPr>
          <w:rFonts w:ascii="Times New Roman" w:hAnsi="Times New Roman"/>
          <w:color w:val="000000"/>
          <w:sz w:val="22"/>
          <w:u w:val="single"/>
        </w:rPr>
        <w:t>public</w:t>
      </w:r>
      <w:r>
        <w:rPr>
          <w:rFonts w:ascii="Times New Roman" w:hAnsi="Times New Roman"/>
          <w:color w:val="000000"/>
          <w:sz w:val="22"/>
        </w:rPr>
        <w:t>,” it must be widely disseminated in a manner that makes it generally available to investors in a Regulation FD-compliant method, such as through a press release, a filing with the U.S.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or a Regulation FD- compliant conference call. The Compliance Officer shall have sole discretion to decide whether information is public for purposes of this Policy.</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2"/>
        </w:rPr>
      </w:pPr>
      <w:r>
        <w:rPr>
          <w:rFonts w:ascii="Times New Roman" w:hAnsi="Times New Roman"/>
          <w:color w:val="000000"/>
          <w:sz w:val="22"/>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Post-Termination Transactions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 individual is in possession of material nonpublic information when the individual’s service terminates, the individual may not trade in the Company’s securities until that information has become public or is no longer material.</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Prohibited Transactions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Short Sales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low confidence in the Company or its short-term prospects. In addition, Section 16(c) of the Exchange Act prohibits Section 16 reporting persons (i.e., directors, officers, and the Company’s 10% stockholders) from making short sales of the Company’s equity securities.</w:t>
      </w:r>
    </w:p>
    <w:p>
      <w:pPr>
        <w:pStyle w:val="TextBody"/>
        <w:bidi w:val="0"/>
        <w:spacing w:before="239" w:after="283"/>
        <w:jc w:val="left"/>
        <w:rPr>
          <w:rFonts w:ascii="Times New Roman" w:hAnsi="Times New Roman"/>
          <w:i/>
          <w:color w:val="000000"/>
          <w:sz w:val="22"/>
        </w:rPr>
      </w:pPr>
      <w:r>
        <w:rPr>
          <w:rFonts w:ascii="Times New Roman" w:hAnsi="Times New Roman"/>
          <w:i/>
          <w:color w:val="000000"/>
          <w:sz w:val="22"/>
        </w:rPr>
        <w:t>Options</w:t>
      </w:r>
    </w:p>
    <w:p>
      <w:pPr>
        <w:pStyle w:val="TextBody"/>
        <w:bidi w:val="0"/>
        <w:spacing w:before="240" w:after="283"/>
        <w:jc w:val="both"/>
        <w:rPr>
          <w:rFonts w:ascii="Times New Roman" w:hAnsi="Times New Roman"/>
          <w:sz w:val="20"/>
        </w:rPr>
      </w:pPr>
      <w:r>
        <w:rPr>
          <w:rFonts w:ascii="Times New Roman" w:hAnsi="Times New Roman"/>
          <w:color w:val="000000"/>
          <w:sz w:val="22"/>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organized market, also may focus a Covered Person’s attention on short-term performance at the expense of the Company’s long- term objectives.</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Hedging Transactions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Margin Accounts and Pledging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Partnership Distributions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Rule 10b5-1 Trading Plans</w:t>
      </w:r>
    </w:p>
    <w:p>
      <w:pPr>
        <w:pStyle w:val="TextBody"/>
        <w:bidi w:val="0"/>
        <w:spacing w:before="240" w:after="283"/>
        <w:jc w:val="both"/>
        <w:rPr>
          <w:rFonts w:ascii="Times New Roman" w:hAnsi="Times New Roman"/>
          <w:sz w:val="20"/>
        </w:rPr>
      </w:pPr>
      <w:r>
        <w:rPr>
          <w:rFonts w:ascii="Times New Roman" w:hAnsi="Times New Roman"/>
          <w:color w:val="000000"/>
          <w:sz w:val="22"/>
        </w:rPr>
        <w:t>The trading restrictions set forth in this Policy, other than those transactions described under “</w:t>
      </w:r>
      <w:r>
        <w:rPr>
          <w:rFonts w:ascii="Times New Roman" w:hAnsi="Times New Roman"/>
          <w:color w:val="000000"/>
          <w:sz w:val="22"/>
          <w:u w:val="single"/>
        </w:rPr>
        <w:t>Prohibited Transactions</w:t>
      </w:r>
      <w:r>
        <w:rPr>
          <w:rFonts w:ascii="Times New Roman" w:hAnsi="Times New Roman"/>
          <w:color w:val="000000"/>
          <w:sz w:val="22"/>
        </w:rPr>
        <w:t>,” do not apply to transactions under a previously established contract, plan, or instruction to trade in the Company’s securities entered into in accordance with Rule 10b5-1 (a “</w:t>
      </w:r>
      <w:r>
        <w:rPr>
          <w:rFonts w:ascii="Times New Roman" w:hAnsi="Times New Roman"/>
          <w:color w:val="000000"/>
          <w:sz w:val="22"/>
          <w:u w:val="single"/>
        </w:rPr>
        <w:t>Trading Plan</w:t>
      </w:r>
      <w:r>
        <w:rPr>
          <w:rFonts w:ascii="Times New Roman" w:hAnsi="Times New Roman"/>
          <w:color w:val="000000"/>
          <w:sz w:val="20"/>
        </w:rPr>
        <w:t>”</w:t>
      </w:r>
      <w:r>
        <w:rPr>
          <w:rFonts w:ascii="Times New Roman" w:hAnsi="Times New Roman"/>
          <w:color w:val="000000"/>
          <w:sz w:val="22"/>
        </w:rPr>
        <w:t>) that:</w:t>
      </w:r>
    </w:p>
    <w:p>
      <w:pPr>
        <w:pStyle w:val="TextBody"/>
        <w:bidi w:val="0"/>
        <w:spacing w:before="239" w:after="283"/>
        <w:jc w:val="both"/>
        <w:rPr>
          <w:color w:val="000000"/>
        </w:rPr>
      </w:pPr>
      <w:r>
        <w:rPr>
          <w:color w:val="000000"/>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has been submitted to and preapproved by the Compliance Officer;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includes a “Cooling Off Period” for</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pStyle w:val="TextBody"/>
        <w:bidi w:val="0"/>
        <w:spacing w:before="248"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employees and any other persons, other than the Company, that extends 30 days after adoption or modification of a Trading Plan;</w:t>
      </w:r>
    </w:p>
    <w:p>
      <w:pPr>
        <w:pStyle w:val="TextBody"/>
        <w:bidi w:val="0"/>
        <w:spacing w:before="243" w:after="283"/>
        <w:jc w:val="both"/>
        <w:rPr>
          <w:color w:val="000000"/>
        </w:rPr>
      </w:pPr>
      <w:r>
        <w:rPr>
          <w:color w:val="000000"/>
        </w:rPr>
        <w:t>•</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has been entered into in good faith at a time when the individual was not in possession of material nonpublic information about the Company and not otherwise in a restricted trading period, and the person who entered into the Trading Plan has acted in good faith with respect to the Trading Plan;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complies with all other applicable requirements of Rule 10b5-1.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individual may only modify a Trading Plan outside of a restricted trading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reserves the right to publicly disclose, announce, or respond to inquiries from the media regarding the adoption, modification, or termination of a Trading Plan and non- Rule 10b5-1 trading arrangements, or the execution of transactions made under a Trading Plan. The Company also reserves the right from time to time to suspend, discontinue, or otherwise prohibit transactions under a Trading Plan if the Compliance Officer or the Board of Directors, in his, her, or its discretion, determines that such suspension, discontinuation, or other prohibition is in the best interests of the Company.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Interpretation, Amendment, and Implementation of this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Actions taken by the Company, the Compliance Officer, or any other Company personnel do not constitute legal advice, nor do they insulate you from the consequences of noncompliance with this Policy or with securities laws.</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Certification of Compliance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directors, officers, employees, and others subject to this Policy may be asked periodically to certify their compliance with the terms and provisions of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color w:val="000000"/>
          <w:sz w:val="22"/>
          <w:u w:val="single"/>
        </w:rPr>
      </w:pPr>
      <w:r>
        <w:rPr>
          <w:rFonts w:ascii="Times New Roman" w:hAnsi="Times New Roman"/>
          <w:color w:val="000000"/>
          <w:sz w:val="22"/>
          <w:u w:val="single"/>
        </w:rPr>
        <w:t>Schedule I</w:t>
      </w:r>
    </w:p>
    <w:p>
      <w:pPr>
        <w:pStyle w:val="TextBody"/>
        <w:bidi w:val="0"/>
        <w:spacing w:before="134"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Subject to Preclearance Requirement</w:t>
      </w:r>
    </w:p>
    <w:p>
      <w:pPr>
        <w:pStyle w:val="TextBody"/>
        <w:bidi w:val="0"/>
        <w:jc w:val="left"/>
        <w:rPr/>
      </w:pPr>
      <w:r>
        <w:rPr/>
        <w:t> </w:t>
      </w:r>
    </w:p>
    <w:p>
      <w:pPr>
        <w:pStyle w:val="TextBody"/>
        <w:bidi w:val="0"/>
        <w:spacing w:before="18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Directors and officers of the Company and their assistants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Members of the Company’s executive leadership team and their assistants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Employees involved in the preparation of financial statements, as determined by the Controller Senior members of the Finance, Legal, Investor Relations and Communications teams</w:t>
      </w:r>
    </w:p>
    <w:p>
      <w:pPr>
        <w:pStyle w:val="TextBody"/>
        <w:bidi w:val="0"/>
        <w:jc w:val="left"/>
        <w:rPr>
          <w:rFonts w:ascii="Times New Roman" w:hAnsi="Times New Roman"/>
          <w:color w:val="000000"/>
          <w:sz w:val="22"/>
        </w:rPr>
      </w:pPr>
      <w:r>
        <w:rPr>
          <w:rFonts w:ascii="Times New Roman" w:hAnsi="Times New Roman"/>
          <w:color w:val="000000"/>
          <w:sz w:val="22"/>
        </w:rPr>
        <w:t>Other employees with access to material nonpublic information, as determined by the General Counsel</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Close family members or others living in the same household as any of the above, and family members whose transactions in Company securities are directed by, or are subject to the influence or control of, the individuals listed above, and any entities that the individuals listed above influence or control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Consultants, contractors and other contingent workers performing any of the above functions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cbll-ex23_1.htm"/>
      <w:bookmarkStart w:id="41" w:name="kscbllex23_1"/>
      <w:bookmarkEnd w:id="40"/>
      <w:bookmarkEnd w:id="41"/>
      <w:r>
        <w:rPr/>
        <w:t> </w:t>
      </w:r>
      <w:r>
        <w:br w:type="page"/>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Georgia;serif" w:hAnsi="Georgia;serif"/>
          <w:color w:val="000000"/>
          <w:sz w:val="20"/>
        </w:rPr>
      </w:pPr>
      <w:r>
        <w:rPr>
          <w:rFonts w:ascii="Georgia;serif" w:hAnsi="Georgia;serif"/>
          <w:color w:val="000000"/>
          <w:sz w:val="20"/>
        </w:rPr>
        <w:t>We hereby consent to the incorporation by reference in the Registration Statement on Form S-8 (No. 333-282603) of CeriBell, Inc. of our report dated February 25, 2025 relating to the financial statements, which appears in this Form 10-K.</w:t>
      </w:r>
    </w:p>
    <w:p>
      <w:pPr>
        <w:pStyle w:val="TextBody"/>
        <w:bidi w:val="0"/>
        <w:spacing w:before="240" w:after="160"/>
        <w:jc w:val="left"/>
        <w:rPr>
          <w:rFonts w:ascii="Times New Roman" w:hAnsi="Times New Roman"/>
          <w:sz w:val="20"/>
        </w:rPr>
      </w:pPr>
      <w:r>
        <w:rPr>
          <w:rFonts w:ascii="Georgia;serif" w:hAnsi="Georgia;serif"/>
          <w:color w:val="000000"/>
          <w:sz w:val="20"/>
        </w:rPr>
        <w:t>/s/ PricewaterhouseCoopers LLP</w:t>
      </w:r>
      <w:r>
        <w:rPr>
          <w:rFonts w:ascii="Aptos;sans-serif" w:hAnsi="Aptos;sans-serif"/>
          <w:color w:val="000000"/>
          <w:sz w:val="24"/>
        </w:rPr>
        <w:br/>
      </w:r>
      <w:r>
        <w:rPr>
          <w:rFonts w:ascii="Georgia;serif" w:hAnsi="Georgia;serif"/>
          <w:color w:val="000000"/>
          <w:sz w:val="20"/>
        </w:rPr>
        <w:t>San Jose, California</w:t>
      </w:r>
      <w:r>
        <w:rPr>
          <w:rFonts w:ascii="Aptos;sans-serif" w:hAnsi="Aptos;sans-serif"/>
          <w:color w:val="000000"/>
          <w:sz w:val="24"/>
        </w:rPr>
        <w:br/>
      </w:r>
      <w:r>
        <w:rPr>
          <w:rFonts w:ascii="Georgia;serif" w:hAnsi="Georgia;serif"/>
          <w:color w:val="000000"/>
          <w:sz w:val="20"/>
        </w:rPr>
        <w:t>February 25, 2025</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cbll-ex31_1.htm"/>
      <w:bookmarkStart w:id="43" w:name="kscbllex31_1"/>
      <w:bookmarkEnd w:id="42"/>
      <w:bookmarkEnd w:id="4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69" w:type="dxa"/>
        <w:jc w:val="left"/>
        <w:tblInd w:w="0" w:type="dxa"/>
        <w:tblLayout w:type="fixed"/>
        <w:tblCellMar>
          <w:top w:w="28" w:type="dxa"/>
          <w:left w:w="28" w:type="dxa"/>
          <w:bottom w:w="28" w:type="dxa"/>
          <w:right w:w="28" w:type="dxa"/>
        </w:tblCellMar>
      </w:tblPr>
      <w:tblGrid>
        <w:gridCol w:w="2086"/>
        <w:gridCol w:w="146"/>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cbll-ex31_2.htm"/>
      <w:bookmarkStart w:id="45" w:name="kscbllex31_2"/>
      <w:bookmarkEnd w:id="44"/>
      <w:bookmarkEnd w:id="4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04" w:type="dxa"/>
        <w:jc w:val="left"/>
        <w:tblInd w:w="0" w:type="dxa"/>
        <w:tblLayout w:type="fixed"/>
        <w:tblCellMar>
          <w:top w:w="28" w:type="dxa"/>
          <w:left w:w="28" w:type="dxa"/>
          <w:bottom w:w="28" w:type="dxa"/>
          <w:right w:w="28" w:type="dxa"/>
        </w:tblCellMar>
      </w:tblPr>
      <w:tblGrid>
        <w:gridCol w:w="2086"/>
        <w:gridCol w:w="146"/>
        <w:gridCol w:w="406"/>
        <w:gridCol w:w="25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cbll-ex32_1.htm"/>
      <w:bookmarkStart w:id="47" w:name="kscbllex32_1"/>
      <w:bookmarkEnd w:id="46"/>
      <w:bookmarkEnd w:id="4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CeriBell, Inc. (the “Company”) on Form 10-K for the period ending December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cbll-ex32_2.htm"/>
      <w:bookmarkStart w:id="49" w:name="kscbllex32_2"/>
      <w:bookmarkEnd w:id="48"/>
      <w:bookmarkEnd w:id="4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CeriBell, Inc. (the “Company”) on Form 10-K for the period ending December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60" w:after="283"/>
        <w:jc w:val="center"/>
        <w:rPr>
          <w:rFonts w:ascii="Times New Roman" w:hAnsi="Times New Roman"/>
          <w:b/>
          <w:color w:val="000000"/>
          <w:sz w:val="24"/>
        </w:rPr>
      </w:pPr>
      <w:bookmarkStart w:id="50" w:name="cbll-ex97.htm"/>
      <w:bookmarkStart w:id="51" w:name="kscbllex97"/>
      <w:bookmarkEnd w:id="50"/>
      <w:bookmarkEnd w:id="51"/>
      <w:r>
        <w:rPr>
          <w:rFonts w:ascii="Times New Roman" w:hAnsi="Times New Roman"/>
          <w:b/>
          <w:color w:val="000000"/>
          <w:sz w:val="24"/>
        </w:rPr>
        <w:t>CERBELL, INC.</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POLICY FOR RECOVERY OF ERRONEOUSLY AWARDED COMPENSATION</w:t>
      </w:r>
    </w:p>
    <w:p>
      <w:pPr>
        <w:pStyle w:val="TextBody"/>
        <w:bidi w:val="0"/>
        <w:spacing w:before="240" w:after="283"/>
        <w:jc w:val="both"/>
        <w:rPr>
          <w:rFonts w:ascii="Times New Roman" w:hAnsi="Times New Roman"/>
          <w:sz w:val="20"/>
        </w:rPr>
      </w:pPr>
      <w:r>
        <w:rPr>
          <w:rFonts w:ascii="Times New Roman" w:hAnsi="Times New Roman"/>
          <w:color w:val="000000"/>
          <w:sz w:val="24"/>
        </w:rPr>
        <w:t>CeriBell,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adopted this Policy for Recovery of Erroneously Awarded Compensation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effective as of the date of effectiveness of the Company’s Registration Statement on Form S-1 to be filed with the Securities and Exchange Commission under the Securities Act of 1933, as amended, in connection with the Company’s initial public offering of its common stock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Capitalized terms used in this Policy but not otherwise defined in the text of this Policy are defined in Section 11.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Persons Subject to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shall apply to current and former Officers of the Company. Each Officer shall be required to sign an acknowledgement pursuant to which such Officer will agree to be bound by the terms of, and comply with, this Policy; however, any Officer’s failure to sign any such acknowledgement shall not negate the application of this Policy to the Officer.</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Compensation Subject to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prior to or after the end of that period.</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Recovery of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from the relevant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Manner of Recovery; Limitation on Duplicative Recovery</w:t>
      </w:r>
    </w:p>
    <w:p>
      <w:pPr>
        <w:pStyle w:val="TextBody"/>
        <w:bidi w:val="0"/>
        <w:spacing w:before="240" w:after="283"/>
        <w:jc w:val="both"/>
        <w:rPr>
          <w:rFonts w:ascii="Times New Roman" w:hAnsi="Times New Roman"/>
          <w:sz w:val="20"/>
        </w:rPr>
      </w:pPr>
      <w:r>
        <w:rPr>
          <w:rFonts w:ascii="Times New Roman" w:hAnsi="Times New Roman"/>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Administration</w:t>
      </w:r>
    </w:p>
    <w:p>
      <w:pPr>
        <w:pStyle w:val="TextBody"/>
        <w:bidi w:val="0"/>
        <w:spacing w:before="240" w:after="283"/>
        <w:jc w:val="both"/>
        <w:rPr>
          <w:rFonts w:ascii="Times New Roman" w:hAnsi="Times New Roman"/>
          <w:sz w:val="20"/>
        </w:rPr>
      </w:pPr>
      <w:r>
        <w:rPr>
          <w:rFonts w:ascii="Times New Roman" w:hAnsi="Times New Roman"/>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No Indemnification; No Personal Liability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terms of any insurance policy or any contractual arrangement with any Officer that may provide or be interpreted to the contrary,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Application; Enforceability</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both"/>
        <w:rPr>
          <w:rFonts w:ascii="Times New Roman" w:hAnsi="Times New Roman"/>
          <w:sz w:val="20"/>
        </w:rPr>
      </w:pPr>
      <w:r>
        <w:rPr>
          <w:rFonts w:ascii="Times New Roman" w:hAnsi="Times New Roman"/>
          <w:color w:val="000000"/>
          <w:sz w:val="24"/>
        </w:rPr>
        <w:t>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hAnsi="Times New Roman"/>
          <w:b/>
          <w:i/>
          <w:color w:val="000000"/>
          <w:sz w:val="24"/>
        </w:rPr>
        <w:t>Other Recovery Arrangements</w:t>
      </w:r>
      <w:r>
        <w:rPr>
          <w:rFonts w:ascii="Times New Roman" w:hAnsi="Times New Roman"/>
          <w:color w:val="000000"/>
          <w:sz w:val="20"/>
        </w:rPr>
        <w:t>”</w:t>
      </w:r>
      <w:r>
        <w:rPr>
          <w:rFonts w:ascii="Times New Roman" w:hAnsi="Times New Roman"/>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Severability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Amendment and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to the extent that any provision of the Applicable Rules is no longer in effect or applicable to the Company.</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182" w:after="283"/>
        <w:jc w:val="both"/>
        <w:rPr/>
      </w:pPr>
      <w:r>
        <w:rPr>
          <w:color w:val="000000"/>
        </w:rPr>
        <w:t>“</w:t>
      </w:r>
      <w:r>
        <w:rPr>
          <w:rFonts w:ascii="Times New Roman" w:hAnsi="Times New Roman"/>
          <w:b/>
          <w:i/>
          <w:color w:val="000000"/>
          <w:sz w:val="24"/>
        </w:rPr>
        <w:t>Applicable Rules</w:t>
      </w:r>
      <w:r>
        <w:rPr>
          <w:rFonts w:ascii="Times New Roman" w:hAnsi="Times New Roman"/>
          <w:color w:val="000000"/>
          <w:sz w:val="20"/>
        </w:rPr>
        <w:t xml:space="preserve">” </w:t>
      </w:r>
      <w:r>
        <w:rPr>
          <w:rFonts w:ascii="Times New Roman" w:hAnsi="Times New Roman"/>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pStyle w:val="TextBody"/>
        <w:bidi w:val="0"/>
        <w:spacing w:before="240" w:after="283"/>
        <w:jc w:val="both"/>
        <w:rPr/>
      </w:pPr>
      <w:r>
        <w:rPr>
          <w:color w:val="000000"/>
        </w:rPr>
        <w:t>“</w:t>
      </w:r>
      <w:r>
        <w:rPr>
          <w:rFonts w:ascii="Times New Roman" w:hAnsi="Times New Roman"/>
          <w:b/>
          <w:i/>
          <w:color w:val="000000"/>
          <w:sz w:val="24"/>
        </w:rPr>
        <w:t>Committee</w:t>
      </w:r>
      <w:r>
        <w:rPr>
          <w:rFonts w:ascii="Times New Roman" w:hAnsi="Times New Roman"/>
          <w:color w:val="000000"/>
          <w:sz w:val="20"/>
        </w:rPr>
        <w:t xml:space="preserve">” </w:t>
      </w:r>
      <w:r>
        <w:rPr>
          <w:rFonts w:ascii="Times New Roman" w:hAnsi="Times New Roman"/>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240" w:after="283"/>
        <w:jc w:val="both"/>
        <w:rPr/>
      </w:pPr>
      <w:r>
        <w:rPr>
          <w:color w:val="000000"/>
        </w:rPr>
        <w:t>“</w:t>
      </w:r>
      <w:r>
        <w:rPr>
          <w:rFonts w:ascii="Times New Roman" w:hAnsi="Times New Roman"/>
          <w:b/>
          <w:i/>
          <w:color w:val="000000"/>
          <w:sz w:val="24"/>
        </w:rPr>
        <w:t>Erroneously Awarded Compensation</w:t>
      </w:r>
      <w:r>
        <w:rPr>
          <w:rFonts w:ascii="Times New Roman" w:hAnsi="Times New Roman"/>
          <w:color w:val="000000"/>
          <w:sz w:val="20"/>
        </w:rPr>
        <w:t xml:space="preserve">” </w:t>
      </w:r>
      <w:r>
        <w:rPr>
          <w:rFonts w:ascii="Times New Roman" w:hAnsi="Times New Roman"/>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For Incentive-Based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consistent with any documentation of the determination of such reasonable estimate provided by the Company to the applicable listing exchange or association.</w:t>
      </w:r>
    </w:p>
    <w:p>
      <w:pPr>
        <w:pStyle w:val="TextBody"/>
        <w:bidi w:val="0"/>
        <w:spacing w:before="240" w:after="283"/>
        <w:jc w:val="left"/>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240" w:after="283"/>
        <w:jc w:val="both"/>
        <w:rPr/>
      </w:pPr>
      <w:r>
        <w:rPr>
          <w:color w:val="000000"/>
        </w:rPr>
        <w:t>“</w:t>
      </w:r>
      <w:r>
        <w:rPr>
          <w:rFonts w:ascii="Times New Roman" w:hAnsi="Times New Roman"/>
          <w:b/>
          <w:i/>
          <w:color w:val="000000"/>
          <w:sz w:val="24"/>
        </w:rPr>
        <w:t>Financial Reporting Measure</w:t>
      </w:r>
      <w:r>
        <w:rPr>
          <w:rFonts w:ascii="Times New Roman" w:hAnsi="Times New Roman"/>
          <w:color w:val="000000"/>
          <w:sz w:val="20"/>
        </w:rPr>
        <w:t xml:space="preserve">” </w:t>
      </w:r>
      <w:r>
        <w:rPr>
          <w:rFonts w:ascii="Times New Roman" w:hAnsi="Times New Roman"/>
          <w:color w:val="000000"/>
          <w:sz w:val="24"/>
        </w:rPr>
        <w:t>means any measure determined and presented 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pStyle w:val="TextBody"/>
        <w:bidi w:val="0"/>
        <w:spacing w:before="240" w:after="283"/>
        <w:jc w:val="left"/>
        <w:rPr/>
      </w:pPr>
      <w:r>
        <w:rPr>
          <w:color w:val="000000"/>
        </w:rPr>
        <w:t>“</w:t>
      </w:r>
      <w:r>
        <w:rPr>
          <w:rFonts w:ascii="Times New Roman" w:hAnsi="Times New Roman"/>
          <w:b/>
          <w:i/>
          <w:color w:val="000000"/>
          <w:sz w:val="24"/>
        </w:rPr>
        <w:t>GAAP</w:t>
      </w:r>
      <w:r>
        <w:rPr>
          <w:rFonts w:ascii="Times New Roman" w:hAnsi="Times New Roman"/>
          <w:color w:val="000000"/>
          <w:sz w:val="20"/>
        </w:rPr>
        <w:t xml:space="preserve">” </w:t>
      </w:r>
      <w:r>
        <w:rPr>
          <w:rFonts w:ascii="Times New Roman" w:hAnsi="Times New Roman"/>
          <w:color w:val="000000"/>
          <w:sz w:val="24"/>
        </w:rPr>
        <w:t>means United States generally accepted accounting principles.</w:t>
      </w:r>
    </w:p>
    <w:p>
      <w:pPr>
        <w:pStyle w:val="TextBody"/>
        <w:bidi w:val="0"/>
        <w:spacing w:before="240" w:after="283"/>
        <w:jc w:val="both"/>
        <w:rPr/>
      </w:pPr>
      <w:r>
        <w:rPr>
          <w:color w:val="000000"/>
        </w:rPr>
        <w:t>“</w:t>
      </w:r>
      <w:r>
        <w:rPr>
          <w:rFonts w:ascii="Times New Roman" w:hAnsi="Times New Roman"/>
          <w:b/>
          <w:i/>
          <w:color w:val="000000"/>
          <w:sz w:val="24"/>
        </w:rPr>
        <w:t>IFRS</w:t>
      </w:r>
      <w:r>
        <w:rPr>
          <w:rFonts w:ascii="Times New Roman" w:hAnsi="Times New Roman"/>
          <w:color w:val="000000"/>
          <w:sz w:val="20"/>
        </w:rPr>
        <w:t xml:space="preserve">” </w:t>
      </w:r>
      <w:r>
        <w:rPr>
          <w:rFonts w:ascii="Times New Roman" w:hAnsi="Times New Roman"/>
          <w:color w:val="000000"/>
          <w:sz w:val="24"/>
        </w:rPr>
        <w:t>means international financial reporting standards as adopted by the International Accounting Standards Board.</w:t>
      </w:r>
    </w:p>
    <w:p>
      <w:pPr>
        <w:pStyle w:val="TextBody"/>
        <w:bidi w:val="0"/>
        <w:spacing w:before="240" w:after="283"/>
        <w:jc w:val="both"/>
        <w:rPr/>
      </w:pPr>
      <w:r>
        <w:rPr>
          <w:color w:val="000000"/>
        </w:rPr>
        <w:t>“</w:t>
      </w:r>
      <w:r>
        <w:rPr>
          <w:rFonts w:ascii="Times New Roman" w:hAnsi="Times New Roman"/>
          <w:b/>
          <w:i/>
          <w:color w:val="000000"/>
          <w:sz w:val="24"/>
        </w:rPr>
        <w:t>Impracticable</w:t>
      </w:r>
      <w:r>
        <w:rPr>
          <w:rFonts w:ascii="Times New Roman" w:hAnsi="Times New Roman"/>
          <w:color w:val="000000"/>
          <w:sz w:val="20"/>
        </w:rPr>
        <w:t xml:space="preserve">” </w:t>
      </w:r>
      <w:r>
        <w:rPr>
          <w:rFonts w:ascii="Times New Roman" w:hAnsi="Times New Roman"/>
          <w:color w:val="000000"/>
          <w:sz w:val="24"/>
        </w:rPr>
        <w:t>means that (a) the direct costs paid to third parties to assist in enforcing recovery would exceed the Erroneously Awarded Compensation; provided that the Company has</w:t>
      </w:r>
    </w:p>
    <w:p>
      <w:pPr>
        <w:pStyle w:val="TextBody"/>
        <w:bidi w:val="0"/>
        <w:jc w:val="both"/>
        <w:rPr>
          <w:rFonts w:ascii="Times New Roman" w:hAnsi="Times New Roman"/>
          <w:color w:val="000000"/>
          <w:sz w:val="24"/>
        </w:rPr>
      </w:pPr>
      <w:r>
        <w:rPr>
          <w:rFonts w:ascii="Times New Roman" w:hAnsi="Times New Roman"/>
          <w:color w:val="000000"/>
          <w:sz w:val="24"/>
        </w:rPr>
        <w:t>(i)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 401(a)(13) or 26 U.S.C. § 411(a) and the regulations thereunder.</w:t>
      </w:r>
    </w:p>
    <w:p>
      <w:pPr>
        <w:pStyle w:val="TextBody"/>
        <w:bidi w:val="0"/>
        <w:spacing w:before="240" w:after="283"/>
        <w:jc w:val="both"/>
        <w:rPr/>
      </w:pPr>
      <w:r>
        <w:rPr>
          <w:color w:val="000000"/>
        </w:rPr>
        <w:t>“</w:t>
      </w:r>
      <w:r>
        <w:rPr>
          <w:rFonts w:ascii="Times New Roman" w:hAnsi="Times New Roman"/>
          <w:b/>
          <w:i/>
          <w:color w:val="000000"/>
          <w:sz w:val="24"/>
        </w:rPr>
        <w:t>Incentive-Based Compensation</w:t>
      </w:r>
      <w:r>
        <w:rPr>
          <w:rFonts w:ascii="Times New Roman" w:hAnsi="Times New Roman"/>
          <w:color w:val="000000"/>
          <w:sz w:val="20"/>
        </w:rPr>
        <w:t xml:space="preserve">” </w:t>
      </w:r>
      <w:r>
        <w:rPr>
          <w:rFonts w:ascii="Times New Roman" w:hAnsi="Times New Roman"/>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pStyle w:val="TextBody"/>
        <w:bidi w:val="0"/>
        <w:spacing w:before="240" w:after="283"/>
        <w:jc w:val="both"/>
        <w:rPr/>
      </w:pPr>
      <w:r>
        <w:rPr>
          <w:color w:val="000000"/>
        </w:rPr>
        <w:t>“</w:t>
      </w:r>
      <w:r>
        <w:rPr>
          <w:rFonts w:ascii="Times New Roman" w:hAnsi="Times New Roman"/>
          <w:b/>
          <w:i/>
          <w:color w:val="000000"/>
          <w:sz w:val="24"/>
        </w:rPr>
        <w:t>Officer</w:t>
      </w:r>
      <w:r>
        <w:rPr>
          <w:rFonts w:ascii="Times New Roman" w:hAnsi="Times New Roman"/>
          <w:color w:val="000000"/>
          <w:sz w:val="20"/>
        </w:rPr>
        <w:t xml:space="preserve">” </w:t>
      </w:r>
      <w:r>
        <w:rPr>
          <w:rFonts w:ascii="Times New Roman" w:hAnsi="Times New Roman"/>
          <w:color w:val="000000"/>
          <w:sz w:val="24"/>
        </w:rPr>
        <w:t>means each person who serves as an executive officer of the Company, as defined in Rule 10D-1(d) under the Exchange Act.</w:t>
      </w:r>
    </w:p>
    <w:p>
      <w:pPr>
        <w:pStyle w:val="TextBody"/>
        <w:bidi w:val="0"/>
        <w:spacing w:before="240" w:after="283"/>
        <w:jc w:val="both"/>
        <w:rPr/>
      </w:pPr>
      <w:r>
        <w:rPr>
          <w:color w:val="000000"/>
        </w:rPr>
        <w:t>“</w:t>
      </w:r>
      <w:r>
        <w:rPr>
          <w:rFonts w:ascii="Times New Roman" w:hAnsi="Times New Roman"/>
          <w:b/>
          <w:i/>
          <w:color w:val="000000"/>
          <w:sz w:val="24"/>
        </w:rPr>
        <w:t>Restatement</w:t>
      </w:r>
      <w:r>
        <w:rPr>
          <w:rFonts w:ascii="Times New Roman" w:hAnsi="Times New Roman"/>
          <w:color w:val="000000"/>
          <w:sz w:val="20"/>
        </w:rPr>
        <w:t xml:space="preserve">” </w:t>
      </w:r>
      <w:r>
        <w:rPr>
          <w:rFonts w:ascii="Times New Roman" w:hAnsi="Times New Roman"/>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240" w:after="283"/>
        <w:jc w:val="both"/>
        <w:rPr/>
      </w:pPr>
      <w:r>
        <w:rPr>
          <w:color w:val="000000"/>
        </w:rPr>
        <w:t>“</w:t>
      </w:r>
      <w:r>
        <w:rPr>
          <w:rFonts w:ascii="Times New Roman" w:hAnsi="Times New Roman"/>
          <w:b/>
          <w:i/>
          <w:color w:val="000000"/>
          <w:sz w:val="24"/>
        </w:rPr>
        <w:t>Three-Year Period</w:t>
      </w:r>
      <w:r>
        <w:rPr>
          <w:rFonts w:ascii="Times New Roman" w:hAnsi="Times New Roman"/>
          <w:color w:val="000000"/>
          <w:sz w:val="20"/>
        </w:rPr>
        <w:t xml:space="preserve">” </w:t>
      </w:r>
      <w:r>
        <w:rPr>
          <w:rFonts w:ascii="Times New Roman" w:hAnsi="Times New Roman"/>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ACKNOWLEDGMENT AND CONSENT TO</w:t>
      </w:r>
    </w:p>
    <w:p>
      <w:pPr>
        <w:pStyle w:val="TextBody"/>
        <w:bidi w:val="0"/>
        <w:spacing w:before="22" w:after="283"/>
        <w:jc w:val="center"/>
        <w:rPr>
          <w:rFonts w:ascii="Times New Roman" w:hAnsi="Times New Roman"/>
          <w:b/>
          <w:color w:val="000000"/>
          <w:sz w:val="24"/>
        </w:rPr>
      </w:pPr>
      <w:r>
        <w:rPr>
          <w:rFonts w:ascii="Times New Roman" w:hAnsi="Times New Roman"/>
          <w:b/>
          <w:color w:val="000000"/>
          <w:sz w:val="24"/>
        </w:rPr>
        <w:t>CERBELL, INC. POLICY FOR RECOVERY OF ERRONEOUSLY AWARDED COMPENSATION</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The undersigned has received a copy of the Policy for Recovery of Erroneously Awarded Compensation (the “Policy”) adopted by CeriBell, Inc. (the “Company”).</w:t>
      </w:r>
    </w:p>
    <w:p>
      <w:pPr>
        <w:pStyle w:val="TextBody"/>
        <w:bidi w:val="0"/>
        <w:spacing w:before="160" w:after="283"/>
        <w:jc w:val="both"/>
        <w:rPr>
          <w:rFonts w:ascii="Times New Roman" w:hAnsi="Times New Roman"/>
          <w:color w:val="000000"/>
          <w:sz w:val="24"/>
        </w:rPr>
      </w:pPr>
      <w:r>
        <w:rPr>
          <w:rFonts w:ascii="Times New Roman" w:hAnsi="Times New Roman"/>
          <w:color w:val="000000"/>
          <w:sz w:val="24"/>
        </w:rPr>
        <w:t>For good and valuable consideration, the receipt of which is acknowledged, the undersigned hereby agrees, to the extent that the Policy is authorized and required by Applicable Rules (as defined in the Policy),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and (iv) the undersigned expressly waives any rights to such indemnification under the Company’s organizational documents or otherwise.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70" w:after="283"/>
        <w:jc w:val="left"/>
        <w:rPr/>
      </w:pPr>
      <w:r>
        <w:rPr/>
        <w:t> </w:t>
      </w:r>
    </w:p>
    <w:p>
      <w:pPr>
        <w:pStyle w:val="TextBody"/>
        <w:bidi w:val="0"/>
        <w:spacing w:before="182" w:after="283"/>
        <w:jc w:val="left"/>
        <w:rPr>
          <w:rFonts w:ascii="Times New Roman" w:hAnsi="Times New Roman"/>
          <w:color w:val="000000"/>
          <w:sz w:val="24"/>
        </w:rPr>
      </w:pPr>
      <w:r>
        <w:rPr>
          <w:rFonts w:ascii="Times New Roman" w:hAnsi="Times New Roman"/>
          <w:color w:val="000000"/>
          <w:sz w:val="24"/>
        </w:rPr>
        <w:t>Date Signature</w:t>
      </w:r>
    </w:p>
    <w:p>
      <w:pPr>
        <w:pStyle w:val="TextBody"/>
        <w:bidi w:val="0"/>
        <w:jc w:val="left"/>
        <w:rPr/>
      </w:pPr>
      <w:r>
        <w:rPr/>
        <w:t> </w:t>
      </w:r>
    </w:p>
    <w:p>
      <w:pPr>
        <w:pStyle w:val="TextBody"/>
        <w:bidi w:val="0"/>
        <w:jc w:val="left"/>
        <w:rPr/>
      </w:pPr>
      <w:r>
        <w:rPr/>
        <w:t> </w:t>
      </w:r>
    </w:p>
    <w:p>
      <w:pPr>
        <w:pStyle w:val="TextBody"/>
        <w:bidi w:val="0"/>
        <w:spacing w:before="196" w:after="283"/>
        <w:jc w:val="left"/>
        <w:rPr/>
      </w:pPr>
      <w:r>
        <w:rPr/>
        <w:t> </w:t>
      </w:r>
    </w:p>
    <w:p>
      <w:pPr>
        <w:pStyle w:val="TextBody"/>
        <w:bidi w:val="0"/>
        <w:spacing w:before="182" w:after="283"/>
        <w:jc w:val="left"/>
        <w:rPr>
          <w:rFonts w:ascii="Times New Roman" w:hAnsi="Times New Roman"/>
          <w:color w:val="000000"/>
          <w:sz w:val="24"/>
        </w:rPr>
      </w:pPr>
      <w:r>
        <w:rPr>
          <w:rFonts w:ascii="Times New Roman" w:hAnsi="Times New Roman"/>
          <w:color w:val="000000"/>
          <w:sz w:val="24"/>
        </w:rPr>
        <w:t>Name</w:t>
      </w:r>
    </w:p>
    <w:p>
      <w:pPr>
        <w:pStyle w:val="TextBody"/>
        <w:bidi w:val="0"/>
        <w:jc w:val="left"/>
        <w:rPr/>
      </w:pPr>
      <w:r>
        <w:rPr/>
        <w:t> </w:t>
      </w:r>
    </w:p>
    <w:p>
      <w:pPr>
        <w:pStyle w:val="TextBody"/>
        <w:bidi w:val="0"/>
        <w:jc w:val="left"/>
        <w:rPr/>
      </w:pPr>
      <w:r>
        <w:rPr/>
        <w:t> </w:t>
      </w:r>
    </w:p>
    <w:p>
      <w:pPr>
        <w:pStyle w:val="TextBody"/>
        <w:bidi w:val="0"/>
        <w:spacing w:before="196" w:after="283"/>
        <w:jc w:val="left"/>
        <w:rPr/>
      </w:pPr>
      <w:r>
        <w:rPr/>
        <w:t> </w:t>
      </w:r>
    </w:p>
    <w:p>
      <w:pPr>
        <w:pStyle w:val="TextBody"/>
        <w:bidi w:val="0"/>
        <w:spacing w:before="182" w:after="283"/>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861107/000095017024114767/cbll-ex3_1.htm" TargetMode="External"/><Relationship Id="rId17" Type="http://schemas.openxmlformats.org/officeDocument/2006/relationships/hyperlink" Target="https://www.sec.gov/Archives/edgar/data/1861107/000095017024114767/cbll-ex3_2.htm" TargetMode="External"/><Relationship Id="rId18" Type="http://schemas.openxmlformats.org/officeDocument/2006/relationships/hyperlink" Target="https://www.sec.gov/Archives/edgar/data/1861107/000095017024108128/cbll-ex4_01.htm" TargetMode="External"/><Relationship Id="rId19" Type="http://schemas.openxmlformats.org/officeDocument/2006/relationships/hyperlink" Target="https://www.sec.gov/Archives/edgar/data/1861107/000095017024100574/cbll-ex4_03.htm" TargetMode="External"/><Relationship Id="rId20" Type="http://schemas.openxmlformats.org/officeDocument/2006/relationships/hyperlink" Target="https://www.sec.gov/Archives/edgar/data/1861107/000095017024100574/cbll-ex4_04.htm" TargetMode="External"/><Relationship Id="rId21" Type="http://schemas.openxmlformats.org/officeDocument/2006/relationships/hyperlink" Target="https://www.sec.gov/Archives/edgar/data/1861107/000095017024100574/cbll-ex4_05.htm" TargetMode="External"/><Relationship Id="rId22" Type="http://schemas.openxmlformats.org/officeDocument/2006/relationships/hyperlink" Target="https://www.sec.gov/Archives/edgar/data/1861107/000095017024100574/cbll-ex4_06.htm" TargetMode="External"/><Relationship Id="rId23" Type="http://schemas.openxmlformats.org/officeDocument/2006/relationships/hyperlink" Target="https://www.sec.gov/Archives/edgar/data/1861107/000095017024100574/cbll-ex4_07.htm" TargetMode="External"/><Relationship Id="rId24" Type="http://schemas.openxmlformats.org/officeDocument/2006/relationships/hyperlink" Target="https://www.sec.gov/Archives/edgar/data/1861107/000095017024100574/cbll-ex4_08.htm" TargetMode="External"/><Relationship Id="rId25" Type="http://schemas.openxmlformats.org/officeDocument/2006/relationships/hyperlink" Target="https://www.sec.gov/Archives/edgar/data/1861107/000095017024100574/cbll-ex4_09.htm" TargetMode="External"/><Relationship Id="rId26" Type="http://schemas.openxmlformats.org/officeDocument/2006/relationships/hyperlink" Target="https://www.sec.gov/Archives/edgar/data/1861107/000095017024100574/cbll-ex4_10.htm" TargetMode="External"/><Relationship Id="rId27" Type="http://schemas.openxmlformats.org/officeDocument/2006/relationships/hyperlink" Target="https://www.sec.gov/Archives/edgar/data/1861107/000095017024100574/cbll-ex4_11.htm" TargetMode="External"/><Relationship Id="rId28" Type="http://schemas.openxmlformats.org/officeDocument/2006/relationships/hyperlink" Target="https://www.sec.gov/Archives/edgar/data/1861107/000095017024100574/cbll-ex4_12.htm" TargetMode="External"/><Relationship Id="rId29" Type="http://schemas.openxmlformats.org/officeDocument/2006/relationships/hyperlink" Target="https://www.sec.gov/Archives/edgar/data/1861107/000095017024100574/cbll-ex4_13.htm" TargetMode="External"/><Relationship Id="rId30" Type="http://schemas.openxmlformats.org/officeDocument/2006/relationships/hyperlink" Target="https://www.sec.gov/Archives/edgar/data/1861107/000095017024100574/cbll-ex4_14.htm" TargetMode="External"/><Relationship Id="rId31" Type="http://schemas.openxmlformats.org/officeDocument/2006/relationships/hyperlink" Target="https://www.sec.gov/Archives/edgar/data/1861107/000095017024100574/cbll-ex4_15.htm" TargetMode="External"/><Relationship Id="rId32" Type="http://schemas.openxmlformats.org/officeDocument/2006/relationships/hyperlink" Target="https://www.sec.gov/Archives/edgar/data/1861107/000095017024100574/cbll-ex4_16.htm" TargetMode="External"/><Relationship Id="rId33" Type="http://schemas.openxmlformats.org/officeDocument/2006/relationships/hyperlink" Target="https://www.sec.gov/Archives/edgar/data/1861107/000095017024100574/cbll-ex4_17.htm" TargetMode="External"/><Relationship Id="rId34" Type="http://schemas.openxmlformats.org/officeDocument/2006/relationships/hyperlink" Target="https://www.sec.gov/Archives/edgar/data/1861107/000095017024100574/cbll-ex4_18.htm" TargetMode="External"/><Relationship Id="rId35" Type="http://schemas.openxmlformats.org/officeDocument/2006/relationships/hyperlink" Target="https://www.sec.gov/Archives/edgar/data/1861107/000095017024100574/cbll-ex4_19.htm" TargetMode="External"/><Relationship Id="rId36" Type="http://schemas.openxmlformats.org/officeDocument/2006/relationships/hyperlink" Target="https://www.sec.gov/Archives/edgar/data/1861107/000095017024100574/cbll-ex4_20.htm" TargetMode="External"/><Relationship Id="rId37" Type="http://schemas.openxmlformats.org/officeDocument/2006/relationships/hyperlink" Target="https://www.sec.gov/Archives/edgar/data/1861107/000095017024100574/cbll-ex4_21.htm" TargetMode="External"/><Relationship Id="rId38" Type="http://schemas.openxmlformats.org/officeDocument/2006/relationships/hyperlink" Target="https://www.sec.gov/Archives/edgar/data/1861107/000095017024100574/cbll-ex4_22.htm" TargetMode="External"/><Relationship Id="rId39" Type="http://schemas.openxmlformats.org/officeDocument/2006/relationships/hyperlink" Target="https://www.sec.gov/Archives/edgar/data/1861107/000095017024100574/cbll-ex4_23.htm" TargetMode="External"/><Relationship Id="rId40" Type="http://schemas.openxmlformats.org/officeDocument/2006/relationships/hyperlink" Target="https://www.sec.gov/Archives/edgar/data/1861107/000095017024100574/cbll-ex4_24.htm" TargetMode="External"/><Relationship Id="rId41" Type="http://schemas.openxmlformats.org/officeDocument/2006/relationships/hyperlink" Target="https://www.sec.gov/Archives/edgar/data/1861107/000095017024100574/cbll-ex10_01.htm" TargetMode="External"/><Relationship Id="rId42" Type="http://schemas.openxmlformats.org/officeDocument/2006/relationships/hyperlink" Target="https://www.sec.gov/Archives/edgar/data/1861107/000095017024100574/cbll-ex10_02.htm" TargetMode="External"/><Relationship Id="rId43" Type="http://schemas.openxmlformats.org/officeDocument/2006/relationships/hyperlink" Target="https://www.sec.gov/Archives/edgar/data/1861107/000095017024100574/cbll-ex10_03.htm" TargetMode="External"/><Relationship Id="rId44" Type="http://schemas.openxmlformats.org/officeDocument/2006/relationships/hyperlink" Target="https://www.sec.gov/Archives/edgar/data/1861107/000095017024100574/cbll-ex10_04.htm" TargetMode="External"/><Relationship Id="rId45" Type="http://schemas.openxmlformats.org/officeDocument/2006/relationships/hyperlink" Target="https://www.sec.gov/Archives/edgar/data/1861107/000095017024100574/cbll-ex10_05.htm" TargetMode="External"/><Relationship Id="rId46" Type="http://schemas.openxmlformats.org/officeDocument/2006/relationships/hyperlink" Target="https://www.sec.gov/Archives/edgar/data/1861107/000095017024108128/cbll-ex10_6.htm" TargetMode="External"/><Relationship Id="rId47" Type="http://schemas.openxmlformats.org/officeDocument/2006/relationships/hyperlink" Target="https://www.sec.gov/Archives/edgar/data/1861107/000095017024108128/cbll-ex10_7.htm" TargetMode="External"/><Relationship Id="rId48" Type="http://schemas.openxmlformats.org/officeDocument/2006/relationships/hyperlink" Target="https://www.sec.gov/Archives/edgar/data/1861107/000095017024100574/cbll-ex10_08.htm" TargetMode="External"/><Relationship Id="rId49" Type="http://schemas.openxmlformats.org/officeDocument/2006/relationships/hyperlink" Target="https://www.sec.gov/Archives/edgar/data/1861107/000095017024100574/cbll-ex10_09.htm" TargetMode="External"/><Relationship Id="rId50" Type="http://schemas.openxmlformats.org/officeDocument/2006/relationships/hyperlink" Target="https://www.sec.gov/Archives/edgar/data/1861107/000095017024113073/cbll-ex10_14.htm" TargetMode="External"/><Relationship Id="rId51" Type="http://schemas.openxmlformats.org/officeDocument/2006/relationships/hyperlink" Target="https://www.sec.gov/Archives/edgar/data/1861107/000095017024113073/cbll-ex10_15.htm" TargetMode="External"/><Relationship Id="rId52" Type="http://schemas.openxmlformats.org/officeDocument/2006/relationships/hyperlink" Target="https://www.sec.gov/Archives/edgar/data/1861107/000095017024113073/cbll-ex10_16.htm" TargetMode="External"/><Relationship Id="rId53" Type="http://schemas.openxmlformats.org/officeDocument/2006/relationships/hyperlink" Target="https://www.sec.gov/Archives/edgar/data/1861107/000095017024108128/cbll-ex10_17.htm" TargetMode="External"/><Relationship Id="rId54" Type="http://schemas.openxmlformats.org/officeDocument/2006/relationships/hyperlink" Target="https://www.sec.gov/Archives/edgar/data/1861107/000095017024108128/cbll-ex10_18.htm" TargetMode="External"/><Relationship Id="rId55" Type="http://schemas.openxmlformats.org/officeDocument/2006/relationships/hyperlink" Target="https://www.sec.gov/Archives/edgar/data/1861107/000095017024100574/cbll-ex10_19.htm" TargetMode="External"/><Relationship Id="rId56" Type="http://schemas.openxmlformats.org/officeDocument/2006/relationships/hyperlink" Target="https://www.sec.gov/Archives/edgar/data/1861107/000095017024100574/cbll-ex10_20.htm" TargetMode="External"/><Relationship Id="rId57" Type="http://schemas.openxmlformats.org/officeDocument/2006/relationships/hyperlink" Target="https://www.sec.gov/Archives/edgar/data/1861107/000095017024100574/cbll-ex10_21.htm" TargetMode="External"/><Relationship Id="rId58" Type="http://schemas.openxmlformats.org/officeDocument/2006/relationships/hyperlink" Target="https://www.sec.gov/Archives/edgar/data/1861107/000095017024113073/cbll-ex10_22.htm" TargetMode="External"/><Relationship Id="rId59" Type="http://schemas.openxmlformats.org/officeDocument/2006/relationships/hyperlink" Target="https://www.sec.gov/Archives/edgar/data/1861107/000095017024108128/cbll-ex10_23.htm" TargetMode="External"/><Relationship Id="rId60" Type="http://schemas.openxmlformats.org/officeDocument/2006/relationships/hyperlink" Target="https://www.sec.gov/Archives/edgar/data/1861107/000095017024113073/cbll-ex10_28.htm" TargetMode="External"/><Relationship Id="rId61" Type="http://schemas.openxmlformats.org/officeDocument/2006/relationships/hyperlink" Target="https://www.sec.gov/Archives/edgar/data/1861107/000095017024100574/cbll-ex10_24.htm" TargetMode="External"/><Relationship Id="rId62" Type="http://schemas.openxmlformats.org/officeDocument/2006/relationships/hyperlink" Target="https://www.sec.gov/Archives/edgar/data/1861107/000095017024100574/cbll-ex10_25.htm" TargetMode="External"/><Relationship Id="rId63" Type="http://schemas.openxmlformats.org/officeDocument/2006/relationships/hyperlink" Target="https://www.sec.gov/Archives/edgar/data/1861107/000095017024100574/cbll-ex10_26.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102876</Words>
  <Characters>573910</Characters>
  <CharactersWithSpaces>676332</CharactersWithSpaces>
  <Paragraphs>7460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