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TPG GP A,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TPG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301 COMMERCE STREET,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Ceribell,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CBLL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85"/>
        <w:spacing w:after="0"/>
        <w:rPr>
          <w:sz w:val="20"/>
          <w:szCs w:val="20"/>
          <w:color w:val="auto"/>
        </w:rPr>
      </w:pPr>
      <w:r>
        <w:rPr>
          <w:rFonts w:ascii="Times New Roman" w:cs="Times New Roman" w:eastAsia="Times New Roman" w:hAnsi="Times New Roman"/>
          <w:sz w:val="17"/>
          <w:szCs w:val="17"/>
          <w:color w:val="0000FF"/>
        </w:rPr>
        <w:t>Former 10% Owner</w:t>
      </w:r>
    </w:p>
    <w:p>
      <w:pPr>
        <w:spacing w:after="0" w:line="468"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tbl>
      <w:tblPr>
        <w:tblLayout w:type="fixed"/>
        <w:tblInd w:w="80" w:type="dxa"/>
        <w:tblCellMar>
          <w:top w:w="0" w:type="dxa"/>
          <w:left w:w="0" w:type="dxa"/>
          <w:bottom w:w="0" w:type="dxa"/>
          <w:right w:w="0" w:type="dxa"/>
        </w:tblCellMar>
      </w:tblPr>
      <w:tr>
        <w:trPr>
          <w:trHeight w:val="109"/>
        </w:trPr>
        <w:tc>
          <w:tcPr>
            <w:tcW w:w="40" w:type="dxa"/>
            <w:vAlign w:val="bottom"/>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940" w:type="dxa"/>
            <w:vAlign w:val="bottom"/>
            <w:shd w:val="clear" w:color="auto" w:fill="EEEEEE"/>
          </w:tcPr>
          <w:p>
            <w:pPr>
              <w:spacing w:after="0" w:line="20" w:lineRule="exact"/>
              <w:rPr>
                <w:sz w:val="1"/>
                <w:szCs w:val="1"/>
                <w:color w:val="auto"/>
              </w:rPr>
            </w:pPr>
          </w:p>
        </w:tc>
        <w:tc>
          <w:tcPr>
            <w:tcW w:w="1700" w:type="dxa"/>
            <w:vAlign w:val="bottom"/>
            <w:shd w:val="clear" w:color="auto" w:fill="EEEEEE"/>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32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9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67"/>
        </w:trPr>
        <w:tc>
          <w:tcPr>
            <w:tcW w:w="1980" w:type="dxa"/>
            <w:vAlign w:val="bottom"/>
            <w:gridSpan w:val="2"/>
            <w:vMerge w:val="continue"/>
          </w:tcPr>
          <w:p>
            <w:pPr>
              <w:spacing w:after="0"/>
              <w:rPr>
                <w:sz w:val="5"/>
                <w:szCs w:val="5"/>
                <w:color w:val="auto"/>
              </w:rPr>
            </w:pPr>
          </w:p>
        </w:tc>
        <w:tc>
          <w:tcPr>
            <w:tcW w:w="1700" w:type="dxa"/>
            <w:vAlign w:val="bottom"/>
          </w:tcPr>
          <w:p>
            <w:pPr>
              <w:spacing w:after="0"/>
              <w:rPr>
                <w:sz w:val="5"/>
                <w:szCs w:val="5"/>
                <w:color w:val="auto"/>
              </w:rPr>
            </w:pPr>
          </w:p>
        </w:tc>
        <w:tc>
          <w:tcPr>
            <w:tcW w:w="3760" w:type="dxa"/>
            <w:vAlign w:val="bottom"/>
          </w:tcPr>
          <w:p>
            <w:pPr>
              <w:spacing w:after="0"/>
              <w:rPr>
                <w:sz w:val="5"/>
                <w:szCs w:val="5"/>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FORT WORTH  TX</w:t>
            </w:r>
          </w:p>
        </w:tc>
        <w:tc>
          <w:tcPr>
            <w:tcW w:w="170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76102</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55"/>
        </w:trPr>
        <w:tc>
          <w:tcPr>
            <w:tcW w:w="4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3760" w:type="dxa"/>
            <w:vAlign w:val="bottom"/>
          </w:tcPr>
          <w:p>
            <w:pPr>
              <w:spacing w:after="0"/>
              <w:rPr>
                <w:sz w:val="4"/>
                <w:szCs w:val="4"/>
                <w:color w:val="auto"/>
              </w:rPr>
            </w:pPr>
          </w:p>
        </w:tc>
        <w:tc>
          <w:tcPr>
            <w:tcW w:w="3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40" w:type="dxa"/>
            <w:vAlign w:val="bottom"/>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3760" w:type="dxa"/>
            <w:vAlign w:val="bottom"/>
          </w:tcPr>
          <w:p>
            <w:pPr>
              <w:spacing w:after="0"/>
              <w:rPr>
                <w:sz w:val="9"/>
                <w:szCs w:val="9"/>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1940" w:type="dxa"/>
            <w:vAlign w:val="bottom"/>
            <w:tcBorders>
              <w:top w:val="single" w:sz="8" w:color="EEEEEE"/>
            </w:tcBorders>
          </w:tcPr>
          <w:p>
            <w:pPr>
              <w:spacing w:after="0"/>
              <w:rPr>
                <w:sz w:val="3"/>
                <w:szCs w:val="3"/>
                <w:color w:val="auto"/>
              </w:rPr>
            </w:pPr>
          </w:p>
        </w:tc>
        <w:tc>
          <w:tcPr>
            <w:tcW w:w="1700" w:type="dxa"/>
            <w:vAlign w:val="bottom"/>
            <w:tcBorders>
              <w:top w:val="single" w:sz="8" w:color="EEEEEE"/>
            </w:tcBorders>
          </w:tcPr>
          <w:p>
            <w:pPr>
              <w:spacing w:after="0"/>
              <w:rPr>
                <w:sz w:val="3"/>
                <w:szCs w:val="3"/>
                <w:color w:val="auto"/>
              </w:rPr>
            </w:pPr>
          </w:p>
        </w:tc>
        <w:tc>
          <w:tcPr>
            <w:tcW w:w="3760" w:type="dxa"/>
            <w:vAlign w:val="bottom"/>
          </w:tcPr>
          <w:p>
            <w:pPr>
              <w:spacing w:after="0"/>
              <w:rPr>
                <w:sz w:val="3"/>
                <w:szCs w:val="3"/>
                <w:color w:val="auto"/>
              </w:rPr>
            </w:pPr>
          </w:p>
        </w:tc>
        <w:tc>
          <w:tcPr>
            <w:tcW w:w="3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7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1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40" w:type="dxa"/>
            <w:vAlign w:val="bottom"/>
          </w:tcPr>
          <w:p>
            <w:pPr>
              <w:ind w:left="4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6.</w:t>
            </w:r>
          </w:p>
        </w:tc>
        <w:tc>
          <w:tcPr>
            <w:tcW w:w="1280" w:type="dxa"/>
            <w:vAlign w:val="bottom"/>
          </w:tcPr>
          <w:p>
            <w:pPr>
              <w:ind w:left="8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160" w:type="dxa"/>
            <w:vAlign w:val="bottom"/>
          </w:tcPr>
          <w:p>
            <w:pPr>
              <w:spacing w:after="0"/>
              <w:rPr>
                <w:sz w:val="11"/>
                <w:szCs w:val="11"/>
                <w:color w:val="auto"/>
              </w:rPr>
            </w:pPr>
          </w:p>
        </w:tc>
        <w:tc>
          <w:tcPr>
            <w:tcW w:w="14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12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160" w:type="dxa"/>
            <w:vAlign w:val="bottom"/>
          </w:tcPr>
          <w:p>
            <w:pPr>
              <w:spacing w:after="0"/>
              <w:rPr>
                <w:sz w:val="11"/>
                <w:szCs w:val="11"/>
                <w:color w:val="auto"/>
              </w:rPr>
            </w:pPr>
          </w:p>
        </w:tc>
        <w:tc>
          <w:tcPr>
            <w:tcW w:w="14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12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3"/>
        </w:trPr>
        <w:tc>
          <w:tcPr>
            <w:tcW w:w="21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1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0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vMerge w:val="restart"/>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1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1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w:t>
            </w:r>
          </w:p>
        </w:tc>
        <w:tc>
          <w:tcPr>
            <w:tcW w:w="1000" w:type="dxa"/>
            <w:vAlign w:val="bottom"/>
          </w:tcPr>
          <w:p>
            <w:pPr>
              <w:spacing w:after="0"/>
              <w:rPr>
                <w:sz w:val="11"/>
                <w:szCs w:val="11"/>
                <w:color w:val="auto"/>
              </w:rPr>
            </w:pPr>
          </w:p>
        </w:tc>
        <w:tc>
          <w:tcPr>
            <w:tcW w:w="10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V</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or</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Price</w:t>
            </w:r>
          </w:p>
        </w:tc>
        <w:tc>
          <w:tcPr>
            <w:tcW w:w="10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ind w:left="180"/>
              <w:spacing w:after="0"/>
              <w:rPr>
                <w:sz w:val="20"/>
                <w:szCs w:val="20"/>
                <w:color w:val="auto"/>
              </w:rPr>
            </w:pPr>
            <w:r>
              <w:rPr>
                <w:rFonts w:ascii="Arial" w:cs="Arial" w:eastAsia="Arial" w:hAnsi="Arial"/>
                <w:sz w:val="12"/>
                <w:szCs w:val="12"/>
                <w:b w:val="1"/>
                <w:bCs w:val="1"/>
                <w:color w:val="auto"/>
              </w:rPr>
              <w:t>(D)</w:t>
            </w:r>
          </w:p>
        </w:tc>
        <w:tc>
          <w:tcPr>
            <w:tcW w:w="1000" w:type="dxa"/>
            <w:vAlign w:val="bottom"/>
          </w:tcPr>
          <w:p>
            <w:pPr>
              <w:spacing w:after="0"/>
              <w:rPr>
                <w:sz w:val="14"/>
                <w:szCs w:val="14"/>
                <w:color w:val="auto"/>
              </w:rPr>
            </w:pP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16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06/26/2026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202,368   D</w:t>
            </w:r>
          </w:p>
        </w:tc>
        <w:tc>
          <w:tcPr>
            <w:tcW w:w="1020" w:type="dxa"/>
            <w:vAlign w:val="bottom"/>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20.1203</w:t>
            </w:r>
            <w:r>
              <w:rPr>
                <w:rFonts w:ascii="Times New Roman" w:cs="Times New Roman" w:eastAsia="Times New Roman" w:hAnsi="Times New Roman"/>
                <w:sz w:val="22"/>
                <w:szCs w:val="22"/>
                <w:color w:val="008000"/>
                <w:vertAlign w:val="superscript"/>
              </w:rPr>
              <w:t>(2)</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3,765,054</w:t>
            </w:r>
          </w:p>
        </w:tc>
        <w:tc>
          <w:tcPr>
            <w:tcW w:w="90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I</w:t>
            </w:r>
          </w:p>
        </w:tc>
        <w:tc>
          <w:tcPr>
            <w:tcW w:w="15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0000FF"/>
              </w:rPr>
              <w:t>See Explanation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S</w:t>
            </w:r>
          </w:p>
        </w:tc>
        <w:tc>
          <w:tcPr>
            <w:tcW w:w="150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540" w:type="dxa"/>
            <w:vAlign w:val="bottom"/>
            <w:gridSpan w:val="3"/>
          </w:tcPr>
          <w:p>
            <w:pPr>
              <w:ind w:left="220"/>
              <w:spacing w:after="0" w:line="210" w:lineRule="exact"/>
              <w:rPr>
                <w:sz w:val="20"/>
                <w:szCs w:val="20"/>
                <w:color w:val="auto"/>
              </w:rPr>
            </w:pPr>
            <w:r>
              <w:rPr>
                <w:rFonts w:ascii="Times New Roman" w:cs="Times New Roman" w:eastAsia="Times New Roman" w:hAnsi="Times New Roman"/>
                <w:sz w:val="17"/>
                <w:szCs w:val="17"/>
                <w:color w:val="0000FF"/>
              </w:rPr>
              <w:t>of Responses</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1"/>
                <w:szCs w:val="11"/>
                <w:color w:val="008000"/>
              </w:rPr>
              <w:t>(3)(4)</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140" w:type="dxa"/>
            <w:vAlign w:val="bottom"/>
            <w:tcBorders>
              <w:bottom w:val="single" w:sz="8" w:color="2C2C2C"/>
            </w:tcBorders>
            <w:gridSpan w:val="7"/>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12"/>
          </w:tcPr>
          <w:p>
            <w:pPr>
              <w:ind w:left="4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9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7. Title and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8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780" w:type="dxa"/>
            <w:vAlign w:val="bottom"/>
          </w:tcPr>
          <w:p>
            <w:pPr>
              <w:spacing w:after="0"/>
              <w:rPr>
                <w:sz w:val="11"/>
                <w:szCs w:val="11"/>
                <w:color w:val="auto"/>
              </w:rPr>
            </w:pP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780" w:type="dxa"/>
            <w:vAlign w:val="bottom"/>
          </w:tcPr>
          <w:p>
            <w:pPr>
              <w:spacing w:after="0"/>
              <w:rPr>
                <w:sz w:val="11"/>
                <w:szCs w:val="11"/>
                <w:color w:val="auto"/>
              </w:rPr>
            </w:pP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9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Pr>
          <w:p>
            <w:pPr>
              <w:ind w:left="500"/>
              <w:spacing w:after="0"/>
              <w:rPr>
                <w:sz w:val="20"/>
                <w:szCs w:val="20"/>
                <w:color w:val="auto"/>
              </w:rPr>
            </w:pPr>
            <w:r>
              <w:rPr>
                <w:rFonts w:ascii="Arial" w:cs="Arial" w:eastAsia="Arial" w:hAnsi="Arial"/>
                <w:sz w:val="12"/>
                <w:szCs w:val="12"/>
                <w:b w:val="1"/>
                <w:bCs w:val="1"/>
                <w:color w:val="auto"/>
              </w:rPr>
              <w:t>Amount</w:t>
            </w: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or</w:t>
            </w: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Number</w:t>
            </w: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10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of</w:t>
            </w: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Title  Shares</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3"/>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4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2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TPG GP A, LLC</w:t>
              </w:r>
            </w:hyperlink>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6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20" w:type="dxa"/>
            <w:vAlign w:val="bottom"/>
          </w:tcPr>
          <w:p>
            <w:pPr>
              <w:ind w:left="26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TPG INC.</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301 COMMERCE STREET, SUITE 3300</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FORT WORTH</w:t>
            </w: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12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76102</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6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Pr>
          <w:p>
            <w:pPr>
              <w:ind w:left="26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3"/>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COULTER JAMES G</w:t>
              </w:r>
            </w:hyperlink>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6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20" w:type="dxa"/>
            <w:vAlign w:val="bottom"/>
          </w:tcPr>
          <w:p>
            <w:pPr>
              <w:ind w:left="26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TPG GLOBAL, LLC</w:t>
            </w: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301 COMMERCE STREET, SUITE 3300</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FORT WORTH</w:t>
            </w: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12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76102</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30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814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1814830"/>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WINKELRIED JON</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060" w:type="dxa"/>
            <w:vAlign w:val="bottom"/>
          </w:tcPr>
          <w:p>
            <w:pPr>
              <w:ind w:left="140"/>
              <w:spacing w:after="0"/>
              <w:rPr>
                <w:sz w:val="20"/>
                <w:szCs w:val="20"/>
                <w:color w:val="auto"/>
              </w:rPr>
            </w:pPr>
            <w:r>
              <w:rPr>
                <w:rFonts w:ascii="Arial" w:cs="Arial" w:eastAsia="Arial" w:hAnsi="Arial"/>
                <w:sz w:val="13"/>
                <w:szCs w:val="13"/>
                <w:color w:val="auto"/>
              </w:rPr>
              <w:t>(First)</w:t>
            </w:r>
          </w:p>
        </w:tc>
        <w:tc>
          <w:tcPr>
            <w:tcW w:w="1840" w:type="dxa"/>
            <w:vAlign w:val="bottom"/>
          </w:tcPr>
          <w:p>
            <w:pPr>
              <w:ind w:left="4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TPG GLOBAL, LLC</w:t>
            </w:r>
          </w:p>
        </w:tc>
        <w:tc>
          <w:tcPr>
            <w:tcW w:w="184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301 COMMERCE STREET, SUITE 3300</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26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FORT WORTH</w:t>
            </w:r>
          </w:p>
        </w:tc>
        <w:tc>
          <w:tcPr>
            <w:tcW w:w="10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TX</w:t>
            </w:r>
          </w:p>
        </w:tc>
        <w:tc>
          <w:tcPr>
            <w:tcW w:w="184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76102</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140"/>
              <w:spacing w:after="0"/>
              <w:rPr>
                <w:sz w:val="20"/>
                <w:szCs w:val="20"/>
                <w:color w:val="auto"/>
              </w:rPr>
            </w:pPr>
            <w:r>
              <w:rPr>
                <w:rFonts w:ascii="Arial" w:cs="Arial" w:eastAsia="Arial" w:hAnsi="Arial"/>
                <w:sz w:val="13"/>
                <w:szCs w:val="13"/>
                <w:color w:val="auto"/>
              </w:rPr>
              <w:t>(State)</w:t>
            </w:r>
          </w:p>
        </w:tc>
        <w:tc>
          <w:tcPr>
            <w:tcW w:w="1840" w:type="dxa"/>
            <w:vAlign w:val="bottom"/>
          </w:tcPr>
          <w:p>
            <w:pPr>
              <w:ind w:left="48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40" w:firstLine="7"/>
        <w:spacing w:after="0" w:line="244"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James G. Coulter and Jon Winkelried own entities that control TPG GP A, LLC (together with Messrs. Coulter and Winkelried, the "Reporting Persons"), which exercises direct or indirect control over entities that collectively hold 100% of the shares of Class B common stock (which represents a majority of the combined voting power of the common stock) of TPG Inc., which is the sole member of TPG GPCo, LLC, which is the sole member of TPG Holdings II-A, LLC, which is the general partner of TPG Operating Group II, L.P., which is the sole member of TPG Holdings I-A, LLC, which is the general partner of TPG Operating Group I, L.P., which is the sole member of The Rise Fund GenPar Advisors, LLC, which is the general partner of The Rise Fund GenPar, L.P., which is the general partner of The Rise Fund Clearthought, L.P. ("TPG Rise Clearthought"), which directly holds 3,765,054 shares of Common Stock of CeriBell, Inc. (the "Issuer").</w:t>
      </w:r>
    </w:p>
    <w:p>
      <w:pPr>
        <w:spacing w:after="0" w:line="26" w:lineRule="exact"/>
        <w:rPr>
          <w:rFonts w:ascii="Times New Roman" w:cs="Times New Roman" w:eastAsia="Times New Roman" w:hAnsi="Times New Roman"/>
          <w:sz w:val="13"/>
          <w:szCs w:val="13"/>
          <w:color w:val="008000"/>
        </w:rPr>
      </w:pPr>
    </w:p>
    <w:p>
      <w:pPr>
        <w:ind w:right="8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$19.90 to $20.675 inclusive. The Reporting Persons undertake to provide to the Issuer, any security holder of the Issuer, or the staff of the Securities and Exchange Commission (the "Commission"), upon request, full information regarding the number of shares sold at each separate price within the range set forth above.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Because of the relationship between the Reporting Persons and TPG Rise Clearthought, the Reporting Persons may be deemed to beneficially own the securities reported herein to the extent of the greater of their respective direct or indirect pecuniary interests in the profits or capital accounts of TPG Rise Clearthought. Each of TPG Rise Clearthought and each Reporting Person disclaims beneficial ownership of the securities reported herein, except to the extent of TPG Rise Clearthought's or such Reporting Person's pecuniary interest therein, if any.</w:t>
      </w:r>
    </w:p>
    <w:p>
      <w:pPr>
        <w:spacing w:after="0" w:line="20" w:lineRule="exact"/>
        <w:rPr>
          <w:rFonts w:ascii="Times New Roman" w:cs="Times New Roman" w:eastAsia="Times New Roman" w:hAnsi="Times New Roman"/>
          <w:sz w:val="13"/>
          <w:szCs w:val="13"/>
          <w:color w:val="008000"/>
        </w:rPr>
      </w:pPr>
    </w:p>
    <w:p>
      <w:pPr>
        <w:ind w:right="4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Rule 16a-1(a)(4) under the Securities Exchange Act of 1934, as amended (the "Exchange Act"), this filing shall not be deemed an admission that the Reporting Persons are, for purposes of Section 16 of the Exchange Act or otherwise, the beneficial owners of any equity securities in excess of their respective pecuniary interests.</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right="280" w:firstLine="7"/>
        <w:spacing w:after="0" w:line="272" w:lineRule="auto"/>
        <w:tabs>
          <w:tab w:leader="none" w:pos="18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are jointly filing this Form 4 pursuant to Rule 16a-3(j) under the Exchange Act. (6) Gerald Neugebauer is signing on behalf of Messrs. Coulter and Winkelried pursuant to authorization and designation letters dated January 10, 2024, which were previously filed with the Commission.</w:t>
      </w:r>
    </w:p>
    <w:p>
      <w:pPr>
        <w:spacing w:after="0" w:line="3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Matthew White,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750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075055" cy="8255"/>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President, TPG GP A, LLC</w:t>
      </w:r>
      <w:r>
        <w:rPr>
          <w:sz w:val="20"/>
          <w:szCs w:val="20"/>
          <w:color w:val="auto"/>
        </w:rPr>
        <w:tab/>
      </w:r>
      <w:r>
        <w:rPr>
          <w:rFonts w:ascii="Times New Roman" w:cs="Times New Roman" w:eastAsia="Times New Roman" w:hAnsi="Times New Roman"/>
          <w:sz w:val="17"/>
          <w:szCs w:val="17"/>
          <w:color w:val="0000FF"/>
        </w:rPr>
        <w:t>06/30/2026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2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Gerald Neugebauer,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499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1499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behalf of James G. Coulter (5) 06/30/2026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2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Gerald Neugebauer,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499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149985" cy="8255"/>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behalf of Jon Winkelried (5)</w:t>
        <w:tab/>
        <w:t>06/30/2026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2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2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190"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13" Type="http://schemas.openxmlformats.org/officeDocument/2006/relationships/hyperlink" Target="http://www.sec.gov/cgi-bin/browse-edgar?action=getcompany&amp;CIK=0001903793" TargetMode="External"/><Relationship Id="rId14" Type="http://schemas.openxmlformats.org/officeDocument/2006/relationships/hyperlink" Target="http://www.sec.gov/cgi-bin/browse-edgar?action=getcompany&amp;CIK=0001861107" TargetMode="External"/><Relationship Id="rId15" Type="http://schemas.openxmlformats.org/officeDocument/2006/relationships/hyperlink" Target="http://www.sec.gov/cgi-bin/browse-edgar?action=getcompany&amp;CIK=0001099776" TargetMode="External"/><Relationship Id="rId18" Type="http://schemas.openxmlformats.org/officeDocument/2006/relationships/hyperlink" Target="http://www.sec.gov/cgi-bin/browse-edgar?action=getcompany&amp;CIK=00013669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2026-06-30T15:51:12Z</dcterms:created>
  <dcterms:modified xsi:type="dcterms:W3CDTF">2026-06-30T15:51:12Z</dcterms:modified>
</cp:coreProperties>
</file>