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3.gif" ContentType="image/gif"/>
  <Override PartName="/word/media/image16.jpeg" ContentType="image/jpeg"/>
  <Override PartName="/word/media/image10.gif" ContentType="image/gif"/>
  <Override PartName="/word/media/image12.jpeg" ContentType="image/jpeg"/>
  <Override PartName="/word/media/image17.gif" ContentType="image/gif"/>
  <Override PartName="/word/media/image2.jpeg" ContentType="image/jpeg"/>
  <Override PartName="/word/media/image14.gif" ContentType="image/gif"/>
  <Override PartName="/word/media/image3.jpeg" ContentType="image/jpeg"/>
  <Override PartName="/word/media/image1.jpeg" ContentType="image/jpeg"/>
  <Override PartName="/word/media/image4.gif" ContentType="image/gif"/>
  <Override PartName="/word/media/image6.jpeg" ContentType="image/jpeg"/>
  <Override PartName="/word/media/image5.jpeg" ContentType="image/jpeg"/>
  <Override PartName="/word/media/image11.gif" ContentType="image/gif"/>
  <Override PartName="/word/media/image15.gif" ContentType="image/gif"/>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double" w:sz="6" w:space="1" w:color="000000"/>
        </w:pBdr>
        <w:bidi w:val="0"/>
        <w:jc w:val="center"/>
        <w:rPr/>
      </w:pPr>
      <w:bookmarkStart w:id="0" w:name="cbll-20251231.htm"/>
      <w:bookmarkStart w:id="1" w:name="kscbll20251231"/>
      <w:bookmarkEnd w:id="0"/>
      <w:bookmarkEnd w:id="1"/>
      <w:r>
        <w:rPr/>
        <w:t> </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10-K</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9377" w:type="dxa"/>
        <w:jc w:val="left"/>
        <w:tblInd w:w="0" w:type="dxa"/>
        <w:tblLayout w:type="fixed"/>
        <w:tblCellMar>
          <w:top w:w="28" w:type="dxa"/>
          <w:left w:w="28" w:type="dxa"/>
          <w:bottom w:w="28" w:type="dxa"/>
          <w:right w:w="28" w:type="dxa"/>
        </w:tblCellMar>
      </w:tblPr>
      <w:tblGrid>
        <w:gridCol w:w="331"/>
        <w:gridCol w:w="9046"/>
      </w:tblGrid>
      <w:tr>
        <w:trPr/>
        <w:tc>
          <w:tcPr>
            <w:tcW w:w="331" w:type="dxa"/>
            <w:tcBorders/>
            <w:vAlign w:val="center"/>
          </w:tcPr>
          <w:p>
            <w:pPr>
              <w:pStyle w:val="TableContents"/>
              <w:bidi w:val="0"/>
              <w:spacing w:before="0" w:after="283"/>
              <w:jc w:val="left"/>
              <w:rPr>
                <w:sz w:val="4"/>
                <w:szCs w:val="4"/>
              </w:rPr>
            </w:pPr>
            <w:r>
              <w:rPr>
                <w:sz w:val="4"/>
                <w:szCs w:val="4"/>
              </w:rPr>
            </w:r>
          </w:p>
        </w:tc>
        <w:tc>
          <w:tcPr>
            <w:tcW w:w="904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046" w:type="dxa"/>
            <w:tcBorders/>
            <w:tcMar>
              <w:top w:w="0" w:type="dxa"/>
              <w:left w:w="0" w:type="dxa"/>
              <w:bottom w:w="0" w:type="dxa"/>
              <w:right w:w="0" w:type="dxa"/>
            </w:tcMar>
            <w:vAlign w:val="center"/>
          </w:tcPr>
          <w:p>
            <w:pPr>
              <w:pStyle w:val="TableContents"/>
              <w:bidi w:val="0"/>
              <w:spacing w:before="20" w:after="283"/>
              <w:jc w:val="left"/>
              <w:rPr>
                <w:rFonts w:ascii="Times New Roman" w:hAnsi="Times New Roman"/>
                <w:b/>
                <w:color w:val="000000"/>
                <w:sz w:val="18"/>
              </w:rPr>
            </w:pPr>
            <w:r>
              <w:rPr>
                <w:rFonts w:ascii="Times New Roman" w:hAnsi="Times New Roman"/>
                <w:b/>
                <w:color w:val="000000"/>
                <w:sz w:val="18"/>
              </w:rPr>
              <w:t>ANNUAL REPORT PURSUANT TO SECTION 13 OR 15(d) OF THE SECURITIES EXCHANGE ACT OF 1934</w:t>
            </w:r>
          </w:p>
        </w:tc>
      </w:tr>
    </w:tbl>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For the fiscal year ended December 31, 2025</w:t>
      </w:r>
    </w:p>
    <w:p>
      <w:pPr>
        <w:pStyle w:val="TextBody"/>
        <w:bidi w:val="0"/>
        <w:spacing w:before="60" w:after="283"/>
        <w:jc w:val="center"/>
        <w:rPr>
          <w:rFonts w:ascii="Times New Roman" w:hAnsi="Times New Roman"/>
          <w:sz w:val="20"/>
        </w:rPr>
      </w:pPr>
      <w:r>
        <w:rPr>
          <w:rFonts w:ascii="Times New Roman" w:hAnsi="Times New Roman"/>
          <w:b/>
          <w:color w:val="000000"/>
          <w:sz w:val="18"/>
        </w:rPr>
        <w:t>OR</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20" w:after="283"/>
              <w:jc w:val="left"/>
              <w:rPr>
                <w:rFonts w:ascii="Times New Roman" w:hAnsi="Times New Roman"/>
                <w:sz w:val="18"/>
              </w:rPr>
            </w:pPr>
            <w:r>
              <w:rPr>
                <w:rFonts w:ascii="Times New Roman" w:hAnsi="Times New Roman"/>
                <w:b/>
                <w:color w:val="000000"/>
                <w:sz w:val="18"/>
              </w:rPr>
              <w:t>TRANSITION REPORT PURSUANT TO SECTION 13 OR 15(d) OF THE SECURITIES EXCHANGE ACT OF 1934 FOR THE TRANSITION PERIOD FROM TO</w:t>
            </w:r>
            <w:r>
              <w:rPr>
                <w:rFonts w:ascii="Times New Roman" w:hAnsi="Times New Roman"/>
                <w:color w:val="000000"/>
                <w:sz w:val="18"/>
              </w:rPr>
              <w:t xml:space="preserve"> </w:t>
            </w:r>
          </w:p>
        </w:tc>
      </w:tr>
    </w:tbl>
    <w:p>
      <w:pPr>
        <w:pStyle w:val="TextBody"/>
        <w:bidi w:val="0"/>
        <w:jc w:val="center"/>
        <w:rPr>
          <w:rFonts w:ascii="Times New Roman" w:hAnsi="Times New Roman"/>
          <w:b/>
          <w:color w:val="000000"/>
          <w:sz w:val="18"/>
        </w:rPr>
      </w:pPr>
      <w:r>
        <w:rPr>
          <w:rFonts w:ascii="Times New Roman" w:hAnsi="Times New Roman"/>
          <w:b/>
          <w:color w:val="000000"/>
          <w:sz w:val="18"/>
        </w:rPr>
        <w:t>Commission File Number 001-42364</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40"/>
        </w:rPr>
      </w:pPr>
      <w:r>
        <w:rPr>
          <w:rFonts w:ascii="Times New Roman" w:hAnsi="Times New Roman"/>
          <w:b/>
          <w:color w:val="000000"/>
          <w:sz w:val="40"/>
        </w:rPr>
        <w:t>CeriBell, Inc.</w:t>
      </w:r>
    </w:p>
    <w:p>
      <w:pPr>
        <w:pStyle w:val="TextBody"/>
        <w:bidi w:val="0"/>
        <w:jc w:val="center"/>
        <w:rPr>
          <w:rFonts w:ascii="Times New Roman" w:hAnsi="Times New Roman"/>
          <w:b/>
          <w:color w:val="000000"/>
          <w:sz w:val="18"/>
        </w:rPr>
      </w:pPr>
      <w:r>
        <w:rPr>
          <w:rFonts w:ascii="Times New Roman" w:hAnsi="Times New Roman"/>
          <w:b/>
          <w:color w:val="000000"/>
          <w:sz w:val="18"/>
        </w:rPr>
        <w:t>(Exact name of Registrant as specified in its Charter)</w:t>
      </w:r>
    </w:p>
    <w:p>
      <w:pPr>
        <w:pStyle w:val="TextBody"/>
        <w:pBdr>
          <w:bottom w:val="single" w:sz="6" w:space="1" w:color="000000"/>
        </w:pBdr>
        <w:bidi w:val="0"/>
        <w:jc w:val="center"/>
        <w:rPr/>
      </w:pPr>
      <w:r>
        <w:rPr/>
        <w:t> </w:t>
      </w:r>
    </w:p>
    <w:p>
      <w:pPr>
        <w:pStyle w:val="TextBody"/>
        <w:bidi w:val="0"/>
        <w:jc w:val="center"/>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47-1785452</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Identification No.)</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360 N. Pastoria Avenue</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Sunnyvale, CA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94085</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Registrant’s telephone number, including area code: (800) 436-0826</w:t>
      </w:r>
    </w:p>
    <w:p>
      <w:pPr>
        <w:pStyle w:val="TextBody"/>
        <w:bidi w:val="0"/>
        <w:spacing w:before="60" w:after="283"/>
        <w:jc w:val="left"/>
        <w:rPr>
          <w:rFonts w:ascii="Times New Roman" w:hAnsi="Times New Roman"/>
          <w:color w:val="000000"/>
          <w:sz w:val="15"/>
        </w:rPr>
      </w:pPr>
      <w:r>
        <w:rPr>
          <w:rFonts w:ascii="Times New Roman" w:hAnsi="Times New Roman"/>
          <w:color w:val="000000"/>
          <w:sz w:val="15"/>
        </w:rPr>
        <w:t>Securities registered pursuant to Section 12(b) of the Act:</w:t>
      </w:r>
    </w:p>
    <w:p>
      <w:pPr>
        <w:pStyle w:val="TextBody"/>
        <w:bidi w:val="0"/>
        <w:jc w:val="left"/>
        <w:rPr/>
      </w:pPr>
      <w:r>
        <w:rPr/>
        <w:t> </w:t>
      </w:r>
    </w:p>
    <w:tbl>
      <w:tblPr>
        <w:tblW w:w="6415" w:type="dxa"/>
        <w:jc w:val="left"/>
        <w:tblInd w:w="0" w:type="dxa"/>
        <w:tblLayout w:type="fixed"/>
        <w:tblCellMar>
          <w:top w:w="28" w:type="dxa"/>
          <w:left w:w="28" w:type="dxa"/>
          <w:bottom w:w="28" w:type="dxa"/>
          <w:right w:w="28" w:type="dxa"/>
        </w:tblCellMar>
      </w:tblPr>
      <w:tblGrid>
        <w:gridCol w:w="2716"/>
        <w:gridCol w:w="146"/>
        <w:gridCol w:w="706"/>
        <w:gridCol w:w="146"/>
        <w:gridCol w:w="2701"/>
      </w:tblGrid>
      <w:tr>
        <w:trPr/>
        <w:tc>
          <w:tcPr>
            <w:tcW w:w="2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27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Trading</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7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Name of each exchange on which registered</w:t>
            </w:r>
          </w:p>
        </w:tc>
      </w:tr>
      <w:tr>
        <w:trPr/>
        <w:tc>
          <w:tcPr>
            <w:tcW w:w="27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Common stock, $0.001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CBLL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The Nasdaq Stock Market LLC</w:t>
            </w:r>
          </w:p>
        </w:tc>
      </w:tr>
    </w:tbl>
    <w:p>
      <w:pPr>
        <w:pStyle w:val="TextBody"/>
        <w:bidi w:val="0"/>
        <w:spacing w:before="60" w:after="283"/>
        <w:jc w:val="left"/>
        <w:rPr>
          <w:rFonts w:ascii="Times New Roman" w:hAnsi="Times New Roman"/>
          <w:sz w:val="20"/>
        </w:rPr>
      </w:pPr>
      <w:r>
        <w:rPr>
          <w:rFonts w:ascii="Times New Roman" w:hAnsi="Times New Roman"/>
          <w:color w:val="000000"/>
          <w:sz w:val="15"/>
        </w:rPr>
        <w:t xml:space="preserve">Securities registered pursuant to Section 12(g) of the Act: </w:t>
      </w:r>
      <w:r>
        <w:rPr>
          <w:rFonts w:ascii="Times New Roman" w:hAnsi="Times New Roman"/>
          <w:b/>
          <w:color w:val="000000"/>
          <w:sz w:val="15"/>
        </w:rPr>
        <w:t>None</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if the Registrant is a well-known seasoned issuer, as defined in Rule 405 of the Securities Act. </w:t>
      </w:r>
      <w:r>
        <w:rPr>
          <w:rFonts w:ascii="Times New Roman" w:hAnsi="Times New Roman"/>
          <w:caps/>
          <w:color w:val="000000"/>
          <w:sz w:val="15"/>
        </w:rPr>
        <w:t>Y</w:t>
      </w:r>
      <w:r>
        <w:rPr>
          <w:rFonts w:ascii="Times New Roman" w:hAnsi="Times New Roman"/>
          <w:color w:val="000000"/>
          <w:sz w:val="15"/>
        </w:rPr>
        <w:t xml:space="preserve">es ☐ </w:t>
      </w:r>
      <w:r>
        <w:rPr>
          <w:rFonts w:ascii="Times New Roman" w:hAnsi="Times New Roman"/>
          <w:caps/>
          <w:color w:val="000000"/>
          <w:sz w:val="15"/>
        </w:rPr>
        <w:t>N</w:t>
      </w:r>
      <w:r>
        <w:rPr>
          <w:rFonts w:ascii="Times New Roman" w:hAnsi="Times New Roman"/>
          <w:color w:val="000000"/>
          <w:sz w:val="15"/>
        </w:rPr>
        <w:t>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5"/>
        </w:rPr>
        <w:t>Indicate by check mark if the Registrant is not required to file reports pursuant to Section 13 or 15(d) of the Act. Yes ☐ 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whether the Registrant: (1) has filed all reports required to be filed by Section 13 or Section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aps/>
          <w:color w:val="000000"/>
          <w:sz w:val="15"/>
        </w:rPr>
        <w:t>Y</w:t>
      </w:r>
      <w:r>
        <w:rPr>
          <w:rFonts w:ascii="Times New Roman" w:hAnsi="Times New Roman"/>
          <w:color w:val="000000"/>
          <w:sz w:val="15"/>
        </w:rPr>
        <w:t xml:space="preserve">es </w:t>
      </w:r>
      <w:r>
        <w:rPr>
          <w:rFonts w:ascii="Times New Roman" w:hAnsi="Times New Roman"/>
          <w:color w:val="000000"/>
          <w:sz w:val="20"/>
        </w:rPr>
        <w:t xml:space="preserve">☒ </w:t>
      </w:r>
      <w:r>
        <w:rPr>
          <w:rFonts w:ascii="Times New Roman" w:hAnsi="Times New Roman"/>
          <w:caps/>
          <w:color w:val="000000"/>
          <w:sz w:val="15"/>
        </w:rPr>
        <w:t>N</w:t>
      </w:r>
      <w:r>
        <w:rPr>
          <w:rFonts w:ascii="Times New Roman" w:hAnsi="Times New Roman"/>
          <w:color w:val="000000"/>
          <w:sz w:val="15"/>
        </w:rPr>
        <w:t>o ☐</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aps/>
          <w:color w:val="000000"/>
          <w:sz w:val="15"/>
        </w:rPr>
        <w:t>Y</w:t>
      </w:r>
      <w:r>
        <w:rPr>
          <w:rFonts w:ascii="Times New Roman" w:hAnsi="Times New Roman"/>
          <w:color w:val="000000"/>
          <w:sz w:val="15"/>
        </w:rPr>
        <w:t>es</w:t>
      </w:r>
      <w:r>
        <w:rPr>
          <w:rFonts w:ascii="Times New Roman" w:hAnsi="Times New Roman"/>
          <w:color w:val="000000"/>
          <w:sz w:val="20"/>
        </w:rPr>
        <w:t xml:space="preserve"> ☒ </w:t>
      </w:r>
      <w:r>
        <w:rPr>
          <w:rFonts w:ascii="Times New Roman" w:hAnsi="Times New Roman"/>
          <w:caps/>
          <w:color w:val="000000"/>
          <w:sz w:val="15"/>
        </w:rPr>
        <w:t>N</w:t>
      </w:r>
      <w:r>
        <w:rPr>
          <w:rFonts w:ascii="Times New Roman" w:hAnsi="Times New Roman"/>
          <w:color w:val="000000"/>
          <w:sz w:val="15"/>
        </w:rPr>
        <w:t>o ☐</w:t>
      </w:r>
    </w:p>
    <w:p>
      <w:pPr>
        <w:pStyle w:val="TextBody"/>
        <w:bidi w:val="0"/>
        <w:spacing w:before="60" w:after="283"/>
        <w:jc w:val="left"/>
        <w:rPr>
          <w:rFonts w:ascii="Times New Roman" w:hAnsi="Times New Roman"/>
          <w:color w:val="000000"/>
          <w:sz w:val="15"/>
        </w:rPr>
      </w:pPr>
      <w:r>
        <w:rPr>
          <w:rFonts w:ascii="Times New Roman" w:hAnsi="Times New Roman"/>
          <w:color w:val="000000"/>
          <w:sz w:val="15"/>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612" w:type="dxa"/>
        <w:jc w:val="left"/>
        <w:tblInd w:w="0" w:type="dxa"/>
        <w:tblLayout w:type="fixed"/>
        <w:tblCellMar>
          <w:top w:w="28" w:type="dxa"/>
          <w:left w:w="28" w:type="dxa"/>
          <w:bottom w:w="28" w:type="dxa"/>
          <w:right w:w="28" w:type="dxa"/>
        </w:tblCellMar>
      </w:tblPr>
      <w:tblGrid>
        <w:gridCol w:w="1756"/>
        <w:gridCol w:w="146"/>
        <w:gridCol w:w="316"/>
        <w:gridCol w:w="146"/>
        <w:gridCol w:w="1741"/>
        <w:gridCol w:w="146"/>
        <w:gridCol w:w="361"/>
      </w:tblGrid>
      <w:tr>
        <w:trPr/>
        <w:tc>
          <w:tcPr>
            <w:tcW w:w="1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75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88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7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5"/>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spacing w:before="60" w:after="283"/>
        <w:jc w:val="left"/>
        <w:rPr>
          <w:rFonts w:ascii="Times New Roman" w:hAnsi="Times New Roman"/>
          <w:color w:val="000000"/>
          <w:sz w:val="15"/>
        </w:rPr>
      </w:pPr>
      <w:r>
        <w:rPr>
          <w:rFonts w:ascii="Times New Roman" w:hAnsi="Times New Roman"/>
          <w:color w:val="000000"/>
          <w:sz w:val="15"/>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5"/>
        </w:rPr>
        <w:t>The aggregate market value of the voting and non-voting common stock held by non-affiliates of the Registrant at June 30, 2025 (the last business day of the Registrant’s most recently completed second fiscal quarter) was $417.2</w:t>
      </w:r>
      <w:r>
        <w:rPr>
          <w:rFonts w:ascii="Times New Roman" w:hAnsi="Times New Roman"/>
          <w:color w:val="000000"/>
          <w:sz w:val="20"/>
        </w:rPr>
        <w:t xml:space="preserve"> </w:t>
      </w:r>
      <w:r>
        <w:rPr>
          <w:rFonts w:ascii="Times New Roman" w:hAnsi="Times New Roman"/>
          <w:color w:val="000000"/>
          <w:sz w:val="15"/>
        </w:rPr>
        <w:t>million, based upon the closing price of the Registrant</w:t>
      </w:r>
      <w:r>
        <w:rPr>
          <w:rFonts w:ascii="Times New Roman" w:hAnsi="Times New Roman"/>
          <w:color w:val="000000"/>
          <w:sz w:val="20"/>
        </w:rPr>
        <w:t>’</w:t>
      </w:r>
      <w:r>
        <w:rPr>
          <w:rFonts w:ascii="Times New Roman" w:hAnsi="Times New Roman"/>
          <w:color w:val="000000"/>
          <w:sz w:val="15"/>
        </w:rPr>
        <w:t>s common stock on that date as reported on the Nasdaq Global Select Market. Solely for purposes of this disclosure, shares of common stock held by executive officers, directors, and 10% or greater stockholders as of such date have been excluded because such persons may be deemed to be affiliates.</w:t>
      </w:r>
      <w:r>
        <w:rPr>
          <w:rFonts w:ascii="Times New Roman" w:hAnsi="Times New Roman"/>
          <w:color w:val="000000"/>
          <w:sz w:val="20"/>
        </w:rPr>
        <w:t xml:space="preserve"> </w:t>
      </w:r>
    </w:p>
    <w:p>
      <w:pPr>
        <w:pStyle w:val="TextBody"/>
        <w:bidi w:val="0"/>
        <w:spacing w:before="60" w:after="283"/>
        <w:jc w:val="left"/>
        <w:rPr>
          <w:rFonts w:ascii="Times New Roman" w:hAnsi="Times New Roman"/>
          <w:color w:val="000000"/>
          <w:sz w:val="15"/>
        </w:rPr>
      </w:pPr>
      <w:r>
        <w:rPr>
          <w:rFonts w:ascii="Times New Roman" w:hAnsi="Times New Roman"/>
          <w:color w:val="000000"/>
          <w:sz w:val="15"/>
        </w:rPr>
        <w:t>The number of shares of Registrant’s Common Stock outstanding as of February 20, 2026 was 37,641,229.</w:t>
      </w:r>
    </w:p>
    <w:p>
      <w:pPr>
        <w:pStyle w:val="TextBody"/>
        <w:bidi w:val="0"/>
        <w:spacing w:before="60" w:after="283"/>
        <w:jc w:val="center"/>
        <w:rPr>
          <w:rFonts w:ascii="Times New Roman" w:hAnsi="Times New Roman"/>
          <w:color w:val="000000"/>
          <w:sz w:val="15"/>
        </w:rPr>
      </w:pPr>
      <w:r>
        <w:rPr>
          <w:rFonts w:ascii="Times New Roman" w:hAnsi="Times New Roman"/>
          <w:color w:val="000000"/>
          <w:sz w:val="15"/>
        </w:rPr>
        <w:t>DOCUMENTS INCORPORATED BY REFERENCE</w:t>
      </w:r>
    </w:p>
    <w:p>
      <w:pPr>
        <w:pStyle w:val="TextBody"/>
        <w:bidi w:val="0"/>
        <w:spacing w:before="60" w:after="283"/>
        <w:jc w:val="left"/>
        <w:rPr>
          <w:rFonts w:ascii="Times New Roman" w:hAnsi="Times New Roman"/>
          <w:color w:val="000000"/>
          <w:sz w:val="15"/>
        </w:rPr>
      </w:pPr>
      <w:r>
        <w:rPr>
          <w:rFonts w:ascii="Times New Roman" w:hAnsi="Times New Roman"/>
          <w:color w:val="000000"/>
          <w:sz w:val="15"/>
        </w:rPr>
        <w:t>Portions of the Registrant's definitive Proxy Statement relating to the Registrant's 2026 Annual Stockholders' Meeting, to be filed within 120 days of the Registrant's fiscal year ended December 31, 2025, are incorporated by reference into Part III of this Annual Report on Form 10-K.</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30"/>
        <w:gridCol w:w="8671"/>
        <w:gridCol w:w="604"/>
      </w:tblGrid>
      <w:tr>
        <w:trPr/>
        <w:tc>
          <w:tcPr>
            <w:tcW w:w="930" w:type="dxa"/>
            <w:tcBorders/>
            <w:vAlign w:val="center"/>
          </w:tcPr>
          <w:p>
            <w:pPr>
              <w:pStyle w:val="TableContents"/>
              <w:bidi w:val="0"/>
              <w:spacing w:before="0" w:after="283"/>
              <w:jc w:val="left"/>
              <w:rPr>
                <w:sz w:val="4"/>
                <w:szCs w:val="4"/>
              </w:rPr>
            </w:pPr>
            <w:r>
              <w:rPr>
                <w:sz w:val="4"/>
                <w:szCs w:val="4"/>
              </w:rPr>
            </w:r>
          </w:p>
        </w:tc>
        <w:tc>
          <w:tcPr>
            <w:tcW w:w="867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usiness">
              <w:r>
                <w:rPr>
                  <w:rStyle w:val="InternetLink"/>
                  <w:rFonts w:ascii="Times New Roman" w:hAnsi="Times New Roman"/>
                  <w:color w:val="0000FF"/>
                  <w:sz w:val="20"/>
                  <w:u w:val="single"/>
                </w:rPr>
                <w:t>Business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1A.</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isk_factors">
              <w:r>
                <w:rPr>
                  <w:rStyle w:val="InternetLink"/>
                  <w:rFonts w:ascii="Times New Roman" w:hAnsi="Times New Roman"/>
                  <w:color w:val="0000FF"/>
                  <w:sz w:val="20"/>
                  <w:u w:val="single"/>
                </w:rPr>
                <w:t>Risk Factors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29</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1B.</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unresolved_staff_comments">
              <w:r>
                <w:rPr>
                  <w:rStyle w:val="InternetLink"/>
                  <w:rFonts w:ascii="Times New Roman" w:hAnsi="Times New Roman"/>
                  <w:color w:val="0000FF"/>
                  <w:sz w:val="20"/>
                  <w:u w:val="single"/>
                </w:rPr>
                <w:t>Unresolved Staff Comments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74</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1C.</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ybersecurity">
              <w:r>
                <w:rPr>
                  <w:rStyle w:val="InternetLink"/>
                  <w:rFonts w:ascii="Times New Roman" w:hAnsi="Times New Roman"/>
                  <w:color w:val="0000FF"/>
                  <w:sz w:val="20"/>
                  <w:u w:val="single"/>
                </w:rPr>
                <w:t>Cybersecurity</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74</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2.</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roperties">
              <w:r>
                <w:rPr>
                  <w:rStyle w:val="InternetLink"/>
                  <w:rFonts w:ascii="Times New Roman" w:hAnsi="Times New Roman"/>
                  <w:color w:val="0000FF"/>
                  <w:sz w:val="20"/>
                  <w:u w:val="single"/>
                </w:rPr>
                <w:t>Properties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75</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3.</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legal_proceedings">
              <w:r>
                <w:rPr>
                  <w:rStyle w:val="InternetLink"/>
                  <w:rFonts w:ascii="Times New Roman" w:hAnsi="Times New Roman"/>
                  <w:color w:val="0000FF"/>
                  <w:sz w:val="20"/>
                  <w:u w:val="single"/>
                </w:rPr>
                <w:t>Legal Proceedings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75</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4.</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mine_safety_disclosures">
              <w:r>
                <w:rPr>
                  <w:rStyle w:val="InternetLink"/>
                  <w:rFonts w:ascii="Times New Roman" w:hAnsi="Times New Roman"/>
                  <w:color w:val="0000FF"/>
                  <w:sz w:val="20"/>
                  <w:u w:val="single"/>
                </w:rPr>
                <w:t>Mine Safety Disclosures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5.</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market_for_registrants_common_equity">
              <w:r>
                <w:rPr>
                  <w:rStyle w:val="InternetLink"/>
                  <w:rFonts w:ascii="Times New Roman" w:hAnsi="Times New Roman"/>
                  <w:color w:val="0000FF"/>
                  <w:sz w:val="20"/>
                  <w:u w:val="single"/>
                </w:rPr>
                <w:t>Market for Registrant’s Common Equity, Related Stockholder Matters and Issuer Purchases of Equity Securities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76</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6.</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eserved">
              <w:r>
                <w:rPr>
                  <w:rStyle w:val="InternetLink"/>
                  <w:rFonts w:ascii="Times New Roman" w:hAnsi="Times New Roman"/>
                  <w:color w:val="0000FF"/>
                  <w:sz w:val="20"/>
                  <w:u w:val="single"/>
                </w:rPr>
                <w:t>[Reserved]</w:t>
              </w:r>
            </w:hyperlink>
            <w:hyperlink w:anchor="reserved">
              <w:r>
                <w:rPr>
                  <w:rStyle w:val="InternetLink"/>
                  <w:rFonts w:ascii="Times New Roman" w:hAnsi="Times New Roman"/>
                  <w:color w:val="0000FF"/>
                  <w:sz w:val="20"/>
                </w:rPr>
                <w:t xml:space="preserve"> </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76</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7.</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managements_discussion_and_analysis">
              <w:r>
                <w:rPr>
                  <w:rStyle w:val="InternetLink"/>
                  <w:rFonts w:ascii="Times New Roman" w:hAnsi="Times New Roman"/>
                  <w:color w:val="0000FF"/>
                  <w:sz w:val="20"/>
                  <w:u w:val="single"/>
                </w:rPr>
                <w:t>Management’s Discussion and Analysis of Financial Condition and Results of Operations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77</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7A.</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quantitative_and_qualitative_disclosures">
              <w:r>
                <w:rPr>
                  <w:rStyle w:val="InternetLink"/>
                  <w:rFonts w:ascii="Times New Roman" w:hAnsi="Times New Roman"/>
                  <w:color w:val="0000FF"/>
                  <w:sz w:val="20"/>
                  <w:u w:val="single"/>
                </w:rPr>
                <w:t>Quantitative and Qualitative Disclosures About Market Risk</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87</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8.</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inancial_statements_supplementary_data">
              <w:r>
                <w:rPr>
                  <w:rStyle w:val="InternetLink"/>
                  <w:rFonts w:ascii="Times New Roman" w:hAnsi="Times New Roman"/>
                  <w:color w:val="0000FF"/>
                  <w:sz w:val="20"/>
                  <w:u w:val="single"/>
                </w:rPr>
                <w:t>Financial Statements and Supplementary Data</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88</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hanges_disagreements_with_accountants">
              <w:r>
                <w:rPr>
                  <w:rStyle w:val="InternetLink"/>
                  <w:rFonts w:ascii="Times New Roman" w:hAnsi="Times New Roman"/>
                  <w:color w:val="0000FF"/>
                  <w:sz w:val="20"/>
                  <w:u w:val="single"/>
                </w:rPr>
                <w:t>Changes in and Disagreements With Accountants on Accounting and Financial Disclosure</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113</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9A.</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trols_and_procedures">
              <w:r>
                <w:rPr>
                  <w:rStyle w:val="InternetLink"/>
                  <w:rFonts w:ascii="Times New Roman" w:hAnsi="Times New Roman"/>
                  <w:color w:val="0000FF"/>
                  <w:sz w:val="20"/>
                  <w:u w:val="single"/>
                </w:rPr>
                <w:t>Controls and Procedures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113</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9B.</w:t>
            </w:r>
          </w:p>
        </w:tc>
        <w:tc>
          <w:tcPr>
            <w:tcW w:w="867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hyperlink w:anchor="other_information">
              <w:r>
                <w:rPr>
                  <w:rStyle w:val="InternetLink"/>
                  <w:rFonts w:ascii="Times New Roman" w:hAnsi="Times New Roman"/>
                  <w:color w:val="0000FF"/>
                  <w:sz w:val="20"/>
                  <w:u w:val="single"/>
                </w:rPr>
                <w:t>Other Information</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114</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9C.</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disclosure_regarding_foreign_jurisdicti">
              <w:r>
                <w:rPr>
                  <w:rStyle w:val="InternetLink"/>
                  <w:rFonts w:ascii="Times New Roman" w:hAnsi="Times New Roman"/>
                  <w:color w:val="0000FF"/>
                  <w:sz w:val="20"/>
                  <w:u w:val="single"/>
                </w:rPr>
                <w:t>Disclosure Regarding Foreign Jurisdictions that Prevent Inspections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III</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10.</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directors_executive_officers_and_corpor">
              <w:r>
                <w:rPr>
                  <w:rStyle w:val="InternetLink"/>
                  <w:rFonts w:ascii="Times New Roman" w:hAnsi="Times New Roman"/>
                  <w:color w:val="0000FF"/>
                  <w:sz w:val="20"/>
                  <w:u w:val="single"/>
                </w:rPr>
                <w:t>Directors, Executive Officers and Corporate Governance</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115</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11.</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executive_compensation">
              <w:r>
                <w:rPr>
                  <w:rStyle w:val="InternetLink"/>
                  <w:rFonts w:ascii="Times New Roman" w:hAnsi="Times New Roman"/>
                  <w:color w:val="0000FF"/>
                  <w:sz w:val="20"/>
                  <w:u w:val="single"/>
                </w:rPr>
                <w:t>Executive Compensation</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115</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12.</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ecurity_ownership_of_certain_beneficial">
              <w:r>
                <w:rPr>
                  <w:rStyle w:val="InternetLink"/>
                  <w:rFonts w:ascii="Times New Roman" w:hAnsi="Times New Roman"/>
                  <w:color w:val="0000FF"/>
                  <w:sz w:val="20"/>
                  <w:u w:val="single"/>
                </w:rPr>
                <w:t>Security Ownership of Certain Beneficial Owners and Management and Related Stockholder Matters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115</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13.</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ertain_relationships_and_related">
              <w:r>
                <w:rPr>
                  <w:rStyle w:val="InternetLink"/>
                  <w:rFonts w:ascii="Times New Roman" w:hAnsi="Times New Roman"/>
                  <w:color w:val="0000FF"/>
                  <w:sz w:val="20"/>
                  <w:u w:val="single"/>
                </w:rPr>
                <w:t>Certain Relationships and Related Transactions, and Director Independence</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115</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14.</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rincipal_accounting_fees_and_services">
              <w:r>
                <w:rPr>
                  <w:rStyle w:val="InternetLink"/>
                  <w:rFonts w:ascii="Times New Roman" w:hAnsi="Times New Roman"/>
                  <w:color w:val="0000FF"/>
                  <w:sz w:val="20"/>
                  <w:u w:val="single"/>
                </w:rPr>
                <w:t>Principal Accounting Fees and Services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IV</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15.</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exhibits_financial_statement_schedules">
              <w:r>
                <w:rPr>
                  <w:rStyle w:val="InternetLink"/>
                  <w:rFonts w:ascii="Times New Roman" w:hAnsi="Times New Roman"/>
                  <w:color w:val="0000FF"/>
                  <w:sz w:val="20"/>
                  <w:u w:val="single"/>
                </w:rPr>
                <w:t>Exhibits and Financial Statement Schedules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116</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16.</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orm_10k_summary">
              <w:r>
                <w:rPr>
                  <w:rStyle w:val="InternetLink"/>
                  <w:rFonts w:ascii="Times New Roman" w:hAnsi="Times New Roman"/>
                  <w:color w:val="0000FF"/>
                  <w:sz w:val="20"/>
                  <w:u w:val="single"/>
                </w:rPr>
                <w:t>Form 10-K Summary</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r>
        <w:rPr>
          <w:rFonts w:ascii="Times New Roman" w:hAnsi="Times New Roman"/>
          <w:b/>
          <w:caps/>
          <w:color w:val="000000"/>
          <w:sz w:val="20"/>
        </w:rPr>
        <w:t>Special Note Regarding Forward-Looking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Annual Report on Form 10-K contains forward-looking statements within the meaning of Section 27A of the Securities Act of 1933, as amended, and Section 21E of the Securities Exchange Act of 1934, as amended. These forward-looking statements concern us and our industry and involve substantial risks and uncertainties. All statements other than statements of historical facts contained in this Annual Report on Form 10-K, including statements regarding our strategy, future financial condition, future operations, projected costs, prospects, plans, objectives of management, and expected market growth, are forward-looking statements. In some cases, you can identify forward-looking statements by words such as “may,” “will,” “shall,” “should,” “expects,” “plans,” “anticipates,” “could,” “intends,” “target,” “projects,” “contemplates,” “believes,” “estimates,” “predicts,” “potential,” “goal,” “objective,” “seeks,” “likely,” “ongoing,” “assumes,” “forecast,” “guidance,” “hope,” or “continue” or the negative of these words or other similar terms or expressions that concern our expectations, strategy, plans, or intentions. Forward-looking statements contained in this Annual Report on Form 10-K include, but are not limited to, statements about: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attract and retain customers;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expectations concerning orders for our products and utilization by existing customers;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expectations regarding the potential market size for our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maintain our competitive technological advantages;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plans to develop and release new features for the Ceribell System;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plans to expand into new indications;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intentions to pursue adjacent and international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continue improving our product and technology, including our AI-powered algorithm;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commercialization and marketing capabilities and strategies;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implementation of our business model and strategic plans for our business and products and technology;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relationships with, and the capabilities of, our component manufacturers and suppliers;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scope of protection we are able to establish and maintain for intellectual property rights covering our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effectively manage our growth;</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expectations regarding the time during which we will be an emerging growth company under the Jumpstart Our Business Startups Act (the “JOBS Act”);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estimates of our expenses, future revenue, capital requirements, our needs for additional financing, and our ability to obtain additional capital;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future financial performance.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caution you that the foregoing list does not contain all of the forward-looking statements made in this Annual Report on Form 10-K.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You should not rely upon forward-looking statements as predictions of future events. We have based the forward-looking statements contained in this Annual Report on Form 10-K primarily on our current expectations, estimates, forecasts, and projections about future events and trends that we believe may affect our business, financial condition, results of operations, and prospects. Although we believe that we have a reasonable basis for each forward-looking statement contained in this Annual Report on Form 10-K, we cannot guarantee that the future results, levels of activity, performance, or events and circumstances reflected in the forward-looking statements will be achieved or occur at all. The outcome of the events described in these forward-looking statements is subject to risks, uncertainties, and other factors described in the section titled “Risk Factors” and elsewhere in this Annual Report on Form 10-K.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on Form 10-K. The results, events, and circumstances reflected in the forward-looking statements may not be achieved or occur, and actual results, events, or circumstances could differ materially from those described in the forward-looking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forward-looking statements made in this Annual Report on Form 10-K relate only to events as of the date on which the statements are made. We undertake no obligation to update any forward-looking statements made in this Annual Report on Form 10-K to reflect events or circumstances after the date of this Annual Report on Form 10-K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You should read this Annual Report on Form 10-K and the documents that we reference in this Annual Report on Form 10-K and have filed as exhibits to this Annual Report on Form 10-K completely and with the understanding that our actual future results may be materially different from what we expect. We qualify all of the forward-looking statements in this Annual Report on Form 10-K by these cautionary statements. </w:t>
      </w:r>
    </w:p>
    <w:p>
      <w:pPr>
        <w:pStyle w:val="TextBody"/>
        <w:bidi w:val="0"/>
        <w:spacing w:before="240" w:after="283"/>
        <w:jc w:val="center"/>
        <w:rPr>
          <w:rFonts w:ascii="Times New Roman" w:hAnsi="Times New Roman"/>
          <w:b/>
          <w:caps/>
          <w:color w:val="000000"/>
          <w:sz w:val="20"/>
        </w:rPr>
      </w:pPr>
      <w:r>
        <w:rPr>
          <w:rFonts w:ascii="Times New Roman" w:hAnsi="Times New Roman"/>
          <w:b/>
          <w:caps/>
          <w:color w:val="000000"/>
          <w:sz w:val="20"/>
        </w:rPr>
        <w:t>Summary Risk Factors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business is subject to numerous risks and uncertainties, including those described in Part I. Item 1A. “Risk Factors” in this Annual Report. You should carefully consider these risks and uncertainties when investing in our common stock. The principal risks and uncertainties affecting our business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 limited operating history and have experienced rapid growth, which may strain our resources and make it difficult to evaluate our business and future prospects. If we are unable to manage our expansion effectively, our business could be materially and adversely affected.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a history of net losses, and we expect to incur additional substantial losses in the foreseeable future.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depend on sales from the use of the Ceribell System for our revenue. If we are unable to successfully achieve substantial market acceptance and adoption of the Ceribell System, or any future products, or if confidence in our products is diminished, our business, financial condition, results of operations, and prospects would be harmed.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operate in a highly competitive industry, and competitive pressures could have a material adverse effect on our business, financial condition, results of operations, and prospects.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Adapting our manufacturing and production capacities to evolving patterns of demand is expensive, time-consuming, and subject to significant uncertainties. We may not be able to adequately predict emerging customer trends and may be unable to adjust our production and inventory levels in a timely manner.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reliance on international manufacturing and supply chain operations and changes in trade policies and tariffs could expose us to foreign or domestic operational and trade risks that may adversely affect our business, results of operations, and financial condition.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fail to attract and retain senior management and other key personnel, our business may be materially and adversely affected.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we are unable to successfully develop new products and effectively manage their introduction, improve our existing products, or appropriately and successfully market our products, our business may be adversely affected.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products are complex to design and manufacture and can contain defects. The production and sale of defective products could adversely affect our business, financial condition, results of operations, and prospects. If we do not appropriately handle complaints or performance concerns about any of our products, and/or product liability lawsuits are brought against us, we may incur substantial liabilities and may be required to limit sales of our products.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Alternative technologies addressing seizure, non-convulsive status epilepticus, delirium, LVO stroke or other indications we intend to expand into could materially adversely affect our business, financial condition, results of operations, and prospects.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adequate reimbursement becomes unavailable for the diagnostic testing and procedures using our products, it could diminish our sales or affect our ability to sell the Ceribell System profitably.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employees, directors, consultants, contractors, vendors and other commercial partners may engage in misconduct or other improper activities, including non-compliance with regulatory standards and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clinical testing and research processes are complex, lengthy, can be expensive, and have uncertain outcomes. Future trials and studies by us or others may fail to produce or replicate positive results observed to date.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Interim, “top-line,” and preliminary data from our clinical trials that we announce or publish from time to time may be modified as more patient data become available and are subject to audit and verification procedures that could result in material changes in the final data.</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misuse or off-label use of our products may result in injuries that harm patients and lead to product liability suits, harm our reputation in the marketplace, and/or result in costly investigations, fines, and/or sanctions by regulatory bodies if we are deemed to have engaged in the illegal promotion of these uses, any of which could be costly to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rely on third parties to conduct and support our preclinical studies and clinical trials. These third parties may not properly and successfully carry out their contractual duties or meet expected deadlines, which could harm our ability to obtain marketing authorization of or commercialize future products we develop.</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Actual or perceived failures to comply with applicable data privacy and security laws, regulations, standards and other requirements could adversely affect our business, financial condition, results of operations, and prospects.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business and operations may suffer in the event of information technology system failures, cyber attacks, or deficiencies in our cybersecurity practices.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cannot successfully enforce our intellectual property rights, the commercial value of our products, services, or technologies may be adversely affected and our competitive position may be harmed.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be or become a party to intellectual property litigation or administrative proceedings that could be expensive, time-consuming, distracting and/or unsuccessful, and could interfere with our ability to develop, manufacture, commercialize, import, or otherwise use our products, services, or technologies.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depend on certain intellectual property rights that are licensed to us. We may be unsuccessful in licensing or acquiring intellectual property rights from third parties that may be necessary to develop, manufacture, commercialize, import, or use our current and/or future products, services, or technologies.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subject to certain manufacturing restrictions related to licensed intellectual property rights that were developed with the financial assistance of United States government grants.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use our net operating loss carryforwards and other tax attributes may be limited due to certain provisions of the Internal Revenue Code or state tax law.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venture loan and security agreements contain restrictions that limit our flexibility in operating our business.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cash deposits with financial institutions exceed insured limits.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are unable to design, implement, and maintain effective internal control over financial reporting in the future, investors may lose confidence in the accuracy and completeness of our financial reports and the market price of our common stock may decline.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Future securities issuances could result in significant dilution to our stockholders and impair the market price of our common stock.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require additional capital to support business growth, and this capital might not be available on terms favorable to us, or at all, and may dilute existing stockholders’ ownership of our common stock.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principal stockholders and management own a significant percentage of our stock and will be able to exert significant control over matters subject to stockholder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market price of our common stock may be volatile, which could cause the value of your investment to decline.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securities or industry analysts do not continue to publish research or reports about our business, or if they issue an adverse or misleading opinion regarding our stock, our stock price and trading volume could decline.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insurance may not cover all potential losses or liabilities that may arise.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Shutdowns of the U.S. federal government could materially adversely affect our business, financial condition, results of operations, and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w:t>
      </w:r>
    </w:p>
    <w:p>
      <w:pPr>
        <w:pStyle w:val="TextBody"/>
        <w:bidi w:val="0"/>
        <w:spacing w:before="240" w:after="283"/>
        <w:jc w:val="left"/>
        <w:rPr>
          <w:rFonts w:ascii="Times New Roman" w:hAnsi="Times New Roman"/>
          <w:b/>
          <w:color w:val="000000"/>
          <w:sz w:val="20"/>
        </w:rPr>
      </w:pPr>
      <w:bookmarkStart w:id="2" w:name="business"/>
      <w:bookmarkEnd w:id="2"/>
      <w:r>
        <w:rPr>
          <w:rFonts w:ascii="Times New Roman" w:hAnsi="Times New Roman"/>
          <w:b/>
          <w:color w:val="000000"/>
          <w:sz w:val="20"/>
        </w:rPr>
        <w:t>Item 1. Business.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 medical technology company focused on transforming the diagnosis and management of patients with serious neurological conditions. We have developed the Ceribell System, a novel, point-of-care EEG platform specifically designed to address the unmet needs of patients in the acute care setting. By combining proprietary, highly portable, and rapidly deployable hardware with sophisticated artificial intelligence (“AI”)-powered algorithms, the Ceribell System enables rapid diagnosis and continuous monitoring of patients with neurological conditions. We are initially focused on becoming the standard of care for the detection and management of seizures in the acute care setting, where the technological and operational limitations of conventional EEG systems have contributed to significant delays in seizure diagnosis and suboptimal patient care and clinical outcomes, as well as a high economic burden for hospitals and the healthcare system. By making EEG more accessible and enabling continuous monitoring through the power of AI, the Ceribell System enables clinicians to more rapidly and accurately diagnose and manage patients at risk of seizure in the acute care setting, resulting in improved patient outcomes and hospital and payer economics. As of December 31, 2025, the Ceribell System has been adopted by more than 600 hospitals, ranging from top academic centers to small community hospitals. For information regarding how patient care and clinical outcomes are measured, see “—Market Overview—Challenges of Managing Seizures in the Acute Care Setting.”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seizure is an abnormal burst of uncontrolled electrical activity in the brain which, if left untreated, can result in permanent disability or death. Seizures are often associated with epilepsy, a chronic condition that causes recurring seizures throughout an individual’s life. However, seizures in the acute care setting are also commonly triggered by serious conditions such as brain tumors, traumatic brain injury, stroke, cardiac arrest, and sepsis, among others. In contrast to epileptic seizures which are short in duration and typically involve convulsions, seizures occurring in the acute care setting tend to be longer in duration and are most often non-convulsive, meaning they lack the physical symptoms that are often used to identify seizure activity, which makes empirical diagnosis extremely challenging. This creates a significant unmet need, and it is estimated that up to 92% of all seizures in critical care settings are non-convulsive.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seizure lasting longer than five minutes is known as status epilepticus, a serious medical emergency that can lead to mortality or severe and permanent brain damage. Awareness of the severity of status epilepticus has significantly increased over the last decade, with a heightened emphasis on prompt diagnosis and treatment, which are the most important factors in appropriately managing the condition and improving patient outcomes. The all-cause mortality rate associated with non-convulsive status epilepticus is approximately 18-30%. Further, patient response rates to first-line anti-seizure medication drop by approximately 30% for every hour medication is delayed from the onset of seizures. Given the impact of prompt detection on treatment success and outcomes, medical society guidelines emphasize the need for prompt EEG monitoring for patients at risk of status epilepticus.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EEG is a non-invasive test that measures electrical activity in the brain and displays this activity as continuous waveforms. It is the only way to definitively confirm a seizure diagnosis. EEG was originally designed for the outpatient setting, primarily for use in the diagnosis and management of epilepsy, where the technology has been used for over 100 years. In the acute care setting, we believe conventional EEG systems are insufficient to meet the needs of critically ill patients as they are unable to provide the speed of diagnosis and continuous monitoring necessary for optimal patient management. These challenges are the result of multiple inherent bottlenecks in the design of conventional EEG systems and the infrastructure required to administer them. Conventional EEG systems must be operated by specialized EEG technicians who typically work limited hours, are short-staffed, and work in multiple departments within the hospital. After arrival at the bedside, which is often delayed, EEG technicians must initiate a long, complex, and labor-intensive setup process before EEG recording can begin. The EEG recording must then be interpreted and monitored by specialized neurologists, who face similar workflow and supply shortage issues, and when available, are rarely able to continuously monitor EEG recordings in real-time. These bottlenecks result in delays in both diagnosis and monitoring. This can lead to delayed seizure detection and less informed treatment decisions, which may negatively impact clinical outcomes and have been shown to contribute to a higher cost burden for hospitals and the healthcare system.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specifically designed the Ceribell System to address the limitations of conventional EEG in the acute care setting and dramatically improve clinical outcomes of critically ill patients at high risk of seizures. The Ceribell System integrates proprietary, highly portable hardware with AI-powered algorithms to aid in the detection and management of seizures. Our hardware is composed of disposable, flexible headbands and headcaps (“Wearables”) and a pocket-sized, rechargeable battery-operated recorder used to capture and wirelessly transmit EEG signals. The hardware is simple to use and, after approximately one hour of training, can be applied within minutes by any non-specialized healthcare professional. The recorder is integrated with a proprietary web-based portal that allows neurologists to remotely access EEG data in real time from any web-enabled device. EEG data captured by the recorder is interpreted by our proprietary AI-powered seizure detection algorithms, which continuously monitor the patient’s EEG signal and can support the clinician’s real-time assessment of seizure activity.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May 2023, Clarity® became the first device to receive 510(k) clearance from the U.S. Food and Drug Administration (“FDA”) for diagnosing electrographic status epilepticus (“ESE”) in adult patients at risk for seizure, and subsequently received a New Technology Add-on Payment (“NTAP”) from the Centers for Medicare and Medicaid Services (“CMS”). In October 2025, Ceribell released the latest generation of Clarity with further enhancements to our seizure detection algorithm as well as continued improvements to user workflows.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believe the unique features and capabilities of the Ceribell System deliver numerous benefits, including:</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Early seizure detection and improved patient outcomes.</w:t>
      </w:r>
      <w:r>
        <w:rPr>
          <w:color w:val="000000"/>
        </w:rPr>
        <w:t xml:space="preserve"> </w:t>
      </w:r>
      <w:r>
        <w:rPr>
          <w:rFonts w:ascii="Times New Roman" w:hAnsi="Times New Roman"/>
          <w:color w:val="000000"/>
          <w:sz w:val="20"/>
        </w:rPr>
        <w:t>The Ceribell System can be deployed in as little as five minutes by any non-specialized healthcare professional, with limited training required. It can continuously monitor the patient for seizure activity, empowering bedside clinicians to make more informed and timely treatment decisions. This results in improved patient outcomes, including shorter hospital stays and reductions in unnecessary administration of medication, intubation, and patient transfers.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Improved hospital and payer economics.</w:t>
      </w:r>
      <w:r>
        <w:rPr>
          <w:color w:val="000000"/>
        </w:rPr>
        <w:t xml:space="preserve"> </w:t>
      </w:r>
      <w:r>
        <w:rPr>
          <w:rFonts w:ascii="Times New Roman" w:hAnsi="Times New Roman"/>
          <w:color w:val="000000"/>
          <w:sz w:val="20"/>
        </w:rPr>
        <w:t xml:space="preserve">We have demonstrated that the Ceribell System can deliver cost savings for hospitals and payers by decreasing the average hospital length of stay, reducing the over-administration of medication, and reducing unnecessary patient transfers. In addition, confirmed diagnosis of seizures may allow hospitals to receive appropriate reimbursement for the more complex and costly management of patients with multiple comorbidities.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Reduced strain on key hospital personnel.</w:t>
      </w:r>
      <w:r>
        <w:rPr>
          <w:color w:val="000000"/>
        </w:rPr>
        <w:t xml:space="preserve"> </w:t>
      </w:r>
      <w:r>
        <w:rPr>
          <w:rFonts w:ascii="Times New Roman" w:hAnsi="Times New Roman"/>
          <w:color w:val="000000"/>
          <w:sz w:val="20"/>
        </w:rPr>
        <w:t>The Ceribell System reduces reliance on EEG technicians for EEG administration and enables hospitals to better manage technician infrastructure and workflow. Additionally, Clarity allows for better triage of at-risk patients, improves resource allocation, and supports more efficient workflow for neurologists.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developed a large body of evidence that supports these clinical and economic benefits, including over 140 peer-reviewed publications and published conference abstracts. Our growing base of clinical evidence highlights the value of the Ceribell System to all key stakeholders, including patients, clinicians, and hospitals of different types and acuity settings. We believe our base of clinical evidence validates that the quality of Ceribell System recordings is equivalent to conventional EEG, supports the diagnostic accuracy of Clarity, and shows that use of the Ceribell System can result in improved clinical management and care. In addition, our clinical evidence demonstrates that use of the Ceribell System can provide meaningful cost savings to hospitals and payers, appropriate reimbursement for the treatment of patients with complex conditions, and reduced strain on hospital personnel. For citations to the studies relating to the clinical evidence noted above in this paragraph, see the section titled “Business—Our Clinical Results and Economic Evidence.”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Given the inherent limitations of conventional EEG systems, we believe that EEG has been significantly underutilized in the detection and management of seizures in the acute care setting. By providing our customers with a tool that can be promptly administered and leveraged to inform treatment decisions at the bedside, the Ceribell System has the ability to meaningfully expand the use of EEG to a significantly broader set of acute care patients who we believe should be monitored for non-convulsive seizures.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currently focused on becoming the standard of care for the detection and management of seizures in the acute care setting. There are approximately 6,000 acute care facilities in the United States that we believe could benefit from the Ceribell System. We employ a team of sales representatives, including Territory Managers (“TMs”), who are responsible for new customer acquisition and onboarding, and Clinical Account Managers (“CAMs”), who focus on ongoing account coverage to increase utilization and further support hospital onboarding. We intend to expand the size of our direct sales organization in the United States to support our efforts to drive further adoption and utilization of the Ceribell System. While our current commercial focus is on the United States, we have received a CE Mark for the Ceribell System in Europe, and we intend to pursue additional regulatory clearances in Europe and elsewhere outside of the United States in the future. We also plan to engage in market access initiatives in attractive international regions in which we see significant opportunity. We have established a significant competitive advantage through multiple strategic initiatives, including investing substantial resources to create our wholly-owned intellectual property portfolio. As of December 31, 2025, our patent portfolio contains 58 total issued utility patents and pending utility patent applications (excluding European validation states), and includes patents and patent applications that are solely owned by us, exclusively licensed from Stanford University, and co-owned with Stanford University. We have also invested in building data science and AI capabilities, which would be costly and difficult to replicate. Finally, we spend a significant amount of time partnering with our customers, including providing onsite training and ongoing education as well as supporting workflow and IT integration, all of which strengthens our competitive position and customer loyalty and retention.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invest in research and development efforts with the goal of driving continuous improvements in the Ceribell System, advancing our mission of becoming the standard of care for the detection and management of seizures in the acute care setting, and expanding the clinical application of the Ceribell System and AI algorithms, in the acute care setting and beyond. Our research and development team includes hardware and software engineers with deep expertise in mechanical and electrical engineering, data science, AI, embedded software design, and cloud-based data and security architecture.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Through our research and development efforts, we further aim to expand the utility of the Ceribell System beyond seizure by investing in new algorithms and hardware to monitor for additional neurological conditions impacting patients in the acute care setting.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December 2025, the FDA granted 510(k) clearance for our proprietary delirium monitoring solution, the first and only FDA cleared delirium detection and monitoring device. Our delirium monitoring solution continuously analyzes EEG segments and notifies clinicians when patterns associated with delirium are detected, supporting more timely, reliable evaluation, and continuous monitoring of delirium. We expect this clearance will allow the Ceribell System to simultaneously support continuous monitoring of seizures, ESE, and delirium at the bedside. The FDA clearance followed our initial receipt of a Breakthrough Device Designation for our delirium monitoring system in 2022. In October 2025, we submitted an NTAP application to the CMS for this new indication. We believe this clearance further establishes the Ceribell System as an AI-powered brain monitoring platform technology, extending the benefits to a larger population of critically ill patients and providing additional information to assist in diagnosing patients at risk for both seizures and delirium.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Delirium is a common and serious neurological condition affecting over three million patients in the U.S., including around 30% of ICU patients, and up to 80% of those who are mechanically ventilated. It is associated with poor clinical outcomes, including a 10% higher 6-month mortality risk for every day delirium is experienced, as well as longer hospital stays and increased hospitalization costs. The risk of post-ICU dementia is 60% higher in discharged ICU patients who have had delirium, compared to those who have not had delirium in the ICU. Current Society of Critical Care Medicine guidelines recommend regular delirium assessment using validated tools, underscoring the need for early and accurate detection. Nonetheless, delirium - particularly hypoactive delirium - often goes unrecognized due to challenges in clinical assessment and the lack of objective, continuous monitoring tools. Ceribell’s delirium monitoring solution addresses this gap by providing real-time, objective neurological information at the bedside.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Moreover, studies have demonstrated a relationship between seizure and delirium, with one study showing that around 48% of patients experiencing seizures in the ICU had peri-ictal delirium, and another study finding epileptiform discharges in 42% of older ICU patients with delirium. By combining advanced seizure and delirium monitoring capabilities, the Ceribell System can enable clinicians to better understand patient presentation and support more timely clinical decision making.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January 2026, we announced FDA Breakthrough Device Designation for our Large Vessel Occlusion (“LVO”) stroke detection and monitoring solution in development, for adult patients in the hospital setting for whom a reliable neurological exam of LVO stroke is often challenging. This potential first-in-class LVO stroke detection and monitoring solution uses Ceribell’s existing hardware and applies an AI-based algorithm to interpret EEG signals for early detection of LVO stroke. The Breakthrough Device Designation for LVO Stroke represents the latest achievement in Ceribell’s continued efforts to extend its point-of-care EEG brain monitoring technology to additional indications, building on recent FDA 510(k) clearances for our next-generation Clarity® algorithm to detect electrographic seizures in pediatric patients (April 2025) and neonates (November 2025) and our proprietary delirium screening and monitoring solution (December 2025).</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Nearly 800,000 strokes occur annually in the U.S. and up to 17% occur in the hospital. In particular, LVO strokes are medical emergencies and have disproportionately higher morbidity and mortality compared to non-LVO ischemic stroke. Timely detection and access to treatment of LVO stroke can result in tremendous health benefits over patients’ lifetimes, with every minute saved associated with a week of disability-free life. Unlike community-onset stroke, which occurs outside the hospital and often triggers immediate emergency response, stroke detection and treatment in hospitalized patients are often significantly delayed. This leads to worse outcomes, as patients face about three times higher rates of mortality, and are about half as likely to be discharged home.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believe the Breakthrough Device Designation supports the potential of our LVO stroke detection and monitoring solution to improve timely and accurate LVO detection compared to the current standard-of-care, supported by validation through rigorous, prospective, multi-center studies using EEG data and clinical assessments. In addition, we believe this Breakthrough Device designation is another critical milestone that further reinforces our mission to make EEG a new vital sign for better brain care.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generate revenue from two recurring sources – the sale of our Wearables that are intended for single patient use and a monthly subscription fee charged to our hospital customers for use of Clarity, recorders, and our portal. We have experienced rapid growth since we began commercializing the Ceribell System in 2018, expanding our headcount to 327 employees in 2025. We recognized revenue of $89.1 million for the year ended December 31, 2025, compared to revenue of $65.4 million for the year ended December 31, 2024, representing 36% year-over-year growth. For the year ended December 31, 2025, we recognized a gross margin of 88% and a net loss of $53.4 million, compared to a gross margin of 87% and a net loss of $40.5 million for the year ended December 31, 2024. </w:t>
      </w:r>
    </w:p>
    <w:p>
      <w:pPr>
        <w:pStyle w:val="TextBody"/>
        <w:bidi w:val="0"/>
        <w:spacing w:before="360" w:after="283"/>
        <w:jc w:val="both"/>
        <w:rPr>
          <w:rFonts w:ascii="Times New Roman" w:hAnsi="Times New Roman"/>
          <w:sz w:val="20"/>
        </w:rPr>
      </w:pPr>
      <w:r>
        <w:rPr>
          <w:rFonts w:ascii="Times New Roman" w:hAnsi="Times New Roman"/>
          <w:b/>
          <w:color w:val="000000"/>
          <w:sz w:val="20"/>
        </w:rPr>
        <w:t>Our Success Factors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believe the continued growth of our company will be driven by the following success factors: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Paradigm-shifting platform technology capable of becoming the standard of care for brain monitoring in the acute care setting.</w:t>
      </w:r>
      <w:r>
        <w:rPr>
          <w:color w:val="000000"/>
        </w:rPr>
        <w:t xml:space="preserve"> </w:t>
      </w:r>
      <w:r>
        <w:rPr>
          <w:rFonts w:ascii="Times New Roman" w:hAnsi="Times New Roman"/>
          <w:color w:val="000000"/>
          <w:sz w:val="20"/>
        </w:rPr>
        <w:t>We believe the</w:t>
      </w:r>
      <w:r>
        <w:rPr>
          <w:color w:val="000000"/>
        </w:rPr>
        <w:t xml:space="preserve"> </w:t>
      </w:r>
      <w:r>
        <w:rPr>
          <w:rFonts w:ascii="Times New Roman" w:hAnsi="Times New Roman"/>
          <w:color w:val="000000"/>
          <w:sz w:val="20"/>
        </w:rPr>
        <w:t>Ceribell System represents a paradigm-shifting EEG solution for brain monitoring in the acute care setting. This is a field that has experienced minimal innovation since conventional EEG systems were developed in the 1920s. The Ceribell System was specifically designed to address the shortcomings of conventional EEG systems in the acute care setting. Unlike conventional EEG systems, the Ceribell System provides clinicians with rapid access to EEG, bedside seizure detection, and continuous monitoring, which enables more accurate treatment decisions and improved outcomes for critically ill patients. We believe the Ceribell System is positioned to become the standard of care for the detection and management of seizures in these patients. In addition, we believe the platform nature of the Ceribell System will enable us to efficiently pursue other serious neurological conditions beyond seizures. We are in varying stages of development for multiple indications. In 2025, we received 510(k) clearance for our proprietary delirium monitoring solution. In January 2026, we announced FDA Breakthrough Device Designation for our LVO stroke detection and monitoring solution in development for adult patients in the hospital setting, for whom a reliable neurological exam for LVO stroke is often challenging.</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Compelling benefits supported by a robust body of clinical and real-world evidence.</w:t>
      </w:r>
      <w:r>
        <w:rPr>
          <w:color w:val="000000"/>
        </w:rPr>
        <w:t xml:space="preserve"> </w:t>
      </w:r>
      <w:r>
        <w:rPr>
          <w:rFonts w:ascii="Times New Roman" w:hAnsi="Times New Roman"/>
          <w:color w:val="000000"/>
          <w:sz w:val="20"/>
        </w:rPr>
        <w:t>The Ceribell System was designed to optimize patient care and hospital workflow through improved EEG access, quicker detection of seizures and delirium, continuous monitoring, and improved clinical decision-making. These attributes of the Ceribell System successfully translate into improved clinical care, which has been shown to improve patient outcomes and hospital and payer economics. The clinical and economic benefits of the Ceribell System are supported by a significant body of evidence that includes over 140 peer-reviewed publications and published conference abstracts. We believe our clinical evidence and real-world case studies will continue to support the adoption of the Ceribell System.</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 xml:space="preserve">Large addressable market opportunity with a significant unmet need. </w:t>
      </w:r>
      <w:r>
        <w:rPr>
          <w:rFonts w:ascii="Times New Roman" w:hAnsi="Times New Roman"/>
          <w:color w:val="000000"/>
          <w:sz w:val="20"/>
        </w:rPr>
        <w:t>Prolonged seizures, particularly non-convulsive seizures, are highly prevalent in critically ill patients in the acute care setting and are associated with significant morbidity and mortality. While conventional EEG can be used to detect seizures in these patients, the inherent limitations of conventional EEG systems have resulted in a significant underutilization of this necessary and often lifesaving technology. By providing hospitals with 24/7 bedside assessment and continuous monitoring of seizure activity, we believe the Ceribell System enables hospitals to promptly and more appropriately care for critically ill patients. With the inclusion of neonates, we believe that the Ceribell System can expand the use of EEG to the over three million acute care patients in the United States who we believe should be monitored with EEG each year due to high risk of seizures. We believe that with our recently expanded indication for delirium, our annual addressable market opportunity has increased to over $3.5 billion. Further future indication and geographic expansion opportunities could represent a significant market opportunity.</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Recurring, predictable, and scalable revenue model with attractive gross margins.</w:t>
      </w:r>
      <w:r>
        <w:rPr>
          <w:color w:val="000000"/>
        </w:rPr>
        <w:t xml:space="preserve"> </w:t>
      </w:r>
      <w:r>
        <w:rPr>
          <w:rFonts w:ascii="Times New Roman" w:hAnsi="Times New Roman"/>
          <w:color w:val="000000"/>
          <w:sz w:val="20"/>
        </w:rPr>
        <w:t>We generate revenue primarily from two recurring sources – the sale of our single use, disposable Wearables and a monthly subscription fee for the use of Clarity, recorders, and our portal. Once we onboard an account, we have historically observed high retention rates. We believe that our track record of customer retention and our recurring revenue model improve the predictability of our revenue. Both our disposable Wearable and subscription revenue streams offer significant visibility and produce high gross margins. For the years ended December 31, 2025 and 2024, we generated gross margins of 88% and 87%, respectively, with subscription gross margins of 97%, respectively for both years. We have also developed a highly scalable commercial model that combines TMs focused on new customer adoption and onboarding and CAMs focused on driving utilization with limited case coverage support, which we believe will support efficient growth and greater operating leverage. We believe the attractive attributes of our business model will allow us to continue to invest in growth initiatives while driving the Company towards profitability.</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 xml:space="preserve">Strong competitive position with first mover advantage. </w:t>
      </w:r>
      <w:r>
        <w:rPr>
          <w:rFonts w:ascii="Times New Roman" w:hAnsi="Times New Roman"/>
          <w:color w:val="000000"/>
          <w:sz w:val="20"/>
        </w:rPr>
        <w:t>In May 2023, Clarity became the first device to receive 510(k) clearance from the FDA for diagnosing ESE in adult patients at risk for seizure. In December 2025, the FDA granted 510(k) clearance for our proprietary delirium monitoring solution, the first and only FDA-cleared delirium screening and continuous monitoring device. We have deployed a wide range of strategies to strengthen our competitive advantage. We have invested sizeable resources in developing a comprehensive wholly-owned intellectual property portfolio. Additionally, we have invested in building data science and AI capabilities, which would be costly and difficult to replicate. Portions of this database have been used to inform our proprietary, AI-powered algorithm for seizure detection and will enable us to develop algorithms for indications beyond seizures and delirium. We have also established a sophisticated onboarding program, which includes onsite training and ongoing education as well as workflow and IT integration, all of which help to build customer loyalty and strengthen our competitive position and customer retention.</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Established reimbursement.</w:t>
      </w:r>
      <w:r>
        <w:rPr>
          <w:color w:val="000000"/>
        </w:rPr>
        <w:t xml:space="preserve"> </w:t>
      </w:r>
      <w:r>
        <w:rPr>
          <w:rFonts w:ascii="Times New Roman" w:hAnsi="Times New Roman"/>
          <w:color w:val="000000"/>
          <w:sz w:val="20"/>
        </w:rPr>
        <w:t>The Ceribell System enables our customers to operate under the existing reimbursement structure for EEG, which has well-established reimbursement levels via the Medicare Severity Diagnosis Related Group (“MS-DRG”) classification system and Current Procedural Terminology (“CPT”) codes. Given the wide variety of underlying acute conditions that may lead to seizures in critically ill patients, use of the Ceribell System is reimbursed across a large and diverse base of MS-DRGs. As a result, we believe that the Ceribell System is less subject to targeted reimbursement changes to individual MS-DRGs. In addition, our newest Clarity algorithm is the first neurodiagnostic to achieve both Breakthrough Device Designation from the FDA and NTAP from CMS. For eligible patients, the NTAP enables hospitals to receive additional reimbursement for each qualifying inpatient admission during which the new Clarity algorithm is used.</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 xml:space="preserve">Experienced leadership team. </w:t>
      </w:r>
      <w:r>
        <w:rPr>
          <w:rFonts w:ascii="Times New Roman" w:hAnsi="Times New Roman"/>
          <w:color w:val="000000"/>
          <w:sz w:val="20"/>
        </w:rPr>
        <w:t>Our senior management team consists of industry professionals with deep industry expertise across various disciplines, including sales and marketing, engineering, data science, and manufacturing.</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Our Growth Strategies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mission is to establish the Ceribell System as the standard of care for EEG in the acute care setting and help clinicians save patients' lives. The key elements of our growth strategy include:</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 xml:space="preserve">Increase adoption of the Ceribell System by new accounts. </w:t>
      </w:r>
      <w:r>
        <w:rPr>
          <w:rFonts w:ascii="Times New Roman" w:hAnsi="Times New Roman"/>
          <w:color w:val="000000"/>
          <w:sz w:val="20"/>
        </w:rPr>
        <w:t>There are</w:t>
      </w:r>
      <w:r>
        <w:rPr>
          <w:color w:val="000000"/>
        </w:rPr>
        <w:t xml:space="preserve"> </w:t>
      </w:r>
      <w:r>
        <w:rPr>
          <w:rFonts w:ascii="Times New Roman" w:hAnsi="Times New Roman"/>
          <w:color w:val="000000"/>
          <w:sz w:val="20"/>
        </w:rPr>
        <w:t>approximately 6,000 acute care facilities with an Intensive Care Unit (“ICU”) or Emergency Department (“ED”) or both in the United States. We believe these could benefit from the Ceribell System because the patients arriving at such facilities may experience seizures or delirium triggered by the conditions leading them to seek acute medical care. Our receipt of full FedRAMP® (Federal Risk and Authorization Management Program) High authorization from the U.S. government in April 2025 enables approximately 170 Veterans Administration hospitals to potentially purchase our products. As of December 31, 2025, we have successfully deployed the Ceribell System to more than 600 hospitals, ranging from top academic centers to small community hospitals. We believe that all acute care facilities in the United States can benefit from the Ceribell System, and our goal is to establish the Ceribell System as the standard of care for the detection and management of seizures in critically ill patients. To drive further adoption of the Ceribell System, we leverage our commercial infrastructure, including TMs, who focus on new account acquisition and onboarding, and CAMs, who focus on ongoing account coverage to increase utilization and further support hospital onboarding. Our commercial team engages with customers to communicate the value proposition of the Ceribell System, leveraging our large base of clinical evidence.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Drive utilization of the Ceribell System within our existing customer base.</w:t>
      </w:r>
      <w:r>
        <w:rPr>
          <w:color w:val="000000"/>
        </w:rPr>
        <w:t xml:space="preserve"> </w:t>
      </w:r>
      <w:r>
        <w:rPr>
          <w:rFonts w:ascii="Times New Roman" w:hAnsi="Times New Roman"/>
          <w:color w:val="000000"/>
          <w:sz w:val="20"/>
        </w:rPr>
        <w:t xml:space="preserve">We believe there are over three million acute care patients in the United States who should be monitored with EEG each year due to high risk of seizures. Currently, many of these patients are not promptly monitored by EEG, as a physician may not be aware of the risk of seizures in a given patient population. Our CAMs work to educate our customers to raise awareness of our technology, non-convulsive seizures, delirium, and the risks of delayed treatment. Even at facilities with access to the Ceribell System, clinicians may not use Ceribell on all eligible patients if they are not fully aware of the risks of seizures and delirium and the benefits of our solution. We aim to support hospitals in their efforts to integrate Ceribell into protocols for different patient populations, based on established guidelines. We are also continuing our efforts to expand to new hospital departments and provide training to more providers.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 xml:space="preserve">Continue to drive awareness of seizures and delirium in the acute care setting. </w:t>
      </w:r>
      <w:r>
        <w:rPr>
          <w:rFonts w:ascii="Times New Roman" w:hAnsi="Times New Roman"/>
          <w:color w:val="000000"/>
          <w:sz w:val="20"/>
        </w:rPr>
        <w:t xml:space="preserve">We continue to focus on increasing awareness of the prevalence of seizures and delirium in critically ill patient populations among intensive care and emergency medicine clinicians in the acute care setting. Based on our experience, many providers underappreciate the full spectrum of underlying conditions that may result in non-convulsive seizures, which generally cannot be reliably and confidently diagnosed on an empirical basis. We also aim to educate providers on the importance of prompt diagnosis and treatment of seizures and delirium, including the relevant medical society guidelines that recommend EEG be applied promptly when status epilepticus is suspected and in various conditions in which the risk of status epilepticus is high. We work to achieve these objectives by directly engaging with clinicians, investing in marketing initiatives, and supporting clinical research that validates the importance of early diagnosis and treatment of seizures and delirium.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 xml:space="preserve">Invest in further growing our base of clinical evidence. </w:t>
      </w:r>
      <w:r>
        <w:rPr>
          <w:rFonts w:ascii="Times New Roman" w:hAnsi="Times New Roman"/>
          <w:color w:val="000000"/>
          <w:sz w:val="20"/>
        </w:rPr>
        <w:t>Clinical evidence is important to demonstrating our value. We conduct sponsored clinical studies and also provide support for independent investigator-initiated trials that evaluate different aspects of the Ceribell System.</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Continue to improve and innovate the Ceribell System.</w:t>
      </w:r>
      <w:r>
        <w:rPr>
          <w:color w:val="000000"/>
        </w:rPr>
        <w:t xml:space="preserve"> </w:t>
      </w:r>
      <w:r>
        <w:rPr>
          <w:rFonts w:ascii="Times New Roman" w:hAnsi="Times New Roman"/>
          <w:color w:val="000000"/>
          <w:sz w:val="20"/>
        </w:rPr>
        <w:t>Our research and development initiatives are focused on introducing new features and improvements aimed at increasing the value provided by the Ceribell System in the acute care setting. We have introduced multiple iterations of our Clarity seizure detection algorithm, increasing both the sensitivity and specificity of the algorithm since the initial introduction, and expect to continue to drive further improvements of Clarity in the future.</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Expand into new indications and clinical use cases beyond seizures and delirium.</w:t>
      </w:r>
      <w:r>
        <w:rPr>
          <w:color w:val="000000"/>
        </w:rPr>
        <w:t xml:space="preserve"> </w:t>
      </w:r>
      <w:r>
        <w:rPr>
          <w:rFonts w:ascii="Times New Roman" w:hAnsi="Times New Roman"/>
          <w:color w:val="000000"/>
          <w:sz w:val="20"/>
        </w:rPr>
        <w:t>We believe EEG offers one of the richest datasets of brain activity. While the clinical use of EEG has historically been limited to the identification of seizures, EEGs have been scientifically demonstrated to aid in the detection of a wide variety of other neurological conditions. We intend to leverage our proprietary database of acute care EEG recordings and our data science and AI capabilities to identify patterns in EEG waveforms that may allow us to expand the use of the Ceribell System to other indications, both in the acute care setting and beyond. In 2025, we received 510(k) clearance for our delirium detection and continuous monitoring solution. In January 2026, we announced FDA Breakthrough Device Designation for our LVO stroke detection and monitoring solution in development for adult patients in the hospital setting, for whom a reliable neurological exam for LVO stroke is often challenging. We are also developing second-generation hardware with additional features to support potential future indications. In the longer term, we are aiming to develop solutions for use beyond the acute care setting by identifying biomarkers for non-acute neurological and psychiatric conditions.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Pursue adjacent and international markets.</w:t>
      </w:r>
      <w:r>
        <w:rPr>
          <w:color w:val="000000"/>
        </w:rPr>
        <w:t xml:space="preserve"> </w:t>
      </w:r>
      <w:r>
        <w:rPr>
          <w:rFonts w:ascii="Times New Roman" w:hAnsi="Times New Roman"/>
          <w:color w:val="000000"/>
          <w:sz w:val="20"/>
        </w:rPr>
        <w:t>There are approximately 6,000 acute care facilities in the United States that we believe could benefit from the Ceribell System. In addition, we believe that the Ceribell System offers compelling benefits to other types of institutions beyond this core market. In the future, we plan to establish our presence internationally. While our current commercial focus is on the United States, we have received a CE Mark for the Ceribell System in Europe, and we intend to pursue additional regulatory clearances in Europe in the future, and elsewhere outside of the United States. We also plan to engage in market access initiatives in attractive international regions in which we see significant opportunity.</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Market Overview</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Overview of Seizures in the Acute Care Setting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seizure is a transient occurrence of abnormal, excessive or synchronous neuronal activity in the brain that causes a range of clinical symptoms and, if undetected and left untreated, can be life threatening. Seizures generally manifest as a result of an underlying condition, which may be a chronic disorder such as epilepsy or a response to a serious, acute condition, such as brain tumors, traumatic brain injury, stroke, cardiac arrest, and sepsis, among others.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 clinical context, a seizure lasting longer than five minutes is known as status epilepticus, which is a serious medical emergency that is associated with severe long-term cognitive disability or death.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Prompt detection and treatment of status epilepticus are crucial for avoiding long-term consequences and likely improving patient outcomes. At the same time, we believe that, unlike sepsis, stroke, and cardiac arrest, most hospitals do not have defined protocols for identifying and treating status epilepticus. Multiple studies have established that morbidity and mortality rates for status epilepticus are strongly correlated to seizure duration. Response rates to first-line anti-seizure medication are significantly higher when the medication is administered promptly following the onset of seizures. </w:t>
      </w:r>
    </w:p>
    <w:p>
      <w:pPr>
        <w:pStyle w:val="TextBody"/>
        <w:bidi w:val="0"/>
        <w:jc w:val="left"/>
        <w:rPr/>
      </w:pPr>
      <w:r>
        <w:rPr/>
        <w:t> </w:t>
      </w:r>
    </w:p>
    <w:p>
      <w:pPr>
        <w:pStyle w:val="TextBody"/>
        <w:bidi w:val="0"/>
        <w:jc w:val="both"/>
        <w:rPr/>
      </w:pPr>
      <w:r>
        <w:rPr/>
        <w:t> </w:t>
      </w:r>
    </w:p>
    <w:tbl>
      <w:tblPr>
        <w:tblW w:w="10578" w:type="dxa"/>
        <w:jc w:val="left"/>
        <w:tblInd w:w="0" w:type="dxa"/>
        <w:tblLayout w:type="fixed"/>
        <w:tblCellMar>
          <w:top w:w="28" w:type="dxa"/>
          <w:left w:w="28" w:type="dxa"/>
          <w:bottom w:w="28" w:type="dxa"/>
          <w:right w:w="28" w:type="dxa"/>
        </w:tblCellMar>
      </w:tblPr>
      <w:tblGrid>
        <w:gridCol w:w="5396"/>
        <w:gridCol w:w="146"/>
        <w:gridCol w:w="5036"/>
      </w:tblGrid>
      <w:tr>
        <w:trPr/>
        <w:tc>
          <w:tcPr>
            <w:tcW w:w="5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36" w:type="dxa"/>
            <w:tcBorders/>
            <w:vAlign w:val="center"/>
          </w:tcPr>
          <w:p>
            <w:pPr>
              <w:pStyle w:val="TableContents"/>
              <w:bidi w:val="0"/>
              <w:spacing w:before="0" w:after="283"/>
              <w:jc w:val="left"/>
              <w:rPr>
                <w:sz w:val="4"/>
                <w:szCs w:val="4"/>
              </w:rPr>
            </w:pPr>
            <w:r>
              <w:rPr>
                <w:sz w:val="4"/>
                <w:szCs w:val="4"/>
              </w:rPr>
            </w:r>
          </w:p>
        </w:tc>
      </w:tr>
      <w:tr>
        <w:trPr/>
        <w:tc>
          <w:tcPr>
            <w:tcW w:w="539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3362325" cy="2962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362325" cy="2962275"/>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03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3114675" cy="29813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114675" cy="2981325"/>
                          </a:xfrm>
                          <a:prstGeom prst="rect">
                            <a:avLst/>
                          </a:prstGeom>
                        </pic:spPr>
                      </pic:pic>
                    </a:graphicData>
                  </a:graphic>
                </wp:inline>
              </w:drawing>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Given the impact of prompt detection on treatment success and outcomes, medical society guidelines emphasize the need for prompt EEG monitoring for patients at risk of status epilepticus. For example, the Neurocritical Care Society (“NCS”) guidelines recommend continuous EEG monitoring within 15-60 minutes to evaluate for nonconvulsive status epilepticus. Further, guidelines from the American Heart Association (“AHA”) and American Stroke Association (“ASA”) have confirmed the importance of EEG monitoring for certain cardiac arrest and stroke patients who are at high risk of seizures. In addition to the importance of prompt detection, continuous monitoring for seizure activity is critical to the successful management of patients, as status epilepticus may continue or reemerge even after treatment with anti-seizure medication is administered. Likewise, guidelines from the American Clinical Neurophysiology Society (“ACNS”) recommend urgent continuous EEG for high-risk neonates, with monitoring lasting at least 24 hours, or until absence of seizure is established.</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Challenges of Managing Seizures in the Acute Care Setting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Seizures in the acute care setting are particularly challenging to detect and often go undiagnosed because they predominantly present as non-convulsive. For example, it is estimated that up to 92% of all seizures in the ICU are non-convulsive. EEG is the only test that can definitively confirm a seizure diagnosis and is critical for making informed treatment decisions. EEG converts electrical brain activity to visual, continuous waveforms, which must be interpreted by a specially trained neurologist, such as an epileptologist or neurophysiologist, to diagnose seizures or other neurological conditions.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Image of EEG Waveforms</w:t>
      </w:r>
    </w:p>
    <w:p>
      <w:pPr>
        <w:pStyle w:val="TextBody"/>
        <w:bidi w:val="0"/>
        <w:jc w:val="both"/>
        <w:rPr/>
      </w:pPr>
      <w:r>
        <w:rPr/>
        <w:t> </w:t>
      </w:r>
    </w:p>
    <w:p>
      <w:pPr>
        <w:pStyle w:val="TextBody"/>
        <w:bidi w:val="0"/>
        <w:jc w:val="center"/>
        <w:rPr/>
      </w:pPr>
      <w:r>
        <w:rPr/>
        <w:drawing>
          <wp:inline distT="0" distB="0" distL="0" distR="0">
            <wp:extent cx="3390900" cy="17907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390900" cy="1790700"/>
                    </a:xfrm>
                    <a:prstGeom prst="rect">
                      <a:avLst/>
                    </a:prstGeom>
                  </pic:spPr>
                </pic:pic>
              </a:graphicData>
            </a:graphic>
          </wp:inline>
        </w:drawing>
      </w:r>
    </w:p>
    <w:p>
      <w:pPr>
        <w:pStyle w:val="TextBody"/>
        <w:bidi w:val="0"/>
        <w:jc w:val="left"/>
        <w:rPr/>
      </w:pPr>
      <w:r>
        <w:rPr/>
        <w:t> </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Conventional EEG System</w:t>
      </w:r>
    </w:p>
    <w:p>
      <w:pPr>
        <w:pStyle w:val="TextBody"/>
        <w:bidi w:val="0"/>
        <w:jc w:val="both"/>
        <w:rPr/>
      </w:pPr>
      <w:r>
        <w:rPr/>
        <w:t> </w:t>
      </w:r>
    </w:p>
    <w:p>
      <w:pPr>
        <w:pStyle w:val="TextBody"/>
        <w:bidi w:val="0"/>
        <w:jc w:val="center"/>
        <w:rPr/>
      </w:pPr>
      <w:r>
        <w:rPr/>
        <w:drawing>
          <wp:inline distT="0" distB="0" distL="0" distR="0">
            <wp:extent cx="1333500" cy="18383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333500" cy="1838325"/>
                    </a:xfrm>
                    <a:prstGeom prst="rect">
                      <a:avLst/>
                    </a:prstGeom>
                  </pic:spPr>
                </pic:pic>
              </a:graphicData>
            </a:graphic>
          </wp:inline>
        </w:drawing>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Conventional EEG systems consist of reusable or single-use electrodes, which are manually attached to the patient’s scalp, and capital equipment, which includes an amplifier, computer module, and display device for transmitting, recording, and displaying the EEG data. Conventional EEG systems were originally designed in the 1920s for use in the outpatient setting, primarily for the diagnosis and management of epilepsy. As such, they were designed with the goal of understanding the precise region of the brain in which seizure activity occurs, rather than to achieve a rapid seizure diagnosis.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the acute care setting, rapid diagnosis and continuous monitoring are necessary for optimal patient management. While conventional EEG systems are also used in the acute care setting, their inherent limitations in this setting have contributed to significant delays in seizure diagnosis and suboptimal patient care and clinical outcomes. In this context, Ceribell and numerous study authors measure the quality of patient care by the timeliness of treatment of seizures, the administration of appropriate medication, and avoidance of hospital transfers, and measure clinical outcomes by the incidence of mortality and functional disability, duration of seizure activity, and length of hospital stay associated with seizure activity. The inherent limitations of conventional systems noted above, which include long and manual processes that must be performed by specialized personnel, contribute to delayed, and in some cases outright lack of, access to EEG. For a discussion of studies evaluating patient care and clinical outcomes with conventional EEG systems compared to the Ceribell System in the acute care setting, see “—Our Clinical Results and Economic Evidence.”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Conventional EEG systems require set up by specialized EEG technicians who must undergo advanced training and obtain certifications. Nationally, there is a shortage of such technicians, and the infrastructure costs required to staff technicians 24/7 are generally too high for all but the largest and most well-funded medical centers. In most community-based hospitals, EEG technicians are generally only staffed during normal daytime business hours from Monday through Friday. This results in significant gaps in EEG coverage. For example, a hospital that has EEG technicians available for its ICU from 9:00am to 5:00pm Monday through Friday (i.e., 40 hours a week) would lack EEG coverage for 76% of each week (80 hours on weekdays, plus 48 hours on weekends). On-call services may be available outside of standard business hours, but utilizing these services results in additional delays in EEG access and incremental costs as a result of overtime pay. While large academic hospitals may provide greater EEG coverage, general workflow limitations may still result in significant delays in EEG access. Moreover, we believe that many EDs do not use EEGs as a standard practice due to the significant gaps in access.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Conventional EEG systems consist of large and cumbersome capital equipment which is generally not stored in the acute care setting due to space constraints and, as such, must be located and transported to the patient. When the EEG technician finally arrives at the bedside with the equipment, the setup process is long, complex, and labor-intensive. The EEG technician will measure the patient’s head to determine electrode placement, then manually part the patient’s hair, scrub the skin to remove dead skin cells, apply a conductive gel to form electrical connectivity between the skin and the EEG electrode and then tape the electrode to the patient’s skin. This process is repeated for each individual electrode and typically takes up to 30 minutes to complete. The combination of these factors can result in multi-hour, or even multi-day, delays in EEG administration and interpretation in the acute care setting. Such delays are significantly longer than recommendations from NCS guidelines and do not sufficiently meet the needs of patients at risk of seizure. Further, at non-academic, community hospitals, patients who experience status epilepticus may see further delays in receiving an EEG due to staffing limitations.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Once EEG signal is acquired, the recording must be interpreted by a specially trained neurologist. Similar to EEG technicians, there is a nationwide shortage of neurologists, with demand estimated to exceed supply by almost 20%. EEG interpretation is a complicated and time-consuming task, as each page of EEG data typically only represents 15 seconds of brain activity. Neurologists are not always immediately available to interpret urgent EEG requests, further contributing to delays in diagnosis. A peer-reviewed publication of survey results from 97 respondent hospitals showed a majority of physicians at such hospitals reviewed EEG results only twice or less a day, and only 5% of physicians in such hospitals continuously reviewed EEG records. When neurologists only review EEGs periodically, diagnosis of seizures that emerge after initial review can be delayed and can restrict the clinician’s ability to provide optimal care.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Due to the delays in diagnosis caused by the many limitations of conventional EEG, bedside clinicians are often left with three unappealing choices – wait to treat the patient until an EEG test is administered and a diagnosis is made, treat the patient empirically without the benefit of EEG data, or transfer the patient to a better equipped facility. The decision to delay treatment for hours until a conventional EEG is administered may lead to poor outcomes, such as long-term cognitive impairment or even death, if the patient is indeed experiencing status epilepticus. The decision to treat empirically without an EEG creates the potential for unnecessary treatment with anti-seizure medication, likely resulting in preventable intubation and increased length of stay. In addition, treating the patient prophylactically runs counter to medical society guidelines published by both the AHA and ASA, given the potential for unnecessary comorbidities. The decision to transfer a patient to another institution may result in further delays in potentially necessary treatment and increased costs related to transporting the patient. None of these choices is appealing to clinicians, as each may result in poor clinical outcomes for the patient as well as cost burdens on the hospital and payers.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citations to the studies relating to the benefits of the Ceribell System discussed above, see “—Our Clinical Results and Economic Evidence.”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Clinical Need Beyond Seizures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large volume of scientific and clinical evidence has suggested that EEG can be used to diagnose a wide variety of additional neurological conditions both within and outside of the acute care setting. While EEG is routinely used to diagnose seizures, it is not widely used to diagnose these other neurological conditions. This is a result of limitations in EEG access as well as the lack of training and capabilities of humans to identify other neurological conditions through interpretation of EEG waveforms.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Beyond seizure, two of the most common neurological conditions that patients face in the ICU include delirium and stroke. Delirium alone is a condition impacting over three million patients each year, and is often referred to as “acute brain failure.” Each day in the ICU with delirium carries a 10% higher mortality risk, and the risk of developing dementia is at least 60% higher if patients experience delirium during their ICU stay. The standard of care for diagnosis of delirium is the CAM-ICU, a behavior-based nursing protocol. This tool has significant shortcomings. Administration of CAM-ICU is burdensome, resulting in measurement typically no more than once or twice per day. The result of the test is also binary. Further, the test can only be administered on responsive patients that speak English, excluding a meaningful number of patients in the ICU. Taken together, these challenges result in suboptimal delirium management in many cases, as it can be extremely difficult to perform longitudinal assessment of a patient’s mental state and assess whether the patient is improving or deteriorating.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Stroke is a common condition impacting 800,000 patients per year in the U.S. Though most stroke occurs in the community setting, roughly 17% of stroke occurs in patients who are already admitted to the hospital. If administered promptly, the treatment for LVO stroke is well established. This includes thrombolysis and mechanical thrombectomy. However, if administration is delayed, treatment may become ineffective, potentially resulting in irreversible loss of brain function. Despite proximity to diagnostic equipment and life-saving therapies, strokes occurring in the critical care setting often have worse outcomes than those occurring in the community. This is in part because it is much more difficult to quickly establish changes in neurological function when patients are sedated, intubated, or have underlying conditions impacting cognition and behavior. We believe that an objective and continuous measurement of brain function could help clinicians to more promptly identify stroke in this patient population and improve speed of intervention and outcomes.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Addressable Market Opportunity in Seizures and Beyond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Given the inherent limitations of conventional EEG systems, we believe that EEG has been significantly underutilized in the detection and management of seizures in the acute care setting. By providing our customers with a tool that can be promptly administered and leveraged to inform treatment decisions at the bedside, we believe the Ceribell System has the ability to meaningfully expand the use of EEG to a significantly broader set of acute care patients who should be monitored due to high risk of seizures and other conditions. Based on the experiences of several hospitals that have studied the impact of the Ceribell System on their institutions, we believe that adoption of the Ceribell System will drive an increase in EEG testing volumes.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are over three million acute care patients in the United States who we believe should be monitored with EEG each year due to high risk of seizures, based on clinical literature and medical society guidelines. We believe our total addressable market for seizures in the U.S. is $2.5 billion, representing the potential opportunity for the sale of single-use Wearables, as well as the potential opportunity for the sale of the Ceribell System hardware and subscriptions to Clarity, recorders and our portal, in each case to acute care facilities. We further believe that delirium ICU monitoring represents an at least $1.0 billion additional market opportunity in the U.S. alone.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While our current commercial focus is on the United States, we have received a CE Mark for the Ceribell System in Europe, and we intend to pursue additional regulatory clearances in Europe in the future, and elsewhere outside of the United States. We plan to engage in market access initiatives in attractive international regions in which we see significant opportunity. We believe acute care EEG monitoring is underutilized worldwide and that a significant opportunity exists for the Ceribell System to improve patient care and neurologic monitoring.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future, we intend to leverage our proprietary database of EEG recordings and our data science and AI capabilities to identify patterns in EEG waveforms that would allow us to expand the use of the Ceribell system. We believe that the Ceribell System can be deployed with novel algorithms for various indications in the acute care setting using our existing hardware platform and commercial infrastructure, which would enable us to monitor patients for multiple neurological conditions simultaneously. In 2025, we received 510(k) clearance for delirium monitoring in adults. We believe that the launch of this product will increase the value proposition among many patients in our current population who are currently at risk for delirium.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January 2026, we announced that we have received FDA Breakthrough Device Designation for our LVO stroke detection and monitoring solution in development for adult patients in the hospital setting for whom a reliable neurological exam for LVO stroke are often challenging. Although we have not yet applied for marketing authorization from the FDA for the use of the Ceribell System in relation to LVO or other forms of stroke, we believe that the Ceribell System could positively impact current triage practices for stroke. We also believe that expansion of our indications could represent a significant market opportunity. Prior to commercialization for LVO stroke detection and monitoring, we would need to apply for and obtain the required marketing authorization. Based on our current development plans, we expect to apply to FDA for such marketing authorization within the next three years. However, this expectation is subject to change based on various factors. Even if we successfully apply for marketing authorization for this indication, there is no guarantee that we will obtain the marketing authorization within the expected timeline, or at all, and at this stage in our development plans we do not have an intended timeline for commercialization of the product or services related to LVO stroke. We also plan to explore utility of our product in other clinical settings and in establishing biomarkers for neurological and psychiatric conditions.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Our Solution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designed the Ceribell System to address the limitations of conventional EEG in the acute care setting and improve the clinical outcomes of critically ill patients at risk of seizures. The Ceribell System is a novel, point-of-care EEG platform that integrates proprietary, highly portable, and simple-to-use hardware with AI-powered algorithms to aid in the detection and management of seizures. We currently commercialize the Ceribell System in the United States, where it has been adopted by more than 600 hospitals.</w:t>
      </w:r>
    </w:p>
    <w:p>
      <w:pPr>
        <w:pStyle w:val="TextBody"/>
        <w:bidi w:val="0"/>
        <w:jc w:val="both"/>
        <w:rPr/>
      </w:pPr>
      <w:r>
        <w:rPr/>
        <w:t> </w:t>
      </w:r>
    </w:p>
    <w:p>
      <w:pPr>
        <w:pStyle w:val="TextBody"/>
        <w:bidi w:val="0"/>
        <w:jc w:val="center"/>
        <w:rPr/>
      </w:pPr>
      <w:r>
        <w:rPr/>
        <w:drawing>
          <wp:inline distT="0" distB="0" distL="0" distR="0">
            <wp:extent cx="6858000" cy="31813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858000" cy="3181350"/>
                    </a:xfrm>
                    <a:prstGeom prst="rect">
                      <a:avLst/>
                    </a:prstGeom>
                  </pic:spPr>
                </pic:pic>
              </a:graphicData>
            </a:graphic>
          </wp:inline>
        </w:drawing>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hardware is composed of disposable Wearables and a pocket-sized, rechargeable battery-operated recorder used to capture and wirelessly transmit EEG signals generated by Wearables. The raw EEG data is accessible through our web portal that enables real-time remote review by neurologists. The data captured by the recorder is also monitored by Clarity, our AI-powered seizure detection algorithm. Leveraging our proprietary database of EEG recordings, Clarity is designed to interpret a patient’s EEG waveforms and display actionable insights regarding seizure activity on the recorder, including automatic alerts in the event of status epilepticus. Since launching, we have regularly updated the Clarity algorithm using additional data and our AI capabilities to enhance its performance.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believe the Ceribell System eliminates many of the limitations and inherent bottlenecks in the conventional EEG infrastructure that lead to suboptimal patient care, offering the following highly differentiated features and capabilities: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Rapid setup by any trained healthcare professional.</w:t>
      </w:r>
      <w:r>
        <w:rPr>
          <w:color w:val="000000"/>
        </w:rPr>
        <w:t xml:space="preserve"> </w:t>
      </w:r>
      <w:r>
        <w:rPr>
          <w:rFonts w:ascii="Times New Roman" w:hAnsi="Times New Roman"/>
          <w:color w:val="000000"/>
          <w:sz w:val="20"/>
        </w:rPr>
        <w:t>The Ceribell System is highly portable and designed for rapid setup, enabling initiation of EEG in as little as five minutes with limited training required. The system is straightforward and intuitive, and we are generally able to train new users and establish proficiency in approximately one hour. This allows the Ceribell System to be applied by any non-specialized healthcare professional, reducing reliance on specialized EEG technicians and eliminating one of the biggest bottlenecks in the conventional EEG infrastructure.</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Bedside EEG interpretation.</w:t>
      </w:r>
      <w:r>
        <w:rPr>
          <w:color w:val="000000"/>
        </w:rPr>
        <w:t xml:space="preserve"> </w:t>
      </w:r>
      <w:r>
        <w:rPr>
          <w:rFonts w:ascii="Times New Roman" w:hAnsi="Times New Roman"/>
          <w:color w:val="000000"/>
          <w:sz w:val="20"/>
        </w:rPr>
        <w:t>Clarity, our AI-powered algorithm, analyzes and converts EEG waveforms into a seizure burden trend, which can be interpreted by any licensed clinician at the bedside to provide actionable information on seizure activity. This can be used to support prompt diagnosis, inform better patient care, and determine whether the patient is responding to treatment.</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Continuous, automated patient monitoring.</w:t>
      </w:r>
      <w:r>
        <w:rPr>
          <w:color w:val="000000"/>
        </w:rPr>
        <w:t xml:space="preserve"> </w:t>
      </w:r>
      <w:r>
        <w:rPr>
          <w:rFonts w:ascii="Times New Roman" w:hAnsi="Times New Roman"/>
          <w:color w:val="000000"/>
          <w:sz w:val="20"/>
        </w:rPr>
        <w:t>Through Clarity, the Ceribell System makes continuous monitoring for potential seizure activity much easier and automatically alerts clinicians in the event of suspected prolonged seizure activity so that appropriate care can be promptly administered.</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Remote access to EEG data with AI-powered insights.</w:t>
      </w:r>
      <w:r>
        <w:rPr>
          <w:color w:val="000000"/>
        </w:rPr>
        <w:t xml:space="preserve"> </w:t>
      </w:r>
      <w:r>
        <w:rPr>
          <w:rFonts w:ascii="Times New Roman" w:hAnsi="Times New Roman"/>
          <w:color w:val="000000"/>
          <w:sz w:val="20"/>
        </w:rPr>
        <w:t xml:space="preserve">The Ceribell System features our cloud-based portal, an intuitive EEG management platform which enables remote access to EEG data on any web-enabled device and provides AI-powered insights to simplify and support efficient EEG interpretation by any licensed clinician without requiring bedside presence.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Key Benefits of the Ceribell System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differentiated features of the Ceribell System enable our hospital customers to offer optimal patient care while delivering improved economics for both the hospital and payers. The benefits delivered by the Ceribell System include:</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Early seizure detection and improved patient outcomes.</w:t>
      </w:r>
      <w:r>
        <w:rPr>
          <w:color w:val="000000"/>
        </w:rPr>
        <w:t xml:space="preserve"> </w:t>
      </w:r>
      <w:r>
        <w:rPr>
          <w:rFonts w:ascii="Times New Roman" w:hAnsi="Times New Roman"/>
          <w:color w:val="000000"/>
          <w:sz w:val="20"/>
        </w:rPr>
        <w:t>The Ceribell System can be quickly deployed by any non-specialized healthcare professional with limited training required, reducing the time required to begin an EEG test to as little as five minutes, compared to several hours or potentially days for conventional EEG systems. Once the Ceribell System is applied, Clarity automatically and continuously monitors the patient for seizure activity, further reducing time to diagnosis and empowering bedside clinicians to make real-time decisions and optimize treatment. Peer-reviewed studies indicate that this results in improved patient care and outcomes, including shorter hospital stays and reductions in unnecessary administration of anti-seizure medication, intubation, and patient transfers.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Improved hospital and payer economics.</w:t>
      </w:r>
      <w:r>
        <w:rPr>
          <w:color w:val="000000"/>
        </w:rPr>
        <w:t xml:space="preserve"> </w:t>
      </w:r>
      <w:r>
        <w:rPr>
          <w:rFonts w:ascii="Times New Roman" w:hAnsi="Times New Roman"/>
          <w:color w:val="000000"/>
          <w:sz w:val="20"/>
        </w:rPr>
        <w:t>By providing hospitals with 24/7 access to EEG without a significant incremental investment in personnel and capital equipment, we believe that the Ceribell System has the potential to reduce the cost burdens associated with the monitoring and management of seizures in the acute care setting for both hospitals and payers. We have demonstrated that the Ceribell System can deliver cost savings for hospitals and payers by decreasing hospital length of stay, reducing the over-administration of anti-seizure medication, and reducing unnecessary patient transfers. Hospital inpatient care for patients diagnosed with non-convulsive status epilepticus is often more complex and costly than management of patients without this condition. A confirmed diagnosis of seizure may qualify an inpatient stay as involving a complication or comorbidity (“CC”) or major complication or comorbidity ("MCC") for certain conditions under the MS-DRG classification system, which may allow hospitals to receive appropriate reimbursement for care of patients with more complex conditions.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Reduced strain on key hospital personnel.</w:t>
      </w:r>
      <w:r>
        <w:rPr>
          <w:color w:val="000000"/>
        </w:rPr>
        <w:t xml:space="preserve"> </w:t>
      </w:r>
      <w:r>
        <w:rPr>
          <w:rFonts w:ascii="Times New Roman" w:hAnsi="Times New Roman"/>
          <w:color w:val="000000"/>
          <w:sz w:val="20"/>
        </w:rPr>
        <w:t>The Ceribell System reduces strain on EEG technicians and neurologists. For the former, the Ceribell System reduces reliance on EEG technicians for EEG administration and enables hospitals to better manage technician infrastructure and workflow. For the latter, Clarity allows for better triage of at-risk patients, improves resource allocation, and supports more efficient workflow for neurologists.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citations to the studies relating to the benefits of the Ceribell System discussed above, see the section titled “Business—Our Clinical Results and Economic Evidence.”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Key Components of the Ceribell System</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Hardware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Ceribell System is composed of a recorder which can be used with either of two proprietary Wearables – a headband or a headcap. These components together are used to acquire EEG signals.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headband is a disposable, single-use headband composed of ten non-invasive electrodes, each pre-filled with conductive gel, affixed to a flexible band that fits comfortably around the crown of a patient’s head. Each electrode is housed within a small knob that, when turned, parts the patient’s hair and preps the patient’s skin using an array of prongs with a light abrasive surface. After skin prep, a plunger affixed to each knob is depressed and the conductive gel is released, forming an electrical connection between the scalp and the electrode. These simple steps effectively replicate the process that is performed by EEG technicians during conventional EEG setup in a manner simple enough that it can be completed in as little as five minutes by any trained healthcare professional. Each headband is intended for use on a single patient.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headcap is a disposable, single-use EEG headcap designed for infants. It incorporates nine soft electrodes integrated into a comfortable, stretchable fabric that conforms securely to an infant’s head. The adjustable design accommodates newborns and pre-term infants and allows for the patients' comfort and easy access for skin assessments and ultrasound procedures. The headcap is positioned on the patient’s head and secured with a chin strap to ensure proper fit. Each electrode is contained within a soft, low-profile housing. Electroconductive gel is injected through the electrode housing to the scalp, forming a conductive bridge between the scalp and the electrodes. This process replicates conventional EEG setup performed by trained EEG technicians, while simplifying application so it can be completed by trained healthcare professionals. Each headcap is intended for single-patient use.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recorder is a pocket-sized, rechargeable battery-operated reusable device designed to record and store EEG signals generated by the Wearables. The recorder establishes device-to-cloud communication through a secure Wi-Fi connection. The recorder features a digital screen which displays the raw EEG data as well as our proprietary seizure burden trend line produced by our AI-powered seizure detection algorithm, Clarity, and provides alerts when significant seizure activity is suspected. During setup, the recorder provides prompts on its digital screen to ensure that each electrode has made proper contact with the skin, with a green light indicating that the electrode connection is strong. These prompts are designed to ensure our electrodes meet the same connection quality standards as conventional EEG. The recorder also enables healthcare providers to input relevant details, such as patient information and annotations of treatments administered to the patient, which help providers assess the impact and efficacy of treatment.</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Headband and Headcap Placement and Recorder</w:t>
      </w:r>
    </w:p>
    <w:p>
      <w:pPr>
        <w:pStyle w:val="TextBody"/>
        <w:bidi w:val="0"/>
        <w:jc w:val="both"/>
        <w:rPr/>
      </w:pPr>
      <w:r>
        <w:rPr/>
        <w:t> </w:t>
      </w:r>
    </w:p>
    <w:p>
      <w:pPr>
        <w:pStyle w:val="TextBody"/>
        <w:bidi w:val="0"/>
        <w:jc w:val="center"/>
        <w:rPr/>
      </w:pPr>
      <w:r>
        <w:rPr/>
        <w:drawing>
          <wp:inline distT="0" distB="0" distL="0" distR="0">
            <wp:extent cx="2171700" cy="14478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171700" cy="1447800"/>
                    </a:xfrm>
                    <a:prstGeom prst="rect">
                      <a:avLst/>
                    </a:prstGeom>
                  </pic:spPr>
                </pic:pic>
              </a:graphicData>
            </a:graphic>
          </wp:inline>
        </w:drawing>
      </w:r>
      <w:r>
        <w:rPr/>
        <w:drawing>
          <wp:inline distT="0" distB="0" distL="0" distR="0">
            <wp:extent cx="2114550" cy="14287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114550" cy="1428750"/>
                    </a:xfrm>
                    <a:prstGeom prst="rect">
                      <a:avLst/>
                    </a:prstGeom>
                  </pic:spPr>
                </pic:pic>
              </a:graphicData>
            </a:graphic>
          </wp:inline>
        </w:drawing>
      </w:r>
      <w:r>
        <w:rPr/>
        <w:drawing>
          <wp:inline distT="0" distB="0" distL="0" distR="0">
            <wp:extent cx="2143125" cy="14287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143125" cy="1428750"/>
                    </a:xfrm>
                    <a:prstGeom prst="rect">
                      <a:avLst/>
                    </a:prstGeom>
                  </pic:spPr>
                </pic:pic>
              </a:graphicData>
            </a:graphic>
          </wp:inline>
        </w:drawing>
      </w:r>
    </w:p>
    <w:p>
      <w:pPr>
        <w:pStyle w:val="TextBody"/>
        <w:bidi w:val="0"/>
        <w:spacing w:before="160" w:after="283"/>
        <w:jc w:val="both"/>
        <w:rPr>
          <w:rFonts w:ascii="Times New Roman" w:hAnsi="Times New Roman"/>
          <w:i/>
          <w:color w:val="000000"/>
          <w:sz w:val="20"/>
        </w:rPr>
      </w:pPr>
      <w:r>
        <w:rPr>
          <w:rFonts w:ascii="Times New Roman" w:hAnsi="Times New Roman"/>
          <w:i/>
          <w:color w:val="000000"/>
          <w:sz w:val="20"/>
        </w:rPr>
        <w:t>Recorder Confirmation of Headband Electrode Connection</w:t>
      </w:r>
    </w:p>
    <w:p>
      <w:pPr>
        <w:pStyle w:val="TextBody"/>
        <w:bidi w:val="0"/>
        <w:jc w:val="both"/>
        <w:rPr/>
      </w:pPr>
      <w:r>
        <w:rPr/>
        <w:t> </w:t>
      </w:r>
    </w:p>
    <w:p>
      <w:pPr>
        <w:pStyle w:val="TextBody"/>
        <w:bidi w:val="0"/>
        <w:jc w:val="center"/>
        <w:rPr/>
      </w:pPr>
      <w:r>
        <w:rPr/>
        <w:drawing>
          <wp:inline distT="0" distB="0" distL="0" distR="0">
            <wp:extent cx="3171825" cy="15049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3171825" cy="1504950"/>
                    </a:xfrm>
                    <a:prstGeom prst="rect">
                      <a:avLst/>
                    </a:prstGeom>
                  </pic:spPr>
                </pic:pic>
              </a:graphicData>
            </a:graphic>
          </wp:inline>
        </w:drawing>
      </w:r>
    </w:p>
    <w:p>
      <w:pPr>
        <w:pStyle w:val="TextBody"/>
        <w:bidi w:val="0"/>
        <w:jc w:val="left"/>
        <w:rPr>
          <w:rFonts w:ascii="Times New Roman" w:hAnsi="Times New Roman"/>
          <w:i/>
          <w:color w:val="000000"/>
          <w:sz w:val="20"/>
        </w:rPr>
      </w:pPr>
      <w:r>
        <w:rPr>
          <w:rFonts w:ascii="Times New Roman" w:hAnsi="Times New Roman"/>
          <w:i/>
          <w:color w:val="000000"/>
          <w:sz w:val="20"/>
        </w:rPr>
        <w:t>Recorder Confirmation of Headcap Electrode Connection</w:t>
      </w:r>
    </w:p>
    <w:p>
      <w:pPr>
        <w:pStyle w:val="TextBody"/>
        <w:bidi w:val="0"/>
        <w:jc w:val="left"/>
        <w:rPr/>
      </w:pPr>
      <w:r>
        <w:rPr/>
        <w:t> </w:t>
      </w:r>
    </w:p>
    <w:p>
      <w:pPr>
        <w:pStyle w:val="TextBody"/>
        <w:bidi w:val="0"/>
        <w:jc w:val="center"/>
        <w:rPr/>
      </w:pPr>
      <w:r>
        <w:rPr/>
        <w:drawing>
          <wp:inline distT="0" distB="0" distL="0" distR="0">
            <wp:extent cx="2990850" cy="13620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990850" cy="1362075"/>
                    </a:xfrm>
                    <a:prstGeom prst="rect">
                      <a:avLst/>
                    </a:prstGeom>
                  </pic:spPr>
                </pic:pic>
              </a:graphicData>
            </a:graphic>
          </wp:inline>
        </w:drawing>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Algorithms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Through our extensive database of EEG recordings and our data science and AI expertise, we have developed proprietary algorithms that power some of the most critical features of the Ceribell System by converting raw EEG waveforms into actionable clinical insights.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currently commercialize Clarity, our seizure detection algorithm that continuously interprets raw EEG data captured every ten seconds across all electrodes of the Wearables and assesses a multitude of EEG features to determine if seizure activity is present. It then converts this data into a metric known as seizure burden, which measures the quantum of seizure activity detected in a rolling five-minute interval (for example, a 90% seizure burden indicates 4.5 minutes of seizure activity in the last five minutes). Seizure burden is displayed on the digital screen of the recorder as a simple chart that can be easily understood by clinicians without formal EEG interpretation training. This provides clinicians with the vital, real-time data needed to rapidly identify and treat seizures and to evaluate the efficacy of anti-seizure medication. A seizure burden that exceeds 90% suggests the patient is potentially in non-convulsive status epilepticus. When Clarity detects a seizure burden of 90% or greater, it generates a visual and audio alert that is delivered by the recorder, helping the bedside clinician to act promptly to review the alert from Clarity and provide timely care. A seizure burden between 1% and 89% suggests shorter duration seizures or a seizure-like abnormality, which may warrant alerting the neurology team. When Clarity detects a 0% seizure burden, which suggests no ongoing seizure activity, clinicians may be able to more confidently rule out status epilepticus. While EEGs can only be interpreted by a neurologist, Clarity alerts provide information in real time that bedside clinicians can act on immediately to inform treatment decisions. We believe that by enabling bedside clinicians who are not neurologists to review the output of Clarity and provide timely care as well as determine more selectively when neurologist interpretation is required, the Ceribell System helps mitigate the effect of delays in EEG interpretation and neurologist shortages.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Seizure Burden Display</w:t>
      </w:r>
    </w:p>
    <w:p>
      <w:pPr>
        <w:pStyle w:val="TextBody"/>
        <w:bidi w:val="0"/>
        <w:jc w:val="left"/>
        <w:rPr/>
      </w:pPr>
      <w:r>
        <w:rPr/>
        <w:t> </w:t>
      </w:r>
    </w:p>
    <w:p>
      <w:pPr>
        <w:pStyle w:val="TextBody"/>
        <w:bidi w:val="0"/>
        <w:jc w:val="center"/>
        <w:rPr/>
      </w:pPr>
      <w:r>
        <w:rPr/>
        <w:drawing>
          <wp:inline distT="0" distB="0" distL="0" distR="0">
            <wp:extent cx="5781675" cy="31242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5781675" cy="3124200"/>
                    </a:xfrm>
                    <a:prstGeom prst="rect">
                      <a:avLst/>
                    </a:prstGeom>
                  </pic:spPr>
                </pic:pic>
              </a:graphicData>
            </a:graphic>
          </wp:inline>
        </w:drawing>
      </w:r>
    </w:p>
    <w:p>
      <w:pPr>
        <w:pStyle w:val="TextBody"/>
        <w:bidi w:val="0"/>
        <w:jc w:val="center"/>
        <w:rPr/>
      </w:pPr>
      <w:r>
        <w:rPr/>
        <w:t> </w:t>
      </w:r>
    </w:p>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Continuous Seizure Monitoring and Seizure Activity Alerts</w:t>
      </w:r>
    </w:p>
    <w:p>
      <w:pPr>
        <w:pStyle w:val="TextBody"/>
        <w:bidi w:val="0"/>
        <w:jc w:val="center"/>
        <w:rPr/>
      </w:pPr>
      <w:r>
        <w:rPr/>
        <w:t> </w:t>
      </w:r>
    </w:p>
    <w:tbl>
      <w:tblPr>
        <w:tblW w:w="10202" w:type="dxa"/>
        <w:jc w:val="left"/>
        <w:tblInd w:w="0" w:type="dxa"/>
        <w:tblLayout w:type="fixed"/>
        <w:tblCellMar>
          <w:top w:w="28" w:type="dxa"/>
          <w:left w:w="28" w:type="dxa"/>
          <w:bottom w:w="28" w:type="dxa"/>
          <w:right w:w="28" w:type="dxa"/>
        </w:tblCellMar>
      </w:tblPr>
      <w:tblGrid>
        <w:gridCol w:w="4501"/>
        <w:gridCol w:w="5701"/>
      </w:tblGrid>
      <w:tr>
        <w:trPr/>
        <w:tc>
          <w:tcPr>
            <w:tcW w:w="4501" w:type="dxa"/>
            <w:tcBorders/>
            <w:vAlign w:val="center"/>
          </w:tcPr>
          <w:p>
            <w:pPr>
              <w:pStyle w:val="TableContents"/>
              <w:bidi w:val="0"/>
              <w:spacing w:before="0" w:after="283"/>
              <w:jc w:val="left"/>
              <w:rPr>
                <w:sz w:val="4"/>
                <w:szCs w:val="4"/>
              </w:rPr>
            </w:pPr>
            <w:r>
              <w:rPr>
                <w:sz w:val="4"/>
                <w:szCs w:val="4"/>
              </w:rPr>
            </w:r>
          </w:p>
        </w:tc>
        <w:tc>
          <w:tcPr>
            <w:tcW w:w="5701" w:type="dxa"/>
            <w:tcBorders/>
            <w:vAlign w:val="center"/>
          </w:tcPr>
          <w:p>
            <w:pPr>
              <w:pStyle w:val="TableContents"/>
              <w:bidi w:val="0"/>
              <w:spacing w:before="0" w:after="283"/>
              <w:jc w:val="left"/>
              <w:rPr>
                <w:sz w:val="4"/>
                <w:szCs w:val="4"/>
              </w:rPr>
            </w:pPr>
            <w:r>
              <w:rPr>
                <w:sz w:val="4"/>
                <w:szCs w:val="4"/>
              </w:rPr>
            </w:r>
          </w:p>
        </w:tc>
      </w:tr>
      <w:tr>
        <w:trPr/>
        <w:tc>
          <w:tcPr>
            <w:tcW w:w="4501" w:type="dxa"/>
            <w:tcBorders/>
            <w:tcMar>
              <w:top w:w="0" w:type="dxa"/>
              <w:left w:w="0" w:type="dxa"/>
              <w:bottom w:w="0" w:type="dxa"/>
              <w:right w:w="0" w:type="dxa"/>
            </w:tcMar>
            <w:vAlign w:val="center"/>
          </w:tcPr>
          <w:p>
            <w:pPr>
              <w:pStyle w:val="TableContents"/>
              <w:bidi w:val="0"/>
              <w:spacing w:before="120" w:after="283"/>
              <w:jc w:val="center"/>
              <w:rPr/>
            </w:pPr>
            <w:r>
              <w:rPr/>
              <w:drawing>
                <wp:inline distT="0" distB="0" distL="0" distR="0">
                  <wp:extent cx="2771775" cy="13811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771775" cy="1381125"/>
                          </a:xfrm>
                          <a:prstGeom prst="rect">
                            <a:avLst/>
                          </a:prstGeom>
                        </pic:spPr>
                      </pic:pic>
                    </a:graphicData>
                  </a:graphic>
                </wp:inline>
              </w:drawing>
            </w:r>
          </w:p>
        </w:tc>
        <w:tc>
          <w:tcPr>
            <w:tcW w:w="5701" w:type="dxa"/>
            <w:tcBorders/>
            <w:tcMar>
              <w:top w:w="0" w:type="dxa"/>
              <w:left w:w="0" w:type="dxa"/>
              <w:bottom w:w="0" w:type="dxa"/>
              <w:right w:w="0" w:type="dxa"/>
            </w:tcMar>
            <w:vAlign w:val="center"/>
          </w:tcPr>
          <w:p>
            <w:pPr>
              <w:pStyle w:val="TableContents"/>
              <w:bidi w:val="0"/>
              <w:spacing w:before="120" w:after="283"/>
              <w:jc w:val="center"/>
              <w:rPr/>
            </w:pPr>
            <w:r>
              <w:rPr/>
              <w:drawing>
                <wp:inline distT="0" distB="0" distL="0" distR="0">
                  <wp:extent cx="2581275" cy="1285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581275" cy="1285875"/>
                          </a:xfrm>
                          <a:prstGeom prst="rect">
                            <a:avLst/>
                          </a:prstGeom>
                        </pic:spPr>
                      </pic:pic>
                    </a:graphicData>
                  </a:graphic>
                </wp:inline>
              </w:drawing>
            </w:r>
          </w:p>
        </w:tc>
      </w:tr>
      <w:tr>
        <w:trPr/>
        <w:tc>
          <w:tcPr>
            <w:tcW w:w="450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b/>
                <w:color w:val="000000"/>
                <w:sz w:val="20"/>
              </w:rPr>
            </w:pPr>
            <w:r>
              <w:rPr>
                <w:rFonts w:ascii="Times New Roman" w:hAnsi="Times New Roman"/>
                <w:b/>
                <w:color w:val="000000"/>
                <w:sz w:val="20"/>
              </w:rPr>
              <w:t>0% seizure burden – Likely rule out seizure activity</w:t>
            </w:r>
          </w:p>
        </w:tc>
        <w:tc>
          <w:tcPr>
            <w:tcW w:w="570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b/>
                <w:color w:val="000000"/>
                <w:sz w:val="20"/>
              </w:rPr>
            </w:pPr>
            <w:r>
              <w:rPr>
                <w:rFonts w:ascii="Times New Roman" w:hAnsi="Times New Roman"/>
                <w:b/>
                <w:color w:val="000000"/>
                <w:sz w:val="20"/>
              </w:rPr>
              <w:t>&gt;90% seizure burden – Potential non-convulsive status epilepticus</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009"/>
        <w:gridCol w:w="4196"/>
      </w:tblGrid>
      <w:tr>
        <w:trPr/>
        <w:tc>
          <w:tcPr>
            <w:tcW w:w="6009" w:type="dxa"/>
            <w:tcBorders/>
            <w:vAlign w:val="center"/>
          </w:tcPr>
          <w:p>
            <w:pPr>
              <w:pStyle w:val="TableContents"/>
              <w:bidi w:val="0"/>
              <w:spacing w:before="0" w:after="283"/>
              <w:jc w:val="left"/>
              <w:rPr>
                <w:sz w:val="4"/>
                <w:szCs w:val="4"/>
              </w:rPr>
            </w:pPr>
            <w:r>
              <w:rPr>
                <w:sz w:val="4"/>
                <w:szCs w:val="4"/>
              </w:rPr>
            </w:r>
          </w:p>
        </w:tc>
        <w:tc>
          <w:tcPr>
            <w:tcW w:w="4196" w:type="dxa"/>
            <w:tcBorders/>
            <w:vAlign w:val="center"/>
          </w:tcPr>
          <w:p>
            <w:pPr>
              <w:pStyle w:val="TableContents"/>
              <w:bidi w:val="0"/>
              <w:spacing w:before="0" w:after="283"/>
              <w:jc w:val="left"/>
              <w:rPr>
                <w:sz w:val="4"/>
                <w:szCs w:val="4"/>
              </w:rPr>
            </w:pPr>
            <w:r>
              <w:rPr>
                <w:sz w:val="4"/>
                <w:szCs w:val="4"/>
              </w:rPr>
            </w:r>
          </w:p>
        </w:tc>
      </w:tr>
      <w:tr>
        <w:trPr/>
        <w:tc>
          <w:tcPr>
            <w:tcW w:w="6009" w:type="dxa"/>
            <w:tcBorders/>
            <w:tcMar>
              <w:top w:w="0" w:type="dxa"/>
              <w:left w:w="0" w:type="dxa"/>
              <w:bottom w:w="0" w:type="dxa"/>
              <w:right w:w="0" w:type="dxa"/>
            </w:tcMar>
            <w:vAlign w:val="center"/>
          </w:tcPr>
          <w:p>
            <w:pPr>
              <w:pStyle w:val="TableContents"/>
              <w:bidi w:val="0"/>
              <w:spacing w:before="120" w:after="283"/>
              <w:jc w:val="center"/>
              <w:rPr/>
            </w:pPr>
            <w:r>
              <w:rPr/>
              <w:drawing>
                <wp:inline distT="0" distB="0" distL="0" distR="0">
                  <wp:extent cx="2581275" cy="1285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581275" cy="1285875"/>
                          </a:xfrm>
                          <a:prstGeom prst="rect">
                            <a:avLst/>
                          </a:prstGeom>
                        </pic:spPr>
                      </pic:pic>
                    </a:graphicData>
                  </a:graphic>
                </wp:inline>
              </w:drawing>
            </w:r>
          </w:p>
        </w:tc>
        <w:tc>
          <w:tcPr>
            <w:tcW w:w="4196" w:type="dxa"/>
            <w:tcBorders/>
            <w:tcMar>
              <w:top w:w="0" w:type="dxa"/>
              <w:left w:w="0" w:type="dxa"/>
              <w:bottom w:w="0" w:type="dxa"/>
              <w:right w:w="0" w:type="dxa"/>
            </w:tcMar>
            <w:vAlign w:val="center"/>
          </w:tcPr>
          <w:p>
            <w:pPr>
              <w:pStyle w:val="TableContents"/>
              <w:bidi w:val="0"/>
              <w:spacing w:before="120" w:after="283"/>
              <w:jc w:val="center"/>
              <w:rPr/>
            </w:pPr>
            <w:r>
              <w:rPr/>
              <w:drawing>
                <wp:inline distT="0" distB="0" distL="0" distR="0">
                  <wp:extent cx="2581275" cy="1285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581275" cy="1285875"/>
                          </a:xfrm>
                          <a:prstGeom prst="rect">
                            <a:avLst/>
                          </a:prstGeom>
                        </pic:spPr>
                      </pic:pic>
                    </a:graphicData>
                  </a:graphic>
                </wp:inline>
              </w:drawing>
            </w:r>
          </w:p>
        </w:tc>
      </w:tr>
      <w:tr>
        <w:trPr/>
        <w:tc>
          <w:tcPr>
            <w:tcW w:w="6009"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1-89% seizure burden - Likely seizure activity or epileptiform abnormality</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(i.e., unusual brain signals resembling those in epilepsy)</w:t>
            </w:r>
          </w:p>
        </w:tc>
        <w:tc>
          <w:tcPr>
            <w:tcW w:w="4196"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b/>
                <w:color w:val="000000"/>
                <w:sz w:val="20"/>
              </w:rPr>
            </w:pPr>
            <w:r>
              <w:rPr>
                <w:rFonts w:ascii="Times New Roman" w:hAnsi="Times New Roman"/>
                <w:b/>
                <w:color w:val="000000"/>
                <w:sz w:val="20"/>
              </w:rPr>
              <w:t>Continuous seizure alert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are continuously improving our Clarity algorithm and have released software updates to our customers. In May 2023, our Clarity algorithm became the first device to receive 510(k) clearance from FDA for the diagnosis of ESE in adults at risk of seizure. ESE refers to electrographic status epilepticus, which can be diagnosed using EEG alone without the benefit of additional clinical information. The clearance follows prior receipt of Breakthrough Device Designation from the FDA and subsequent receipt of an NTAP code from CMS. In October 2025, we released the latest generation of Clarity with further enhancements to our seizure detection algorithm as well as continued improvements to user workflows.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Ceribell EEG Portal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EEG portal is a cloud-based secured portal that enables real-time remote access to a patient’s EEG data. The portal can be accessed by clinicians anywhere and anytime using any web browser or mobile applications. The portal enables simple sorting and filtering of EEG recordings, makes it easy to annotate EEGs, and offers an extensive EEG reference library with a database of expertly annotated sample cases. In addition, the raw EEG waveforms viewed through the portal are overlaid with the seizure burden curve produced by Clarity, providing clinicians with interpretation assistance.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Intuitive Interface Accessible through Web or Mobile Applications</w:t>
      </w:r>
    </w:p>
    <w:p>
      <w:pPr>
        <w:pStyle w:val="TextBody"/>
        <w:bidi w:val="0"/>
        <w:jc w:val="left"/>
        <w:rPr/>
      </w:pPr>
      <w:r>
        <w:rPr/>
        <w:t> </w:t>
      </w:r>
    </w:p>
    <w:p>
      <w:pPr>
        <w:pStyle w:val="TextBody"/>
        <w:bidi w:val="0"/>
        <w:jc w:val="center"/>
        <w:rPr/>
      </w:pPr>
      <w:r>
        <w:rPr/>
        <w:drawing>
          <wp:inline distT="0" distB="0" distL="0" distR="0">
            <wp:extent cx="2647950" cy="1666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647950" cy="1666875"/>
                    </a:xfrm>
                    <a:prstGeom prst="rect">
                      <a:avLst/>
                    </a:prstGeom>
                  </pic:spPr>
                </pic:pic>
              </a:graphicData>
            </a:graphic>
          </wp:inline>
        </w:drawing>
      </w:r>
      <w:r>
        <w:rPr/>
        <w:drawing>
          <wp:inline distT="0" distB="0" distL="0" distR="0">
            <wp:extent cx="3038475" cy="16002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3038475" cy="1600200"/>
                    </a:xfrm>
                    <a:prstGeom prst="rect">
                      <a:avLst/>
                    </a:prstGeom>
                  </pic:spPr>
                </pic:pic>
              </a:graphicData>
            </a:graphic>
          </wp:inline>
        </w:drawing>
      </w:r>
    </w:p>
    <w:p>
      <w:pPr>
        <w:pStyle w:val="TextBody"/>
        <w:bidi w:val="0"/>
        <w:jc w:val="both"/>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Sales and Marketing</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Sales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generate revenue primarily from two recurring sources – the sale of our single use, disposable Wearables and a monthly subscription fee charged to our customers for use of Clarity, recorders and the portal. We sell the Ceribell System in the United States through our direct sales organization. We employ a team of sales representatives, including TMs, who are responsible for new customer acquisition, and CAMs, who are responsible for ongoing account coverage, with the primary objective of raising awareness of non-convulsive status epilepticus and gaining more customer support of the Ceribell solution. TMs and CAMs are also jointly responsible for onboarding customers. Together, this team is focused on driving new account growth and greater utilization and delivering high-quality customer experiences. In addition to TMs and CAMs, our commercial organization includes other personnel who are responsible for hospital system relationship management, sales training, launch support, technical assistance, and hospital IT integration and other activities.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TMs drive adoption of the Ceribell System in new accounts by engaging with key decision makers to introduce the compelling value proposition of the Ceribell System. They are responsible for identifying key customer prospects, educating them on the value of the Ceribell System and gaining their commitment to acquire the Ceribell System. Given the Ceribell System’s multi-faceted value proposition, driving new account adoption involves multiple stakeholders. Our TMs initially focus on engaging with and gaining the support of intensive care and emergency medicine clinicians, neurologists, and nursing staff, among other clinicians. These individuals have firsthand experience with the limitations of conventional EEG systems in the acute care setting and, as such, often play an important role in championing support for the Ceribell System across the institution. Our TMs work to gain the support of other key stakeholders, including executive leadership, who are responsible for resource allocation and financial management. In addition to driving new account growth, our TMs, in coordination with our CAMs, play a critical role in site onboarding, training, and launch.</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CAMs are focused on driving increased utilization and penetration within existing accounts, ongoing account coverage, and further supporting customer onboarding. CAMs initially work in close coordination with TMs during the site onboarding phase to ensure a successful launch. We have a highly tailored onboarding program that involves training hospital staff, supporting customers in designing workflows, and integrating with the hospital’s IT system. In the future, we intend to add integration with our customers’ electronic health record systems. We believe that the time we spend supporting our customers during the onboarding process builds customer loyalty and strengthens our competitive position. Once the customer onboarding is complete, CAMs fully assume responsibility for the account. CAMs provide ongoing physician education and training support to promote an excellent user experience and drive greater utilization of the Ceribell System within the hospital by reinforcing our value proposition and increasing disease state awareness. CAMs are also focused on expanding the use of the Ceribell System into additional departments within the hospital.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future, we plan to establish our presence internationally. While our current commercial focus is on the United States, we have received a CE Mark for the Ceribell System in Europe, and we intend to pursue additional regulatory clearances in Europe in the future, elsewhere outside of the United States. However, at this stage of our development we do not have more specific intended timing for pursuing additional regulatory clearances in Europe or commercializing our product in Europe. We also plan to engage in market access initiatives in attractive international regions in which we see significant opportunity.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Marketing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to our direct sales efforts, we invest in marketing initiatives to increase awareness of our technology and the prevalence of seizures in critically ill patient populations within the acute care setting. Based on our experience, many intensive care and emergency medicine clinicians underappreciate the prevalence of seizures, particularly non-convulsive seizures, associated with common acute conditions. Through our marketing efforts, we educate providers regarding the prevalence and severity of status epilepticus, the criticality of prompt diagnosis and treatment, and the limitations of conventional EEG systems in the acute care setting.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marketing team ensures our representation and presence at national and regional medical society conferences, where our commercial team meets with key opinion leaders and society chairs to discuss greater collaboration and generates prospective customer leads. Additionally, we create and distribute content for digital engagement to educate prospective customers on status epilepticus and the Ceribell System through our website, email, social media, and advertisements. We believe our marketing programs are essential to increasing adoption of the Ceribell System and expanding the use of EEG monitoring in the acute care setting to address the significant unmet needs of critically ill patients at risk of seizures.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Our Clinical Results and Economic Evidence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robust body of evidence supports the clinical and economic benefits of the Ceribell System for the detection of seizures and management of patients at risk of nonconvulsive status epilepticus in the acute care setting. The Ceribell System has been the subject of over 45 peer-reviewed publications and over 95 abstracts and posters. We believe our base of clinical evidence supports the value of the Ceribell System to all key stakeholders, including patients, clinicians, hospitals, and payers across different hospital types and acute care settings. </w:t>
      </w:r>
    </w:p>
    <w:p>
      <w:pPr>
        <w:pStyle w:val="TextBody"/>
        <w:bidi w:val="0"/>
        <w:spacing w:before="360" w:after="283"/>
        <w:jc w:val="both"/>
        <w:rPr>
          <w:rFonts w:ascii="Times New Roman" w:hAnsi="Times New Roman"/>
          <w:sz w:val="20"/>
        </w:rPr>
      </w:pPr>
      <w:r>
        <w:rPr>
          <w:rFonts w:ascii="Times New Roman" w:hAnsi="Times New Roman"/>
          <w:b/>
          <w:i/>
          <w:color w:val="000000"/>
          <w:sz w:val="20"/>
        </w:rPr>
        <w:t>Validated Technical Characteristics and Performance</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Signal Quality Concordant to Conventional EEG.</w:t>
      </w:r>
      <w:r>
        <w:rPr>
          <w:color w:val="000000"/>
        </w:rPr>
        <w:t xml:space="preserve"> </w:t>
      </w:r>
      <w:r>
        <w:rPr>
          <w:rFonts w:ascii="Times New Roman" w:hAnsi="Times New Roman"/>
          <w:color w:val="000000"/>
          <w:sz w:val="20"/>
        </w:rPr>
        <w:t xml:space="preserve">Studies have shown that the Ceribell System and conventional EEG provide largely concordant data, meaning that the quality of the recordings are generally equivalent.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Reduced Montage is Effective.</w:t>
      </w:r>
      <w:r>
        <w:rPr>
          <w:color w:val="000000"/>
        </w:rPr>
        <w:t xml:space="preserve"> </w:t>
      </w:r>
      <w:r>
        <w:rPr>
          <w:rFonts w:ascii="Times New Roman" w:hAnsi="Times New Roman"/>
          <w:color w:val="000000"/>
          <w:sz w:val="20"/>
        </w:rPr>
        <w:t xml:space="preserve">Studies have demonstrated that the reduced montage in the Ceribell System preserved key features of conventional EEG, and that focal seizures in the area of the brain not covered by the reduced montage are very rare in patients in the acute care setting.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 xml:space="preserve">Diagnostic Accuracy of Clarity. </w:t>
      </w:r>
      <w:r>
        <w:rPr>
          <w:rFonts w:ascii="Times New Roman" w:hAnsi="Times New Roman"/>
          <w:color w:val="000000"/>
          <w:sz w:val="20"/>
        </w:rPr>
        <w:t>The diagnostic accuracy of the Clarity algorithm is typically evaluated by comparing the determination of the Clarity algorithm to a diagnosis made by a panel of neurologists following review of the EEG recording produced by the Ceribell System. These studies generally demonstrate that the Clarity algorithm is specific and sensitive in detecting non-convulsive status epilepticus.</w:t>
      </w:r>
      <w:r>
        <w:rPr>
          <w:color w:val="000000"/>
        </w:rPr>
        <w:t xml:space="preserve"> </w:t>
      </w:r>
      <w:r>
        <w:rPr>
          <w:rFonts w:ascii="Times New Roman" w:hAnsi="Times New Roman"/>
          <w:color w:val="000000"/>
          <w:sz w:val="20"/>
        </w:rPr>
        <w:t>Clarity's algorithm can detect nonconvulsive status epilepticus with 87% to 100% sensitivity, 93% to 98% specificity, and 99% to 100% negative predictive value.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Improved Clinical Management and Care</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Rapid Diagnosis and Ease of Use.</w:t>
      </w:r>
      <w:r>
        <w:rPr>
          <w:color w:val="000000"/>
        </w:rPr>
        <w:t xml:space="preserve"> </w:t>
      </w:r>
      <w:r>
        <w:rPr>
          <w:rFonts w:ascii="Times New Roman" w:hAnsi="Times New Roman"/>
          <w:color w:val="000000"/>
          <w:sz w:val="20"/>
        </w:rPr>
        <w:t>The Ceribell System greatly reduces time to EEG setup (i.e., time from EEG order to EEG acquisition) and time to interpretation or diagnosis with the Ceribell System. It takes a median of five minutes to set up a Ceribell EEG, while conventional EEGs take a median of 239 minutes (nearly 4 hours) for arrival and set-up time (even with EEG technicians available 24/7 on site or on-call). There is also a significantly faster median door-to-EEG time of 5.9 hours for Ceribell, compared to 25.3 hours for conventional EEG. Additionally, setup and time to interpretation by conventional EEG systems were subject to delays ranging from 1.8 to 11.2 hours. The Ceribell System is designed for easy learning and implementation. Surveyed physicians consistently rated the system easy to use (4.7 on a scale of 1-5), and a study noted that it “can be set up in minutes by nurses or physicians or any other user.”</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Reduced Length of Stay.</w:t>
      </w:r>
      <w:r>
        <w:rPr>
          <w:color w:val="000000"/>
        </w:rPr>
        <w:t xml:space="preserve"> </w:t>
      </w:r>
      <w:r>
        <w:rPr>
          <w:rFonts w:ascii="Times New Roman" w:hAnsi="Times New Roman"/>
          <w:color w:val="000000"/>
          <w:sz w:val="20"/>
        </w:rPr>
        <w:t xml:space="preserve">Several studies have shown that the Ceribell System is associated with reduced length of stay in the hospital or ICU. For example, one study found that patients at three large academic hospitals who were initially evaluated with the Ceribell System had a median ICU length of stay that was approximately four days shorter compared to those who received conventional EEG. Another study at a community hospital showed a median hospital length of stay decrease of three days after adoption of the Ceribell System, and a third modeling study estimated a potential decrease in length of stay of 0.4 days in ICU and 1.2 days in hospital.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Improved Decision Making and Clinical Management.</w:t>
      </w:r>
      <w:r>
        <w:rPr>
          <w:color w:val="000000"/>
        </w:rPr>
        <w:t xml:space="preserve"> </w:t>
      </w:r>
      <w:r>
        <w:rPr>
          <w:rFonts w:ascii="Times New Roman" w:hAnsi="Times New Roman"/>
          <w:color w:val="000000"/>
          <w:sz w:val="20"/>
        </w:rPr>
        <w:t>A number of studies have indicated that the Ceribell System helps support appropriate clinical management of seizure patients by improving physicians’ ability to quickly and confidently diagnose or rule out a seizure. For example, studies have found that the Ceribell System allowed physicians to change clinical management for approximately 53% of patients; modify diagnostic suspicion for seizure and nonconvulsive status epilepticus for approximately 40% of patients and treatment decisions in 20% of patients; potentially reduce intubation and parenteral anti-seizure medicine by 51%; and expedite disposition of cases in 21% of patients . A recent study found that the seizure burden assessed by Clarity correlated with functional outcomes, and in a matched analysis use of the Ceribell System was associated with better clinical outcomes for ICU patients with nonconvulsive seizures.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 xml:space="preserve">Fewer Patient Transfers. </w:t>
      </w:r>
      <w:r>
        <w:rPr>
          <w:rFonts w:ascii="Times New Roman" w:hAnsi="Times New Roman"/>
          <w:color w:val="000000"/>
          <w:sz w:val="20"/>
        </w:rPr>
        <w:t>Studies have provided evidence that access to the Ceribell System reduces patient transfers from community hospitals to facilities with greater access to conventional EEG systems. For example, one study found that the use of the Ceribell System enabled physicians to avoid transferring 94% of patients who would have met the criteria for EEG-related transfer before implementing the Ceribell System.</w:t>
      </w:r>
    </w:p>
    <w:p>
      <w:pPr>
        <w:pStyle w:val="TextBody"/>
        <w:bidi w:val="0"/>
        <w:spacing w:before="360" w:after="283"/>
        <w:jc w:val="both"/>
        <w:rPr>
          <w:rFonts w:ascii="Times New Roman" w:hAnsi="Times New Roman"/>
          <w:sz w:val="20"/>
        </w:rPr>
      </w:pPr>
      <w:r>
        <w:rPr>
          <w:rFonts w:ascii="Times New Roman" w:hAnsi="Times New Roman"/>
          <w:b/>
          <w:i/>
          <w:color w:val="000000"/>
          <w:sz w:val="20"/>
        </w:rPr>
        <w:t>Supports Hospital and Payer Economics</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Meaningful Cost Savings</w:t>
      </w:r>
      <w:r>
        <w:rPr>
          <w:rFonts w:ascii="Times New Roman" w:hAnsi="Times New Roman"/>
          <w:b/>
          <w:color w:val="000000"/>
          <w:sz w:val="20"/>
        </w:rPr>
        <w:t>.</w:t>
      </w:r>
      <w:r>
        <w:rPr>
          <w:color w:val="000000"/>
        </w:rPr>
        <w:t xml:space="preserve"> </w:t>
      </w:r>
      <w:r>
        <w:rPr>
          <w:rFonts w:ascii="Times New Roman" w:hAnsi="Times New Roman"/>
          <w:color w:val="000000"/>
          <w:sz w:val="20"/>
        </w:rPr>
        <w:t>The Ceribell System is designed to enable around-the-clock access to EEG without significant investment in staff and equipment. Studies have demonstrated that the clinical benefits described above, such as reduced transfers, reduced length of stay, and reduced use of antiseizure medication, as well as adequate treatment of status epilepticus, could result in cost savings for the hospital and payers. One study estimated approximately $14,000 net positive value per patient (not accounting for Ceribell System costs) in two community hospitals, based on avoided transfer costs and applicable reimbursement. Two different studies at community hospitals projected, respectively, total annual cost savings of nearly $740,000 related to reduced length of stay and ED discharges, and transportation cost savings of more than $39,000 in 16 months based on reduced patient transfers and a third-party estimate of ambulance costs. In a fourth study of the Ceribell System, a decision-analytic model projected savings of $3,971 per patient hospitalized for coma or encephalopathy, due to reduction in both the ICU and hospital length of stay.</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 xml:space="preserve">Appropriate Reimbursement for Complex Patients. </w:t>
      </w:r>
      <w:r>
        <w:rPr>
          <w:rFonts w:ascii="Times New Roman" w:hAnsi="Times New Roman"/>
          <w:color w:val="000000"/>
          <w:sz w:val="20"/>
        </w:rPr>
        <w:t>When seizures are accurately identified as a comorbidity of another condition, hospitals may appropriately code the patient as having a comorbid condition or major comorbid condition. One study showed that the improved seizure detection and diagnosis offered by the Ceribell System may support appropriate complication or comorbidity DRG payments from seizure diagnoses, with the study reporting that the use of Ceribell could potentially be associated with an additional annual revenue of $145,580 from more accurate MS-DRG coding.</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 xml:space="preserve">Reduced Strain on Hospital Personnel. </w:t>
      </w:r>
      <w:r>
        <w:rPr>
          <w:rFonts w:ascii="Times New Roman" w:hAnsi="Times New Roman"/>
          <w:color w:val="000000"/>
          <w:sz w:val="20"/>
        </w:rPr>
        <w:t>The Ceribell System is designed to reduce reliance on EEG technicians for EEG set up and better control of technician infrastructure and workflow. It is simple to use and can be applied by non-specialized healthcare professionals trained on the Ceribell System, which can mitigate burdens on healthcare staff and users of EEG. In a study examining potential reduction in workforce demands due to use of on-call EEG technicians, ten EEG tests were conducted using the Ceribell System, and 40 using conventional EEG systems as a control. No EEG technicians were called to the hospital after hours for any of the tests using the Ceribell System, while technicians were called in to assist with 15 (38%) of the control studies in which conventional EEG systems were used.</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Customer Agreements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generate revenue primarily from two recurring sources – sales of our disposable Wearables which are intended for single patient use, and a subscription service fee charged to our customers on an annual or monthly basis for use of Clarity, recorders, and our portal. In exchange for the subscription service fee, the customer and its authorized users are granted access to the cloud-based portal platform, use of a specified number of recorders, and the Clarity algorithm identifying areas of potential seizure activity.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majority of customers are invoiced for subscription fees monthly in advance, with all amounts due generally within 30 days of the date of the applicable invoice. Annual subscription fees are invoiced once per year, in the month the subscription service is activated or renewed. Generally, monthly subscriptions automatically renew unless either party gives the other at least 30 days’ written notice of its intent not to renew. We also have a subset of customers with a 2-year subscription. For all customers, either party may terminate the subscription for a material breach that is not cured within 30 days of notice of the breach. We can immediately terminate a subscription if the customer distributes or attempts to assign or sublicense any rights granted. Customers own all rights to data they upload or make available to Ceribell through use of our products or services. We have the right to use (but not sell) such data for our business purposes, obligations, and improvement of the Ceribell System, and we own any derivatives of the data that we develop. We provide product warranties for our recorders and Wearables, which in aggregate are not a material liability. In addition, we have generally agreed to indemnify customers from third party claims regarding a defect in the product, breach of a product representation or warranty, or infringement of U.S. intellectual property rights.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Coverage and Reimbursement for Ceribell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derive substantially all of our revenue from healthcare providers and hospitals that use the Ceribell System in the United States. These facilities and providers, in turn, bill third-party payers, including private insurers, Medicare, and Medicaid, for the services and items they provide to patients. The Ceribell System enables our customers to operate under the existing reimbursement structure for EEG, which has well-established reimbursement levels via the MS-DRG classification system and CPT codes. Government and commercial payers generally provide coverage for EEG under this framework.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Ceribell System is most commonly deployed in the hospital inpatient setting. For Medicare, inpatient acute-care hospitals are paid under the inpatient prospective payment system (“IPPS”). The IPPS pays a flat rate based on the average charges across all hospitals for specific diagnoses, regardless of whether that particular patient costs more or less. Under the IPPS, each case is categorized into a MS-DRG, which is derived from ICD-10 codes that describe the patient’s diagnoses and procedures performed during the hospital stay. While MS-DRGs and CPT codes are generally employed by both private insurers and government payers, payment rates often differ. Base MS-DRGs may contain subgroups to identify patients with a diagnosed complication or comorbidity or major complication or comorbidity, which may qualify the admission for a higher payment amount intended to reflect the increased resources needed to treat patients with secondary complications or comorbidities. Seizure is considered a comorbidity that typically qualifies as a complication or comorbidity or major complication or comorbidity. Additional, temporary payment is available for new medical services and technologies designated as eligible by CMS for a New Technology Add-on Payment (“NTAP”), if certain criteria are met. In August 2023, CMS approved an NTAP under the IPPS for our newest Clarity algorithm, effective October 1, 2023, for a period of three years.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physicians who interpret the EEG data provided by the Ceribell System are typically neurologists, and they may seek reimbursement for their services using a variety of Category I CPT codes. These services are described by routine EEG codes, such as CPT codes 95812, 95813, 95816, and 95819, and longer-term EEG codes such as 95717 and 95719. These codes are the same CPT codes used to report physician services for the professional services associated with conventional EEG monitoring. Reimbursement for the facility in the hospital outpatient setting is determined by Medicare’s Ambulatory Payment Classification (“APC”) system, which assigns CPT codes to certain groupings identified by an APC code. Hospitals receive reimbursement based on the APC group to which the physician service or procedure performed is assigned.</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Research and Development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invest in research and development efforts with the goal of driving continuous improvements in the Ceribell System. We are advancing our mission of becoming the standard of care for the detection and management of seizures in the acute care setting and expanding the clinical indications of the Ceribell System and AI algorithms in the acute care setting and beyond (such as home use). Our research and development team includes hardware and software engineers with deep expertise in mechanical and electrical engineering, data science, AI, embedded software design, and cloud-based data and security architecture.</w:t>
      </w:r>
    </w:p>
    <w:p>
      <w:pPr>
        <w:pStyle w:val="TextBody"/>
        <w:bidi w:val="0"/>
        <w:spacing w:before="360" w:after="283"/>
        <w:jc w:val="both"/>
        <w:rPr>
          <w:rFonts w:ascii="Times New Roman" w:hAnsi="Times New Roman"/>
          <w:sz w:val="20"/>
        </w:rPr>
      </w:pPr>
      <w:r>
        <w:rPr>
          <w:rFonts w:ascii="Times New Roman" w:hAnsi="Times New Roman"/>
          <w:b/>
          <w:color w:val="000000"/>
          <w:sz w:val="20"/>
        </w:rPr>
        <w:t>Manufacturing and Supply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manage all aspects of manufacturing, supply chain, and distribution of the Wearables and recorders from our facility in Sunnyvale, California. We have partnered with two ISO 13485 certified contract manufacturers (“CM”) in China and Vietnam to manufacture and assemble our Wearables, with final inspection and labeling completed at our facility. See “Supply Agreements” for more information regarding our agreements with these CMs. The components for our recorder are procured from various suppliers and shipped to our facility for final assembly. We believe our current manufacturing capacity is sufficient to meet our current and expected near term growth. We also maintain incremental supply of finished goods, subassembly, and individual components for both the Wearables and recorder to mitigate potential supply disruptions.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registered with the FDA as a medical device manufacturer and licensed by the State of California to manufacture and distribute medical devices. We are required to manufacture our products in compliance with the FDA’s Quality Management System Regulation (21 C.F.R. Part 820). We have been ISO 13485 certified since January 2018 with a recertification audit occurring in August 2023 and a successful surveillance audit completed in November 2025. To date, no major non-conformities have been identified in any FDA or ISO audit.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employ a rigorous supplier assessment, qualification, and selection process targeted to suppliers that meet the requirements of the FDA and the International Organization for Standardization and quality standards supported by internal policies and procedures. Our quality assurance process monitors supplier performance through qualification and periodic supplier reviews and audits.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Wearables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rely on two primary CMs in China and Vietnam to complete the manufacturing, primary assembly, and inspection of our Wearables. The CMs ship the assembled Wearables to our facility in Sunnyvale, California for final processing, inspection, and labeling. We have redundant vendors for major components or subassemblies of the Wearables. </w:t>
      </w:r>
    </w:p>
    <w:p>
      <w:pPr>
        <w:pStyle w:val="TextBody"/>
        <w:bidi w:val="0"/>
        <w:spacing w:before="360" w:after="283"/>
        <w:jc w:val="left"/>
        <w:rPr>
          <w:rFonts w:ascii="Times New Roman" w:hAnsi="Times New Roman"/>
          <w:sz w:val="20"/>
        </w:rPr>
      </w:pPr>
      <w:r>
        <w:rPr>
          <w:rFonts w:ascii="Times New Roman" w:hAnsi="Times New Roman"/>
          <w:b/>
          <w:i/>
          <w:color w:val="000000"/>
          <w:sz w:val="20"/>
        </w:rPr>
        <w:t>Recorder</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recorder comprises three primary components: a printed circuit board, a rechargeable battery pack and an LCD screen. We have redundant vendors for major components of the recorder, other than the LCD screen, and recorders are assembled, tested and packaged at our facility in Sunnyvale, California.</w:t>
      </w:r>
    </w:p>
    <w:p>
      <w:pPr>
        <w:pStyle w:val="TextBody"/>
        <w:bidi w:val="0"/>
        <w:spacing w:before="360" w:after="283"/>
        <w:jc w:val="both"/>
        <w:rPr>
          <w:rFonts w:ascii="Times New Roman" w:hAnsi="Times New Roman"/>
          <w:sz w:val="20"/>
        </w:rPr>
      </w:pPr>
      <w:r>
        <w:rPr>
          <w:rFonts w:ascii="Times New Roman" w:hAnsi="Times New Roman"/>
          <w:b/>
          <w:color w:val="000000"/>
          <w:sz w:val="20"/>
        </w:rPr>
        <w:t>Supply Agreements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January 2022, we entered into a corporate supply agreement with Shenzhen Everwin Precision Technology Co., Ltd. (“Everwin China”) for the supply of headbands on a purchase order basis. This agreement has been amended from time to time, including by Amendment No. 1 in March 2023, Amendment No. 2 in November 2023, and Amendment No. 3 in September 2025 (collectively, the “Everwin Agreement”). The Everwin Agreement grants us a perpetual, irrevocable, worldwide, non-exclusive, royalty-free, fully paid up, transferable right and license to all information and materials necessary for the manufacture, supply, and support of the products provided to us.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Everwin Agreement became effective on January 10, 2022, and had an initial term of two years. It has been extended through December 31, 2027, subject to automatic one-year renewals thereafter unless either party provides at least 120 days’ prior notice of non-renewal. Either party may terminate the Everwin Agreement for uncured material breach following a 30-day cure period, and we may terminate the Everwin Agreement for convenience upon 30 days’ prior written notice.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Amendment No. 2 designated Everwin Precision Holding (Hong Kong) Company Limited as Everwin China’s agent and provided for deliveries from a facility in Tijuana, Mexico. Amendment No. 3 designated Everwin Precision (Viet Nam) Technology Co., Ltd., a subsidiary of Everwin China (“Everwin Vietnam”), as an agent of Everwin China and provides for deliveries of headbands from Everwin Vietnam’s facility in Vietnam.</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also have a corporate supply agreement with Ease Care, a CM under the management of Luxen and Kersen based in China, pursuant to which we expect to begin making purchases on a purchase order basis in the second half of 2024 for the supply of our headbands (the “Ease Care Agreement”). The Ease Care Agreement was effective beginning in February 2024 with an initial term of two years, which automatically renews for additional one-year periods. The automatic renewals are subject to either party’s right to terminate the Ease Care Agreement without cause by providing notice at least 120 days prior to expiration of the initial term or any one-year renewal period. Either party may terminate the Ease Care Agreement if the other party materially breaches the agreement and fails to cure the breach within 30 days after notice of such breach from the terminating party. We may terminate the Ease Care Agreement for convenience upon 90 days prior notice. The Ease Care Agreement grants us a perpetual, irrevocable, worldwide, non-exclusive, royalty-free, fully paid up, transferable right and license to all information and materials necessary for the manufacture, supply and support of the products that Ease Care provides to us.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Competition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primary competition that we face is from conventional EEG systems, which are used in the majority of hospitals in the United States. These systems are primarily used for outpatient epilepsy diagnosis but are often deployed to the acute care setting for use in patients at risk of seizure. The two primary providers of conventional EEG systems in the United States are Natus Medical Incorporated and Nihon Kohden Corporation.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also face competition from companies that have designed or aim to design rapid EEG systems or EEG systems specifically for use in the acute care setting, including Nihon Kohden, Zeto, and Natus. These products focus on one or more aspects of the shortcomings of conventional EEG in the acute care setting including time to setup, reliance on specially trained technicians, size of capital equipment, or lack of bedside diagnosis and monitoring capabilities.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believe that the primary competitive factors in the acute EEG market are: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reliable EEG signal quality;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algorithm sensitivity or specificity;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ease of use (including required training);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time to diagnosis;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monitoring features;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customer support and service;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integration within hospital IT systems and clinical workflows;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strength and volume of clinical evidence;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economic benefits and cost savings;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pricing and reimbursement strategies;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ability to manage infection risk;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form factor impact on patient positioning;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technology enhancements (such as length of battery life).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believe we have established a compelling value proposition to compete favorably in this market. </w:t>
      </w:r>
    </w:p>
    <w:p>
      <w:pPr>
        <w:pStyle w:val="TextBody"/>
        <w:bidi w:val="0"/>
        <w:spacing w:before="360" w:after="283"/>
        <w:jc w:val="both"/>
        <w:rPr>
          <w:rFonts w:ascii="Times New Roman" w:hAnsi="Times New Roman"/>
          <w:sz w:val="20"/>
        </w:rPr>
      </w:pPr>
      <w:r>
        <w:rPr>
          <w:rFonts w:ascii="Times New Roman" w:hAnsi="Times New Roman"/>
          <w:b/>
          <w:color w:val="000000"/>
          <w:sz w:val="20"/>
        </w:rPr>
        <w:t>Stanford</w:t>
      </w:r>
      <w:r>
        <w:rPr>
          <w:rFonts w:ascii="Times New Roman" w:hAnsi="Times New Roman"/>
          <w:color w:val="000000"/>
          <w:sz w:val="20"/>
        </w:rPr>
        <w:t xml:space="preserve"> </w:t>
      </w:r>
      <w:r>
        <w:rPr>
          <w:rFonts w:ascii="Times New Roman" w:hAnsi="Times New Roman"/>
          <w:b/>
          <w:color w:val="000000"/>
          <w:sz w:val="20"/>
        </w:rPr>
        <w:t>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June 2015, we entered into a license agreement with the Board of Trustees of the Leland Stanford Junior University (“Stanford University”), as amended in September 2015, April 2017, March 2022, and June 2025 (the “Stanford Agreement”). Pursuant to the Stanford Agreement, Stanford University granted to us a worldwide, term-limited exclusive license under certain patent rights owned or controlled by Stanford University to make, use and sell certain portable devices in connection with brain wave activity.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consideration for the license granted under the Stanford Agreement, we paid a non-refundable license issue fee of $42,000 in two equal installments and issued 221,712 shares of our common stock, of which 158,880 shares were issued to Stanford University and 62,832 shares were issued to the inventors of the licensed patents under the Stanford Agreement (one of whom was Josef Parvizi, M.D., Ph.D., who is our co-founder and board member). We paid Stanford University $36,000 upon the achievement of a specific commercial milestone event in 2018. There are no additional milestone payments that are due under the agreement. We are paying Stanford University an annual license maintenance fee of $20,000 that is creditable against the mid-single digit percentage royalty payment that we are required to make to Stanford University, which is based on the net sales of licensed products covered by the licensed patent rights or otherwise includes certain other technologies that Stanford University provided to us pursuant to the terms of the Stanford Agreement. We also agreed to pay Stanford University a low twenties percentage range of non-royalty sublicense related revenue that we receive from third party sublicensees. We agreed to pay Stanford University $100,000 prior to any assignment of the license, including if we are acquired by a third party or if we sell all or substantially all of our assets to which the Stanford Agreement relates.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June 12, 2025, the Company paid the option exercise fee of $250,000 to extend the exclusivity of the license from Stanford until the date the last expiry of the licensed patents, which is in May 2036.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Stanford Agreement is subject to the Bayh-Dole Act, which provides federal agencies with certain march-in rights and imposes certain domestic manufacturing requirements. See the section titled “Risk Factors—Risks Related to Our Intellectual Property” for a more comprehensive description of risks related to our intellectual property.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Stanford University may terminate the Stanford Agreement in the event, we (i) are delinquent on any report or payment; (ii) are not diligently developing and commercializing the licensed products; (iii) are in breach of the agreement; or (iv) provide any false report, and any of these events remains uncured for 30 days following written notice of such event. We may terminate the Stanford Agreement at any time upon 30 days’ advance written notice to Stanford University.</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Intellectual Property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seek to protect the intellectual property and proprietary technology that we consider important to our business. We pursue patent applications that cover our technologies and product candidates and methods of using the same, as well as any other relevant inventions and improvements that are considered commercially important to the development of our business. Our success depends in part on our ability to: (a) obtain, maintain, protect and enforce intellectual property and other proprietary rights for our current and future technology, inventions, improvements, and know-how we consider important to our business, (b) preserve the confidentiality of our trade secrets, (c) operate without infringing, misappropriating, or violating the intellectual property and other proprietary rights of others, and (d) prevent others from infringing, misappropriating, or violating our intellectual property and other proprietary rights.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developed, and are continuing to develop, a comprehensive intellectual property portfolio related to EEG monitoring in the acute care setting, including the Ceribell System hardware and algorithms for seizure detection as well as other medical conditions. As of December 31, 2025, our patent portfolio contains 58 total issued utility patents and pending utility patent applications (excluding European validation states), and includes patents and patent applications that are solely owned by us, exclusively licensed from Stanford University, and co-owned with Stanford University. Of the 58 total patents and patent applications, 23 patents and patent applications are directed to the Ceribell System (14 issued), 16 patents and patent applications are directed to EEG algorithms for seizure detection that run on the Ceribell System (2 issued), and 10 patents and patent applications are directed to EEG sonification (7 issued). Of the 58 total patents and patent applications, 29 are U.S. patents and patent applications, while 29 are foreign patents and patent applications in countries including Europe, China, Japan, Canada, Australia and Hong Kong.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July 2025, we filed patent infringement complaints against Natus Medical Incorporated and related subsidiaries (“Natus”) with the U.S. International Trade Commission (“USITC”) and the U.S. District Court for the District of Delaware (the “District Court”). These complaints allege that the Natus BrainWatch product infringes upon our proprietary headband and electrode designs. For additional information regarding this litigation, see the section titled “Item 3. Legal 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use of the foregoing exclusively licensed patents and pending patent applications is subject to the terms and conditions of the Stanford Agreement. See the section titled “—Stanford Agreement.”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to patents, we also rely upon trademarks, trade secrets, know-how, and continuing technological innovation to develop and maintain our competitive position. We maintain and are seeking registered trademarks. We have certain know-how and trade secrets relating to our EEG monitoring technology. We rely on trade secrets to protect certain aspects of our technology related to our current and future seizure detection algorithms. However, trade secrets can be difficult to protect. We seek to protect our proprietary information, including trade secrets, in part, by using confidentiality agreements with our commercial partners, collaborators, employees and consultants, and invention assignment agreements with our employees. We also have a trade secret policy that our employees are required to comply with, and have confidentiality agreements and/or invention assignment agreements with our employees, commercial partners and consultants. We also seek to preserve the integrity and confidentiality of our data and trade secrets by maintaining the physical security of our premises and physical and electronic security of our information technology systems. See the section titled “Risk Factors—Risks Related to Our Intellectual Property” for a more comprehensive description of risks related to our intellectual property.</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Data Privacy and Security Laws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Numerous state, federal and foreign laws, regulations and standards govern the collection, use, access to, confidentiality and security of health-related and other personal information, and could apply now or in the future to our operations or the operations of our partners. In the United States, numerous federal and state laws and regulations, including data breach notification laws, health information privacy and security laws and consumer protection laws and regulations govern the collection, use, disclosure, and protection of health-related and other personal information. In addition, certain foreign laws govern the privacy and security of personal data, including health-related data.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Government Regulation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products and operations are subject to extensive regulation by the FDA and other federal and state authorities in the United States, as well as comparable authorities in foreign jurisdictions. Our product candidates are subject to regulation as medical devices in the United States under the Federal Food, Drug, and Cosmetic Act (the “FDCA”), as implemented and enforced by the FDA.</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United States Regulation of Medical Devices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FDA regulates the development, design, non-clinical and clinical research, manufacturing, safety, efficacy, labeling, packaging, storage, installation, servicing, recordkeeping, premarket clearance or approval, adverse event reporting, advertising, promotion, marketing and distribution, and import and export of medical devices to ensure that medical devices distributed domestically are safe and effective for their intended uses and otherwise meet the requirements of the FDCA.</w:t>
      </w:r>
    </w:p>
    <w:p>
      <w:pPr>
        <w:pStyle w:val="TextBody"/>
        <w:bidi w:val="0"/>
        <w:spacing w:before="360" w:after="283"/>
        <w:jc w:val="both"/>
        <w:rPr>
          <w:rFonts w:ascii="Times New Roman" w:hAnsi="Times New Roman"/>
          <w:i/>
          <w:color w:val="000000"/>
          <w:sz w:val="20"/>
          <w:u w:val="single"/>
        </w:rPr>
      </w:pPr>
      <w:r>
        <w:rPr>
          <w:rFonts w:ascii="Times New Roman" w:hAnsi="Times New Roman"/>
          <w:i/>
          <w:color w:val="000000"/>
          <w:sz w:val="20"/>
          <w:u w:val="single"/>
        </w:rPr>
        <w:t>FDA premarket clearance and approval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Unless an exemption applies, each medical device commercially distributed in the United States requires either FDA clearance of a 510(k) premarket notification, or approval of a premarket approval (“PMA”) application. Under the FDCA, medical devices are classified into one of three classes—Class I, Class II, or Class III—depending on the degree of risk associated with each medical device and the extent of manufacturer and regulatory control needed to ensure its safety and effectiveness.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Class I includes devices with the lowest risk to the patient for which safety and effectiveness can be assured by adherence to the FDA’s General Controls for medical devices, which include compliance with the applicable portions of the Quality Management System Regulation (“QMSR”), facility registration and product listing, reporting of adverse medical events, and truthful and non-misleading labeling, advertising, and promotional materials. Class II devices are subject to the FDA’s General Controls, as well as any special controls deemed necessary by the FDA to ensure the safety and effectiveness of the device. These special controls can include performance standards, post-market surveillance, patient registries and FDA guidance documents. Devices deemed by the FDA to pose the greatest risks, such as life-sustaining, life-supporting and some implantable devices, devices that have a new intended use, or devices that use advanced technology that is not substantially equivalent to that of a legally marketed device, are placed in Class III, requiring approval of a PMA.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While most Class I devices are exempt from the 510(k) premarket notification requirement, manufacturers of most Class II devices are required to submit to the FDA a premarket notification under Section 510(k) of the FDCA, requesting permission to commercially distribute the device. The FDA’s permission to commercially distribute a device subject to a 510(k) premarket notification is generally known as 510(k) clearance. Some pre-amendment devices are unclassified, but are subject to FDA’s premarket notification and clearance process in order to be commercially distributed. The products we currently market are classified as Class II devices and have received FDA marketing authorization through the 510(k) clearance process.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i/>
          <w:color w:val="000000"/>
          <w:sz w:val="20"/>
          <w:u w:val="single"/>
        </w:rPr>
      </w:pPr>
      <w:r>
        <w:rPr>
          <w:rFonts w:ascii="Times New Roman" w:hAnsi="Times New Roman"/>
          <w:i/>
          <w:color w:val="000000"/>
          <w:sz w:val="20"/>
          <w:u w:val="single"/>
        </w:rPr>
        <w:t>510(k) Clearance marketing pathway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To obtain 510(k) clearance, a manufacturer must submit to the FDA a premarket notification demonstrating that the proposed device is “substantially equivalent” to a predicate device already on the market. A predicate device is a legally marketed device that is not subject to premarket approval, i.e., a device that was legally marketed prior to May 28, 1976, (pre-amendments) and for which a PMA is not required, a device that has been reclassified from Class III to Class II or I, or a device that was found substantially equivalent through the 510(k) process. The FDA’s 510(k) clearance process usually takes from three to twelve months, but may take longer. The FDA may require additional information, including clinical data, to make a determination regarding substantial equivalence. FDA collects user fees for certain medical device submissions and annual fees and for medical device establishments. </w:t>
      </w:r>
    </w:p>
    <w:p>
      <w:pPr>
        <w:pStyle w:val="TextBody"/>
        <w:bidi w:val="0"/>
        <w:spacing w:before="240" w:after="283"/>
        <w:jc w:val="both"/>
        <w:rPr>
          <w:rFonts w:ascii="Times New Roman" w:hAnsi="Times New Roman"/>
          <w:sz w:val="20"/>
        </w:rPr>
      </w:pPr>
      <w:r>
        <w:rPr>
          <w:rFonts w:ascii="Times New Roman" w:hAnsi="Times New Roman"/>
          <w:color w:val="000000"/>
          <w:sz w:val="20"/>
        </w:rPr>
        <w:t>If the FDA agrees that the device is substantially equivalent to a predicate device currently on the market, it will grant 510(k) clearance to commercially market the device. If the FDA determines that the device is “not substantially equivalent” to a previously-cleared device, the device is automatically designated as a Class III device. The device sponsor must then fulfill more rigorous PMA requirements. The PMA process requires that the manufacturer demonstrate that the device is safe and effective for its intended uses, which generally requires the submission of extensive data, including results from pre-clinical studies and human clinical trials. A PMA must also contain a full description of the device and its components, the methods, facilities, and controls used for manufacturing, and proposed labeling. The PMA process is burdensome, and in practice, the FDA’s review of a PMA application may take up to several years following initial submission. Alternatively, a manufacturer can request a risk-based classification determination for a novel device in accordance with the “</w:t>
      </w:r>
      <w:r>
        <w:rPr>
          <w:rFonts w:ascii="Times New Roman" w:hAnsi="Times New Roman"/>
          <w:i/>
          <w:color w:val="000000"/>
          <w:sz w:val="20"/>
        </w:rPr>
        <w:t>de novo</w:t>
      </w:r>
      <w:r>
        <w:rPr>
          <w:rFonts w:ascii="Times New Roman" w:hAnsi="Times New Roman"/>
          <w:color w:val="000000"/>
          <w:sz w:val="20"/>
        </w:rPr>
        <w:t xml:space="preserve">” process, described below. We currently do not market any medical devices pursuant to a PMA.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After a device receives 510(k) clearance or </w:t>
      </w:r>
      <w:r>
        <w:rPr>
          <w:rFonts w:ascii="Times New Roman" w:hAnsi="Times New Roman"/>
          <w:i/>
          <w:color w:val="000000"/>
          <w:sz w:val="20"/>
        </w:rPr>
        <w:t xml:space="preserve">de novo </w:t>
      </w:r>
      <w:r>
        <w:rPr>
          <w:rFonts w:ascii="Times New Roman" w:hAnsi="Times New Roman"/>
          <w:color w:val="000000"/>
          <w:sz w:val="20"/>
        </w:rPr>
        <w:t xml:space="preserve">classification, any modification that could significantly affect its safety or effectiveness, or that would constitute a major change or modification in its intended use, will require a new 510(k) clearance or, depending on the modification, PMA approval or </w:t>
      </w:r>
      <w:r>
        <w:rPr>
          <w:rFonts w:ascii="Times New Roman" w:hAnsi="Times New Roman"/>
          <w:i/>
          <w:color w:val="000000"/>
          <w:sz w:val="20"/>
        </w:rPr>
        <w:t xml:space="preserve">de novo </w:t>
      </w:r>
      <w:r>
        <w:rPr>
          <w:rFonts w:ascii="Times New Roman" w:hAnsi="Times New Roman"/>
          <w:color w:val="000000"/>
          <w:sz w:val="20"/>
        </w:rPr>
        <w:t xml:space="preserve">classification. The FDA requires each manufacturer to determine whether the proposed change requires submission of a 510(k), </w:t>
      </w:r>
      <w:r>
        <w:rPr>
          <w:rFonts w:ascii="Times New Roman" w:hAnsi="Times New Roman"/>
          <w:i/>
          <w:color w:val="000000"/>
          <w:sz w:val="20"/>
        </w:rPr>
        <w:t xml:space="preserve">de novo </w:t>
      </w:r>
      <w:r>
        <w:rPr>
          <w:rFonts w:ascii="Times New Roman" w:hAnsi="Times New Roman"/>
          <w:color w:val="000000"/>
          <w:sz w:val="20"/>
        </w:rPr>
        <w:t xml:space="preserve">request or a PMA in the first instance, but the FDA can review any such decision and disagree with a manufacturer’s determination. If the FDA disagrees with a manufacturer’s determination, the FDA can require the manufacturer to cease marketing and/or request the recall of the modified device until 510(k) marketing clearance or PMA approval is obtained or a </w:t>
      </w:r>
      <w:r>
        <w:rPr>
          <w:rFonts w:ascii="Times New Roman" w:hAnsi="Times New Roman"/>
          <w:i/>
          <w:color w:val="000000"/>
          <w:sz w:val="20"/>
        </w:rPr>
        <w:t xml:space="preserve">de novo </w:t>
      </w:r>
      <w:r>
        <w:rPr>
          <w:rFonts w:ascii="Times New Roman" w:hAnsi="Times New Roman"/>
          <w:color w:val="000000"/>
          <w:sz w:val="20"/>
        </w:rPr>
        <w:t>request is granted. In these circumstances, the manufacturer may be subject to significant regulatory fines or penalties.</w:t>
      </w:r>
    </w:p>
    <w:p>
      <w:pPr>
        <w:pStyle w:val="TextBody"/>
        <w:bidi w:val="0"/>
        <w:spacing w:before="360" w:after="283"/>
        <w:jc w:val="both"/>
        <w:rPr>
          <w:rFonts w:ascii="Times New Roman" w:hAnsi="Times New Roman"/>
          <w:i/>
          <w:color w:val="000000"/>
          <w:sz w:val="20"/>
          <w:u w:val="single"/>
        </w:rPr>
      </w:pPr>
      <w:r>
        <w:rPr>
          <w:rFonts w:ascii="Times New Roman" w:hAnsi="Times New Roman"/>
          <w:i/>
          <w:color w:val="000000"/>
          <w:sz w:val="20"/>
          <w:u w:val="single"/>
        </w:rPr>
        <w:t>De novo classification process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Medical device types that the FDA has not previously classified as Class I, II, or III are automatically classified into Class III regardless of the level of risk they pose. The Food and Drug Administration Modernization Act of 1997 established a route to market for low-to-moderate risk medical devices that are automatically placed into Class III due to the absence of a predicate device, called the “Request for Evaluation of Automatic Class III Designation,” or the de novo classification procedure. This procedure allows a manufacturer whose novel device is automatically classified into Class III to request down-classification of its medical device into Class I or Class II on the basis that the device presents low or moderate risk, rather than requiring the submission and approval of a PMA application. Manufacturers may request de novo classification directly without first submitting a 510(k) pre-market notification to the FDA and receiving a not-substantially-equivalent determination. De novo classification requests are subject to the payment of user fees.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By statute, FDA is required to classify the device within 120 days following receipt of the de novo request, although the process may take significantly longer. If the manufacturer seeks reclassification into Class II, the manufacturer must include a draft proposal for special controls that are necessary to provide a reasonable assurance of the safety and effectiveness of the medical device. If FDA grants the de novo request, the device may be legally marketed in the United States. However, the FDA may reject the request if the FDA identifies a legally marketed predicate device that would be appropriate for a 510(k) notification, determines that the device is not low-to-moderate risk, or determines that General Controls would be inadequate to control the risks and/or special controls cannot be developed. After a device receives de novo classification, any modification that could significantly affect its safety or efficacy, or that would constitute a major change or modification in its intended use, will require a new 510(k) clearance or, depending on the modification, another de novo request or even PMA approval.</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i/>
          <w:color w:val="000000"/>
          <w:sz w:val="20"/>
          <w:u w:val="single"/>
        </w:rPr>
      </w:pPr>
      <w:r>
        <w:rPr>
          <w:rFonts w:ascii="Times New Roman" w:hAnsi="Times New Roman"/>
          <w:i/>
          <w:color w:val="000000"/>
          <w:sz w:val="20"/>
          <w:u w:val="single"/>
        </w:rPr>
        <w:t>Medical device clinical trials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Clinical trials are sometimes required to support 510(k) or de novo submissions. All clinical investigations of devices to determine safety and effectiveness must be conducted in accordance with the FDA’s investigational device exemption (“IDE”), regulations which govern investigational device labeling, prohibit promotion of the investigational device, and specify an array of recordkeeping, reporting and monitoring responsibilities of study sponsors and study investigators. If the device presents a “significant risk” to human health, as defined by the FDA, the FDA requires the device sponsor to submit an IDE application to the FDA, which must become effective prior to commencing human clinical trials. If the device under evaluation does not present a significant risk to human health, then the device sponsor is not required to submit an IDE application to the FDA before initiating human clinical trials, but must still comply with abbreviated IDE requirements when conducting such trials. A significant risk device is one that presents a potential for serious risk to the health, safety or welfare of a patient and either is implanted, used in supporting or sustaining human life, substantially important in diagnosing, curing, mitigating or treating disease or otherwise preventing impairment of human health, or presents a potential for serious risk to a patient in some other way. An IDE application must be supported by appropriate data, such as animal and laboratory test results, showing that it is safe to test the device in humans and that the testing protocol is scientifically sound. The IDE will automatically become effective 30 days after receipt by the FDA unless the FDA notifies the company that the investigation may not begin. If the FDA determines that there are deficiencies or other concerns with an IDE for which it requires modification, the FDA may permit a clinical trial to proceed under a conditional approval.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Regardless of the degree of risk presented by the medical device, clinical studies must be approved by, and conducted under the oversight of, an Institutional Review Board (the “IRB”), for each clinical site. The IRB is responsible for the initial and continuing review of the clinical study, and may pose additional requirements for the conduct of the study. If an IDE application is approved by the FDA and one or more IRBs, human clinical trials may begin at a specific number of investigational sites with a specific number of patients, as approved by the FDA. If the device presents a non-significant risk to the patient, a sponsor may begin the clinical trial after obtaining approval for the trial by one or more IRBs without separate approval from the FDA, but must still follow abbreviated IDE requirements, such as monitoring the investigation, ensuring that the investigators obtain informed consent, and labeling and record-keeping requirements. Acceptance of an IDE application for review does not guarantee that the FDA will allow the IDE to become effective and, if it does become effective, the FDA may or may not determine that the data derived from the trials support the safety and effectiveness of the device or warrant the continuation of clinical trials.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a study, the sponsor is required to comply with the applicable FDA requirements, including, for example, trial monitoring, selecting clinical investigators and providing them with the investigational plan, ensuring IRB review, adverse event reporting, record keeping and prohibitions on the promotion of investigational devices or on making safety or effectiveness claims for them. The clinical investigators in the clinical study are also subject to FDA’s regulations and must obtain patient informed consent, rigorously follow the investigational plan and study protocol, control the disposition of the investigational device, and comply with all reporting and recordkeeping requirements. Additionally, after a trial begins, we, the FDA or the IRB could suspend or terminate a clinical trial at any time for various reasons, such as strategic business decisions or a belief that the risks to study subjects may outweigh the anticipated benefits.</w:t>
      </w:r>
    </w:p>
    <w:p>
      <w:pPr>
        <w:pStyle w:val="TextBody"/>
        <w:bidi w:val="0"/>
        <w:spacing w:before="360" w:after="283"/>
        <w:jc w:val="both"/>
        <w:rPr>
          <w:rFonts w:ascii="Times New Roman" w:hAnsi="Times New Roman"/>
          <w:i/>
          <w:color w:val="000000"/>
          <w:sz w:val="20"/>
          <w:u w:val="single"/>
        </w:rPr>
      </w:pPr>
      <w:r>
        <w:rPr>
          <w:rFonts w:ascii="Times New Roman" w:hAnsi="Times New Roman"/>
          <w:i/>
          <w:color w:val="000000"/>
          <w:sz w:val="20"/>
          <w:u w:val="single"/>
        </w:rPr>
        <w:t>Expedited development and review programs</w:t>
      </w:r>
    </w:p>
    <w:p>
      <w:pPr>
        <w:pStyle w:val="TextBody"/>
        <w:bidi w:val="0"/>
        <w:spacing w:before="120" w:after="283"/>
        <w:jc w:val="both"/>
        <w:rPr>
          <w:rFonts w:ascii="Times New Roman" w:hAnsi="Times New Roman"/>
          <w:sz w:val="20"/>
        </w:rPr>
      </w:pPr>
      <w:r>
        <w:rPr>
          <w:rFonts w:ascii="Times New Roman" w:hAnsi="Times New Roman"/>
          <w:color w:val="000000"/>
          <w:sz w:val="20"/>
        </w:rPr>
        <w:t>Following passage of the 21</w:t>
      </w:r>
      <w:r>
        <w:rPr>
          <w:rFonts w:ascii="Times New Roman" w:hAnsi="Times New Roman"/>
          <w:color w:val="000000"/>
          <w:sz w:val="13"/>
        </w:rPr>
        <w:t>st</w:t>
      </w:r>
      <w:r>
        <w:rPr>
          <w:rFonts w:ascii="Times New Roman" w:hAnsi="Times New Roman"/>
          <w:color w:val="000000"/>
          <w:sz w:val="20"/>
        </w:rPr>
        <w:t xml:space="preserve"> Century Cures Act, the FDA implemented the Breakthrough Devices Program, which is a voluntary program offered to manufacturers of certain medical devices and device-led combination products that may provide for more effective treatment or diagnosis of life-threatening or irreversibly debilitating diseases or conditions. The goal of the program is to provide patients and health care providers with more timely access to qualifying devices by expediting their development, assessment and review, while preserving the statutory standards for PMA approval, 510(k) clearance and </w:t>
      </w:r>
      <w:r>
        <w:rPr>
          <w:rFonts w:ascii="Times New Roman" w:hAnsi="Times New Roman"/>
          <w:i/>
          <w:color w:val="000000"/>
          <w:sz w:val="20"/>
        </w:rPr>
        <w:t xml:space="preserve">de novo </w:t>
      </w:r>
      <w:r>
        <w:rPr>
          <w:rFonts w:ascii="Times New Roman" w:hAnsi="Times New Roman"/>
          <w:color w:val="000000"/>
          <w:sz w:val="20"/>
        </w:rPr>
        <w:t>classification. The program is available for medical devices that meet certain eligibility criteria, including that the device provides more effective treatment or diagnosis of life-threatening or irreversibly debilitating diseases or conditions, and that: (i) the device represents a breakthrough technology, (ii) no approved or cleared alternatives exist, (iii) the device offers significant advantages over existing approved or cleared alternatives, or (iv) the availability of the device is in the best interest of patients. Breakthrough Device Designation provides certain benefits to device developers, including more interactive and timely communications with FDA staff; use of post-market data collection, when scientifically appropriate, to facilitate expedited and efficient development and review of the device; opportunities for more efficient and flexible clinical study design; and prioritized review of premarket submissions. When reviewing Breakthrough Device Designation requests, the FDA may require a combination of literature or preliminary bench, animal or clinical data to demonstrate a reasonable likelihood of clinical and technological success. Receiving a Breakthrough Device Designation from the FDA does not guarantee that the FDA will grant marketing authorization for the device.</w:t>
      </w:r>
    </w:p>
    <w:p>
      <w:pPr>
        <w:pStyle w:val="TextBody"/>
        <w:bidi w:val="0"/>
        <w:spacing w:before="360" w:after="283"/>
        <w:jc w:val="both"/>
        <w:rPr>
          <w:rFonts w:ascii="Times New Roman" w:hAnsi="Times New Roman"/>
          <w:i/>
          <w:color w:val="000000"/>
          <w:sz w:val="20"/>
          <w:u w:val="single"/>
        </w:rPr>
      </w:pPr>
      <w:r>
        <w:rPr>
          <w:rFonts w:ascii="Times New Roman" w:hAnsi="Times New Roman"/>
          <w:i/>
          <w:color w:val="000000"/>
          <w:sz w:val="20"/>
          <w:u w:val="single"/>
        </w:rPr>
        <w:t>Post-market regulation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After a device is cleared or approved for marketing, numerous and pervasive regulatory requirements continue to apply. These include: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establishment registration and device listing with the FDA;</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QSR requirements, which require manufacturers, including third-party manufacturers, to follow stringent design, testing, control, documentation and other quality assurance procedures during all aspects of the design and manufacturing process;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labeling regulations and FDA prohibitions against the promotion of investigational products, or the promotion of “off-label” uses of cleared or approved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requirements related to promotional activities;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clearance or approval of product modifications to cleared devices or devices authorized through the de novo classification process that could significantly affect safety or effectiveness, or that would constitute a major change in intended use of such devices, or approval of certain modifications to PMA-approved devices;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correction, removal and recall reporting regulations, which require that manufacturers report to the FDA field corrections and product recalls or removals if undertaken to reduce a risk to health posed by the device or to remedy a violation of the FDCA that may present a risk to health;</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FDA’s recall authority, whereby the agency can order device manufacturers to recall from the market a product that is in violation of governing laws and regulations;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post-market surveillance activities and regulations, which apply when deemed by the FDA to be necessary to protect the public health or to provide additional safety and effectiveness data for the device.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Manufacturing processes for medical devices are required to comply with the applicable portions of the QMSR, which cover the methods and the facilities and controls for the design, manufacture, testing, production, processes, controls, quality assurance, labeling, packaging, distribution, installation and servicing of finished devices intended for human use. The QMSR also requires, among other things, maintenance of a medical device file and complaint files. As a manufacturer, we are subject to periodic scheduled or unscheduled inspections by the FDA. Failure to maintain compliance with the QMSR requirements could result in the shutdown of, or restrictions on, manufacturing operations and the recall or seizure of marketed products. The discovery of previously unknown problems with marketed medical devices, including unanticipated adverse events or adverse events of increasing severity or frequency, whether resulting from the use of the device within the scope of its clearance or off-label by a physician in the practice of medicine, could result in restrictions on the device, including the removal of the product from the market or voluntary or mandatory device recalls.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FDA has broad regulatory compliance and enforcement powers. If the FDA determines that a manufacturer has failed to comply with applicable regulatory requirements, it can take a variety of compliance or enforcement actions, which may result in any of the following sanctions, among others: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warning letters, untitled letters, it has come to our attention letters, fines, injunctions, consent decrees, and civil penalties;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recalls, withdrawals, or administrative detention or product seizures;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operating restrictions or partial suspension or total shutdown of production;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refusing or delaying requests for 510(k) marketing clearance or PMA approvals of new products or modified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withdrawing 510(k) clearances or PMA approvals that have already been granted;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refusal to grant export approvals for devices being shipped to foreign markets;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criminal prosecution.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also subject to regulation by the California Department of Public Health Food and Drug Branch (“FDB”) through the Medical Device Safety Program. We must maintain a California Medical Device Manufacturing license. Our facilities may be subjected to scheduled or unscheduled inspections by the FDB.</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Healthcare Fraud and Abuse Laws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United States, we are subject to a number of federal and state healthcare regulatory laws that restrict business practices in the healthcare industry. These laws include, but are not limited to, federal and state anti-kickback, false claims, and other healthcare fraud and abuse laws.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federal Anti-Kickback Statute prohibits, among other things, any person or entity from knowingly and willfully offering, paying, soliciting, receiving or providing any remuneration, directly or indirectly, overtly or covertly, to induce or in return for purchasing, leasing, ordering, or arranging for or recommending the purchase, lease, or order of any good, facility, item, or service reimbursable, in whole or in part, under Medicare, Medicaid or other federal healthcare programs. A person or entity does not need to have actual knowledge of the statute or specific intent to violate it in order to have committed a violation.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 federal false claims laws, including the civil False Claims Act, prohibit, among other things, any person or entity from knowingly presenting, or causing to be presented, a false, fictitious or fraudulent claim for payment to, or approval by, the federal government, knowingly making, using, or causing to be made or used a false record or statement material to a false or fraudulent claim to the federal government, or knowingly making a false statement to avoid, decrease or conceal an obligation to pay money to the federal government. A claim includes “any request or demand” for money or property presented to the government. Actions under the civil False Claims Act may be brought by the Attorney General or as a </w:t>
      </w:r>
      <w:r>
        <w:rPr>
          <w:rFonts w:ascii="Times New Roman" w:hAnsi="Times New Roman"/>
          <w:i/>
          <w:color w:val="000000"/>
          <w:sz w:val="20"/>
        </w:rPr>
        <w:t>qui tam</w:t>
      </w:r>
      <w:r>
        <w:rPr>
          <w:rFonts w:ascii="Times New Roman" w:hAnsi="Times New Roman"/>
          <w:color w:val="000000"/>
          <w:sz w:val="20"/>
        </w:rPr>
        <w:t xml:space="preserve"> action by a private individual in the name of the government. Moreover, a claim including items or services resulting from a violation of the federal Anti-Kickback Statute constitutes a false or fraudulent claim for purposes of the federal civil False Claims Act.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the civil monetary penalties statute, subject to certain exceptions, prohibits, among other things, the offer or transfer of remuneration, including waivers of copayments and deductible amounts (or any part thereof), to a Medicare or state healthcare program beneficiary if the person knows or should know it is likely to influence the beneficiary’s selection of a particular provider, practitioner, or supplier of services reimbursable by Medicare or a state healthcare program.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federal Health Insurance Portability and Accountability Act of 1996 (“HIPAA”) created additional federal criminal statutes that prohibit, among other actions, knowingly and willfully executing, or attempting to execute, a scheme to defraud any healthcare benefit program, including private third party payers,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HIPAA, as amended by the Health Information Technology for Economic and Clinical Health Act of 2009 (“HITECH”), and their respective implementing regulations, impose requirements relating to the privacy, security and transmission of individually identifiable health information on certain covered healthcare providers, health plans, and healthcare clearinghouses, as well as business associates, independent contractors or agents of covered entities that create, receive, maintain or transmit protected health information in connection with providing a service for or on behalf of a covered entity.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federal Physician Payments Sunshine Act (“Sunshine Act”) was signed into law in 2010 as part of the Affordable Care Act and amended in 2018 with the SUPPORT Act. The Sunshine Act applies to (a) group purchasing organizations and (b) certain manufacturers of drugs, devices, biologics and medical supplies for which payment is available under Medicare, Medicaid or the Children’s Health Insurance Program (“Applicable Manufacturers”), with specific exceptions. Applicable Manufacturers must report annually to the Centers for Medicare &amp; Medicaid Services (“CMS”) certain information related to payments or other transfers of value made to physicians (defined to include doctors, dentists, optometrists, podiatrists, and chiropractors), certain other healthcare professionals such as physician assistants and nurse practitioners, and teaching hospitals, including ownership and investment interests held by physicians and their immediate family members. CMS has issued implementing regulations and the reported data is publicly available on the CMS Open Payments website.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Several states in which we operate have also adopted fraud and abuse laws similar to those described above. The scope of these laws and their interpretations vary from state to state and are enforced by state courts and regulatory authorities, each with broad discretion. Some state fraud and abuse laws apply to items or services reimbursed by any payer, including patients and commercial insurers, not just those reimbursed by a federally funded healthcare program.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Violations of fraud and abuse laws, including federal and state anti-kickback and false claims laws, may be punishable by criminal and civil sanctions, including fines and civil monetary penalties, the possibility of exclusion from federal healthcare programs (including Medicare and Medicaid), disgorgement, and corporate integrity agreements, which impose, among other things, rigorous operational and monitoring requirements on companies. Similar sanctions and penalties, as well as imprisonment, also can be imposed upon executive officers and employees of such companies.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Coverage and Reimbursement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United States, our commercial success depends in part on the extent to which governmental authorities, private health insurers and other third-party payers provide coverage for and establish adequate reimbursement levels for our products and related services. Use of the Ceribell System is reimbursed under existing physician and hospital codes. We do not bill any third-party payers for the Ceribell System. Instead, we invoice healthcare providers, and the cost is bundled into the reimbursement received by healthcare providers when the Ceribell System is used. Failure by physicians, hospitals, and other users of our products to obtain adequate reimbursement from third-party payers for services performed with our products, or adverse changes in government and private third-party payers’ coverage and reimbursement policies, could adversely impact demand for our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Coverage and reimbursement for use of the Ceribell System can differ significantly from payer to payer. Third-party payers are increasingly auditing and challenging the prices charged for medical products and services, with concern for upcoding, miscoding, using inappropriate modifiers, or billing for inappropriate care settings. Some third-party payers must approve coverage for new or innovative devices before they will reimburse healthcare providers who use the products or therapies. Even though a new product may have been cleared for commercial distribution by the FDA, we may find limited demand for the product unless and until reimbursement approval has been obtained from governmental and private third-party payers.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to uncertainties surrounding coverage policies, there are periodic changes to reimbursement levels. Third-party payers regularly update reimbursement amounts and, from time to time, revise the methodologies used to determine reimbursement amounts. These changes include routine updates to payments to hospitals under the IPPS. These updates could directly impact the demand for our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believe the overall escalating cost of medical products and services being paid for by the government and private health insurance has led to, and will continue to lead to, increased pressures on the healthcare and medical device industries to reduce the costs of products and services. Third-party payers are developing increasingly sophisticated methods of controlling healthcare costs through, for example, prospective reimbursement and capitation programs, group purchasing, redesign of benefits, and exploration of more cost-effective methods of delivering healthcare. In the United States, some insured individuals enroll in managed care programs, which monitor and often require pre-approval of the services that a member will receive. Some managed care programs pay their providers on a per capita (patient) basis. These programs may put providers at financial risk for the services provided to their patients by paying these providers a predetermined payment per member per month and, consequently, may limit the willingness of these providers to use our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Although we do not currently sell into international markets, we note that reimbursement and healthcare payment systems vary significantly by country, and many countries have instituted price ceilings on specific product lines and procedures. There can be no assurance that our products will be considered cost-effective by third party payers, that an adequate level of reimbursement will be available or that payers’ reimbursement policies will not adversely affect our ability to sell our products profitably. Increasingly, local, product-specific reimbursement law is applied as an overlay to medical device regulation, which has provided an additional layer of requirements.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Healthcare Reform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United States and some foreign jurisdictions are considering or have enacted a number of legislative and regulatory proposals to change the healthcare system in ways that could affect our ability to sell our products profitably. Among policy makers and payers in the United States and elsewhere, there is significant interest in promoting changes in healthcare systems with the stated goals of containing healthcare costs, improving quality and/or expanding access. Current and future legislative proposals to further reform healthcare or reduce healthcare costs may limit coverage of or lower reimbursement for the procedures associated with the use of our products. The cost containment measures that payers and providers are instituting and the effect of any healthcare reform initiative implemented in the future could impact our revenue from the sale of our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implementation of the Affordable Care Act (the “ACA”) in the United States, for example, substantially changed healthcare financing and delivery by both governmental and private insurers, and significantly affected medical device manufacturers. The ACA, among other things, provided incentives to programs that increase the federal government’s comparative effectiveness research, and implemented payment system reforms including a national pilot program on payment bundling to encourage hospitals, physicians, and other providers to improve the coordination, quality and efficiency of certain healthcare services through bundled payment models. Additionally, the ACA expanded eligibility criteria for Medicaid programs and created a Patient-Centered Outcomes Research Institute to oversee, identify priorities in, and conduct comparative clinical effectiveness research, along with funding for such research. Since its enactment, there have been judicial, executive and political challenges to certain aspects of the ACA. On June 17, 2021, the U.S. Supreme Court dismissed a judicial challenge to the ACA brought by several states, without specifically ruling on its constitutionality.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Other legislative changes have been proposed and adopted since the ACA was enacted. For example, the Budget Control Act of 2011, among other things, reduced Medicare payments to providers, effective on April 1, 2013, and, due to subsequent legislative amendments to the statute, will remain in effect through 2032, with the exception of a temporary suspension from May 1, 2020, through March 31, 2022, unless additional Congressional action is taken. Additionally, the American Taxpayer Relief Act of 2012, among other things, further reduced Medicare payments to several providers, including hospitals, and increased the statute of limitations period for the government to recover overpayments to providers from three to five years. In 2025, as part of the budget reconciliation process, the One Big Beautiful Bill Act included significant reforms to Medicaid, including an estimated $1 trillion in reduced federal Medicaid spending from 2025 through 2034, the imposition of work requirements for certain adult enrollees, more frequent eligibility redeterminations and increased cost-sharing for beneficiaries. These changes are expected to reduce overall Medicaid enrollment and access to care. Although the effect on our business is currently unknown, any decrease in the number of insured patients or reimbursement levels for our products could adversely affect our revenue and commercial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additional state and federal healthcare reform measures to be adopted in the future, any of which could limit the amounts that federal and state governments will pay for healthcare products and services, which could result in reduced demand for our products or additional pricing pressure.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Employees and Human Capital Resources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December 31, 2025, we had 327 full-time employees. None of our employees are represented by a labor union nor party to a collective bargaining agreement.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human capital objectives include retaining and incentivizing existing employees and recruiting and integrating new employees. The principal purposes of our compensation program, including our equity incentive plans, are to attract, retain and motivate employees, consultants and directors through the granting of stock-based compensation awards and cash-based bonus awards, as appropriate.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Corporate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corporate headquarters is located at 360 N. Pastoria Avenue, Sunnyvale, California 94085. Our telephone number is (800) 436-0826. We use our website at www.ceribell.com to communicate important information about our company, including news releases and financial information. We also make available on our website, free of charge on the investor relations webpage, copies of our Securities and Exchange Commission (“SEC”) filings and submissions, which can be found at the SEC’s website, www.sec.gov, as soon as reasonably practicable after electronic filing or furnishing of such documents to the SEC. Stockholders may also request copies of these documents by writing to our Corporate Secretary at the address above. Website references are provided throughout this document for convenience only. The contents of these websites do not constitute a part of this Annual Report and shall not be deemed incorporated by reference into this Annual Report unless expressly noted.</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3" w:name="risk_factors"/>
      <w:bookmarkEnd w:id="3"/>
      <w:r>
        <w:rPr>
          <w:rFonts w:ascii="Times New Roman" w:hAnsi="Times New Roman"/>
          <w:b/>
          <w:color w:val="000000"/>
          <w:sz w:val="20"/>
        </w:rPr>
        <w:t>Item 1A. Risk Factors.</w:t>
      </w:r>
    </w:p>
    <w:p>
      <w:pPr>
        <w:pStyle w:val="TextBody"/>
        <w:bidi w:val="0"/>
        <w:spacing w:before="120" w:after="283"/>
        <w:jc w:val="both"/>
        <w:rPr>
          <w:rFonts w:ascii="Times New Roman" w:hAnsi="Times New Roman"/>
          <w:sz w:val="20"/>
        </w:rPr>
      </w:pPr>
      <w:r>
        <w:rPr>
          <w:rFonts w:ascii="Times New Roman" w:hAnsi="Times New Roman"/>
          <w:i/>
          <w:color w:val="000000"/>
          <w:sz w:val="20"/>
        </w:rPr>
        <w:t xml:space="preserve">Investing in our common stock involves a high degree of risk. You should carefully consider the risks described below, as well as the other information in this Annual Report, including our financial statements and the related notes and </w:t>
      </w:r>
      <w:r>
        <w:rPr>
          <w:rFonts w:ascii="Times New Roman" w:hAnsi="Times New Roman"/>
          <w:color w:val="000000"/>
          <w:sz w:val="20"/>
        </w:rPr>
        <w:t>“</w:t>
      </w:r>
      <w:r>
        <w:rPr>
          <w:rFonts w:ascii="Times New Roman" w:hAnsi="Times New Roman"/>
          <w:i/>
          <w:color w:val="000000"/>
          <w:sz w:val="20"/>
        </w:rPr>
        <w:t>Management’s Discussion and Analysis of Financial Condition and Results of Operations,</w:t>
      </w:r>
      <w:r>
        <w:rPr>
          <w:rFonts w:ascii="Times New Roman" w:hAnsi="Times New Roman"/>
          <w:color w:val="000000"/>
          <w:sz w:val="20"/>
        </w:rPr>
        <w:t xml:space="preserve">” </w:t>
      </w:r>
      <w:r>
        <w:rPr>
          <w:rFonts w:ascii="Times New Roman" w:hAnsi="Times New Roman"/>
          <w:i/>
          <w:color w:val="000000"/>
          <w:sz w:val="20"/>
        </w:rPr>
        <w:t>before deciding whether to invest in our common stock. The occurrence of any of the events or developments described below could have a material adverse effect on our business, financial condition, results of operations, and prospects. In such an event, the market price of our common stock could decline, and you may lose all or part of your investment. Additional risks and uncertainties not presently known to us or that we currently believe are not material may also impair our business, financial condition, results of operations, and prospects.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Business and Industry Risk Factors</w:t>
      </w:r>
    </w:p>
    <w:p>
      <w:pPr>
        <w:pStyle w:val="TextBody"/>
        <w:bidi w:val="0"/>
        <w:spacing w:before="120" w:after="283"/>
        <w:jc w:val="both"/>
        <w:rPr>
          <w:rFonts w:ascii="Times New Roman" w:hAnsi="Times New Roman"/>
          <w:sz w:val="20"/>
        </w:rPr>
      </w:pPr>
      <w:r>
        <w:rPr>
          <w:rFonts w:ascii="Times New Roman" w:hAnsi="Times New Roman"/>
          <w:b/>
          <w:i/>
          <w:color w:val="000000"/>
          <w:sz w:val="20"/>
        </w:rPr>
        <w:t>We have a limited operating history and have experienced rapid growth, which may strain our resources and make it difficult to evaluate our business and future prospects. If we are unable to manage our expansion effectively, our business could be materially and adversely affected.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were founded in 2014 and began selling Ceribell headbands, recorder, and portal in 2018. Since our formation in 2014, we have achieved several key operational milestones that we believe position us for continued growth and success, including our receipt of 510(k) clearance from the FDA for our recorder and headband in 2017, our first commercial sales in 2018, our receipt of 510(k) clearance from the FDA for an early version of Clarity in 2019, and our growth to over 300 employees as of December 31, 2025. Accordingly, we have a limited operating history, which makes evaluation of our future prospects difficult. In that time, we have experienced periods of significant growth in revenue and employees and rapid changes in our business, which have required us to scale the size of our organization and infrastructure.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growth that we experience in the future will require us to further expand our sales and marketing and research and development personnel (including those with software and hardware expertise), our manufacturing operations, and our general and administrative infrastructure. In addition to the need to scale our operational capacity, future growth will impose significant added responsibilities on management, including the need to identify, recruit, train, and integrate additional employees. Rapid expansion in personnel could impact our capacity to manufacture, market, sell, and support our products, which could result in inefficiencies, unanticipated costs, and disruptions to our operations, and could also pose challenges to retaining our existing employees, including through increased reliance on overtime that could result in greater attrition and reduced productivity. While our quarterly revenues have generally increased since our commercial launch, our results of operations have fluctuated in the past, and our future quarterly and annual results of operations may fluctuate as we focus on increasing demand for our products. We may need to make business decisions that could adversely affect our results of operations and prospects, such as modifications to our pricing and reimbursement strategy, business structure, or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challenges we face in managing our business, including the changing reimbursement and regulatory landscapes, place significant demands on our management, financial, operational, manufacturing, technological, and other resources, and we expect that managing our business will continue to require us to develop and improve our operational, financial and other internal controls, reporting systems, and procedures at a pace consistent with our growth. Continued growth increases challenges in areas such as recruiting and retaining sufficient skilled personnel, providing adequate training and supervision to maintain high-quality product standards and regulatory compliance, and preserving our culture and values. We have also had, and may in the future experience, delays with onboarding new accounts due to scheduling and other logistical issues. We may not be able to address these challenges in a cost-effective manner, or at all. As we grow, we may also need to invest significant resources to improve and expand our manufacturing capabilities and technology, and we may not be able to do so in a cost-effective manner or at all. We cannot assure you that changes in scale, quality, or compliance assurance, including those related to any future additional indications for the Ceribell System, will be successfully implemented or that appropriate personnel will be available to facilitate the management of our business. Failure to implement necessary quality and compliance procedures, transition to new manufacturing processes or supply chains, or hire or maintain necessary personnel could result in higher costs or an inability to meet demand. In addition, our business is affected by general macroeconomic and business conditions around the world, including the impacts of inflation, increased interest rates, market instability, geopolitical conditions and conflicts, health crises, and natural disasters. If we do not effectively manage our growth and the various challenges we face, we may not be able to execute on our business plan, respond to competitive pressures, take advantage of market opportunities, satisfy customer requirements, or maintain high-quality products, which could have a material adverse effect on our business, financial condition, results of operations, and prospects.</w:t>
      </w:r>
    </w:p>
    <w:p>
      <w:pPr>
        <w:pStyle w:val="TextBody"/>
        <w:bidi w:val="0"/>
        <w:spacing w:before="360" w:after="283"/>
        <w:jc w:val="both"/>
        <w:rPr>
          <w:rFonts w:ascii="Times New Roman" w:hAnsi="Times New Roman"/>
          <w:sz w:val="20"/>
        </w:rPr>
      </w:pPr>
      <w:r>
        <w:rPr>
          <w:rFonts w:ascii="Times New Roman" w:hAnsi="Times New Roman"/>
          <w:b/>
          <w:i/>
          <w:color w:val="000000"/>
          <w:sz w:val="20"/>
        </w:rPr>
        <w:t>We have a history of net losses, and we expect to incur additional substantial losses in the foreseeable future.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incurred net losses since inception, and we expect to incur additional substantial losses in the foreseeable future. For the fiscal year ended December 31, 2025, we incurred a net loss of $53.4 million. As of December 31, 2025, we had an accumulated deficit of $220.4 million. We also expect our operating expenses to increase in future periods, and if our revenue growth does not increase to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more than offset these anticipated increases in our operating expenses, we may not be able to achieve or maintain profitability, and our business, financial condition, results of operations, and prospects will be harmed. Since inception, we have spent significant amounts to develop the Ceribell System and related algorithms, to fund clinical studies, to develop and build our manufacturing capacities, to scale our commercial operations, and to recruit and retain key talent.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have encountered and will continue to encounter risks and difficulties frequently experienced by growing companies, including increasing expenses as we continue to grow our business. We expect our operating expenses to increase significantly over the next several years as we continue to expand our operations and infrastructure and continue to develop the Ceribell System and related algorithms, including for any future additional indications. In addition to the anticipated costs of growing our business, we also expect to incur additional legal, accounting, and other expert expenses as we grow. These investments may be more costly than we expect, and if we do not achieve the benefits anticipated from these investments, or if the realization of these benefits is delayed, they may not result in increased revenue or growth in our business. If our growth rate were to decline significantly or become negative, it could adversely affect our business, financial condition, results of operations, and prospects.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cannot assure you that we will achieve profitability in the future or that, if we do become profitable, we will be able to sustain or increase profitability. Our prior losses, combined with potential future losses, have had and will continue to have an adverse effect on our stockholders’ equity and working capital.</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depend on sales from the use of the Ceribell System for our revenue. If we are unable to successfully achieve substantial market acceptance and adoption of the Ceribell System, or any of our future products, or if confidence in our products is diminished, our business, financial condition, results of operations, and prospects would be harmed.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expect that revenue from sales of the Ceribell System will continue to account for almost all of our revenue for the foreseeable future. Continued and widespread market acceptance of alternatives to conventional EEG systems, particularly in the acute care setting, is critical to our future success. The size of our customer base and our ability to acquire new customers is critical to our success as well. Thus, our commercial success will depend in large part on further adoption of the Ceribell System by hospital customers and healthcare professionals and an increase in the number of patients evaluated with it in the acute care setting, as well as on our ability to retain existing customers. Existing customers may choose to terminate or not renew their subscription typically on 30 days’ notice to us without payment of a penalty or termination fee, and we may not be able to replace any customers that elect to terminate or not renew their subscriptions with 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spend significant amounts on marketing and brand-building initiatives to increase market awareness of the Ceribell System, reinforce the importance of prompt diagnosis of non-convulsive status epilepticus, and highlight the limitations of conventional EEG systems. We believe these programs are essential to increasing adoption; however, these initiatives may not be successful or cost-effective. If our marketing efforts prove less successful than anticipated, we may not be able to recover our spend, and our rates of customer acquisition or retention may fail to meet market expectations.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Various factors can contribute to our ability to effectively engage and retain customers and their use of our products. For example, hospitals and healthcare professionals may be reluctant to purchase or use the Ceribell System due to familiarity with conventional EEG systems that are well-established and known to them, and because they must continue to use conventional EEG systems outside of the acute care setting. Our ability to grow sales of the Ceribell System and drive market acceptance will depend on successfully educating hospitals and healthcare professionals of the relative benefits of the Ceribell System compared to the standard of care, which includes conventional EEG systems in the acute care setting, as well as educating such hospitals or healthcare professionals regarding the uses and limitations of the Ceribell System.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healthcare professionals do not perceive our products to be useful, effective, reliable, and trustworthy, or if we are unable to provide sufficient training to healthcare professionals or harmonize our products with hospital information technology systems, we may not be able to attract or retain customers. Healthcare professionals may perceive the Ceribell System to be less useful if they do not subscribe for access to the Clarity algorithm as part of their use of the Ceribell System, whether because of incremental cost, lack of familiarity or trust in the algorithm’s diagnostic accuracy, or if, for similar reasons, they do not rely on the Clarity algorithm (including automated alerts) to interpret the EEG results produced by the Ceribell System. In addition, building a strong brand is critical to our success, but negative clinical research results or publicity or an adverse change to published or unpublished guidelines or recommendations from third parties (including, without limitation, medical societies) relating to the use, clinical benefit, or risk profile of the Ceribell System or AI-enabled devices, or reduced montage EEGs or rapid EEGs in general could result in negative perception by healthcare professionals and affect our brand and reputation. For example, Villamar et al. (2023), a study that retrospectively reviewed EEG recordings for 21 patients who were admitted to a medical intensive care unit after cardiac arrest, found that the Clarity algorithm that was in use at the time of the study did not detect seizures in the four patients who were experiencing them. While we constantly work to improve the Ceribell algorithm and overall Ceribell System, the technologies we work with are novel and complex, and we cannot assure you that there will not be additional negative reports on the Ceribell System in the future. Further, customers who are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dissatisfied with their experiences with the Ceribell System may post negative reviews, and we have been, and may in the future become, the subject of blog, forum, or other social media postings that contain negative statements about us, which are outside of our control and may be inaccurate. Any negative publicity, whether real or perceived, disseminated by word-of-mouth, the general media, electronic or social networking platforms, competitor materials, or other methods, could harm our reputation and brand and could severely diminish consumer confidence in our products. Further, a shortage of neurologists or other clinicians (if any) available to read the results of the Ceribell System, could negatively affect the timely assessment of data from the Ceribell System. Lack of support for our products from healthcare professionals can affect how receptive physicians will be to use our products for their patients and could result in decreased demand for our products. Negative healthcare professional perception could also render us less attractive to future hospital customers, which could result in decreased sales of our products. A number of other factors, including the impacts of economic conditions and regulatory changes on hospital budgets and spending patterns, could potentially negatively affect new customer acquisitions and demand for our products. </w:t>
      </w:r>
    </w:p>
    <w:p>
      <w:pPr>
        <w:pStyle w:val="TextBody"/>
        <w:bidi w:val="0"/>
        <w:spacing w:before="360" w:after="283"/>
        <w:jc w:val="both"/>
        <w:rPr>
          <w:rFonts w:ascii="Times New Roman" w:hAnsi="Times New Roman"/>
          <w:sz w:val="20"/>
        </w:rPr>
      </w:pPr>
      <w:r>
        <w:rPr>
          <w:rFonts w:ascii="Times New Roman" w:hAnsi="Times New Roman"/>
          <w:b/>
          <w:i/>
          <w:color w:val="000000"/>
          <w:sz w:val="20"/>
        </w:rPr>
        <w:t>We operate in a highly competitive industry, and competitive pressures could have a material adverse effect on our business, financial condition, results of operations, and prospects.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market for EEG alternatives is competitive in terms of development, availability, pricing, product quality, and time-to-market. Our primary competition is from conventional EEG systems, which are used in the majority of hospitals in the United States that have resources to purchase and support EEG systems. These competitors have greater name and brand recognition, greater market share, greater resources, stronger financial profiles, and may have larger sales forces than we do, as well as legacy status among hospitals. For example, the two primary conventional EEG providers in the United States are Natus and Nihon Kohden, both of which have much longer operating histories than we do. We also face competition from companies that provide or are developing rapid EEG systems, including Nihon Kohden, Natus, and other companies, that can be used in the acute care and other settings (e.g., home and ambulance), or EEG systems specifically for use in the acute care setting, and conventional EEG providers may also seek to develop additional EEG systems. Our competitors may be able to offer products similar or superior to ours at a more attractive price than we can. Our competitors could also be better positioned to serve certain segments of our market, which could create additional price pressure. In light of these factors, our competitors may be able to respond more quickly and effectively than we can to new or changing opportunities, technologies, standards, or customer requirements. As a result, even if the Ceribell System is more effective than our competitors’ products, current or potential customers may accept competitive products, including conventional EEG systems and rapid EEG systems that can be used in multiple settings, in lieu of purchasing and using our products. In addition, because the Ceribell System is supplemental to, and not a replacement for, conventional EEG systems for rapid acute care diagnosis, customers may view our products as an additional expense and choose to purchase and maintain only conventional EEG systems. If we are unable to successfully compete, our business, financial condition, results of operations, and prospects could be materially and adversely affected.</w:t>
      </w:r>
    </w:p>
    <w:p>
      <w:pPr>
        <w:pStyle w:val="TextBody"/>
        <w:bidi w:val="0"/>
        <w:spacing w:before="360" w:after="283"/>
        <w:jc w:val="both"/>
        <w:rPr>
          <w:rFonts w:ascii="Times New Roman" w:hAnsi="Times New Roman"/>
          <w:sz w:val="20"/>
        </w:rPr>
      </w:pPr>
      <w:r>
        <w:rPr>
          <w:rFonts w:ascii="Times New Roman" w:hAnsi="Times New Roman"/>
          <w:b/>
          <w:i/>
          <w:color w:val="000000"/>
          <w:sz w:val="20"/>
        </w:rPr>
        <w:t>Adapting our manufacturing and production capacities to evolving patterns of demand is expensive, time-consuming, and subject to significant uncertainties. We may not be able to adequately predict emerging customer trends and may be unable to adjust our production and inventory levels in a timely manner.</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market the Ceribell System directly to potential customers in the United States, where we face the risk of significant changes in the demand for our products, including demand for our disposable Wearables based on usage rates. If demand decreases, we will need to implement capacity and cost reduction measures involving restructuring costs. If demand increases, we will be required to make capital expenditures related to increased production and expenditures to hire and train production, sales and marketing, and product support personnel. This would put pressure on our internal and third-party manufacturing capabilities. For example, a sudden increase in demand could require increased production of components, such as our disposable Wearables that are intended for single patient use, so that our customers can timely deliver care to their patients. Adapting to changes in demand inherently lags behind the actual changes because it takes time to identify the change the market is undergoing and to implement any measures to take as a result. Finally, capacity adjustments are inherently risky because there is imperfect information, and sales trends may rapidly intensify, ebb, or even reverse. We may be unable to accurately or timely predict trends in demand and customer behavior or to take appropriate measures to mitigate risks and react to opportunities resulting from such trends. Any inability in the future to identify or to adequately and effectively react to changes in demand could have a material adverse effect on our business, financial condition, results of operations, and prospects.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we may experience challenges managing the inventory of components of the Ceribell System, which can lead to excess inventory. Inventory levels in excess of customer demand may result in inventory write-downs or write-offs, which could impact our gross margins. Reserves and write-downs for discounts, promotions, and excess inventory are recorded based on our strategic plans and forecast of future demand. Actual future demand could be less than our forecast, which may result in additional reserves and write-downs in the future, or actual demand could be stronger than our forecast, which may result in a reduction to previously recorded reserves and write-downs in the future and increase the volatility of our operating results.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Changes in trade policy, tariffs, and our reliance on international manufacturing and supply chain operations expose us to foreign operational and trade risks that may adversely affect our business, results of operations, and financial condition.</w:t>
      </w:r>
    </w:p>
    <w:p>
      <w:pPr>
        <w:pStyle w:val="TextBody"/>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U.S. government has implemented or proposed changes to international trade policy through the renegotiation or potential termination of existing trade agreements and the imposition of tariffs on a wide range of products from China, Vietnam, countries in EMEA, and other regions. In response, China and other countries have imposed or proposed additional tariffs and trade restrictions on imports from the United States. Trade relations between the United States and China remain volatile and uncertain. In 2025, the U.S. imposed additional tariffs on imports from China, Vietnam, and other regions and announced and subsequently paused implementation of certain tariffs. These actions and related retaliation have created significant market uncertainty and may affect the prices of and demand for our products, negatively impacting our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rely on manufacturing facilities and third-party suppliers outside the United States, including in China and Vietnam, for the primary assembly and inspection of our Wearables and for a significant portion of our components. We rely on two primary contract manufacturers in China and maintain contractors in China who perform monitoring and quality inspection services. Our operations also depend on the availability of raw materials and components.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suppliers and manufacturers in China expose us to political, legal, and economic risks, including deterioration of U.S.–China relations and changes in U.S. and Chinese laws and regulations relating to sanctions, taxation, import and export restrictions, tariffs, environmental protection, intellectual property, currency controls, cybersecurity, labor and human rights practices, privacy, and public health. Tariffs on products imported from China could adversely affect our suppliers’ operations, potentially causing disruptions or requiring us to transition to alternative manufacturers.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the Uyghur Forced Labor Prevention Act could prohibit the importation of products or components if any portion of our supply chain is determined to involve forced labor in the Xinjiang Uyghur Autonomous Region. Trade regulations in China remain fluid, and sustained geopolitical tensions could result in additional tariffs, trade restrictions, or a global economic slowdown.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Increased tariffs and countermeasures could raise costs, limit material availability, disrupt global supply chains, increase market volatility, and create operational challenges, materially adversely affecting our sales, gross margins, and customer demand.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Although we have engaged vendors and a contract manufacturer in Vietnam to mitigate certain supply chain risks, these efforts may not be effective, may increase capital and operating costs, and could adversely affect our operating results. Labor costs in China have increased and may continue to rise, and shortages of qualified workers could further constrain production and increase costs passed on to 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international operations also expose us to risks including logistics disruptions, higher component costs, quality control issues, political and economic instability, outbreaks of contagious diseases, regulatory restrictions, intellectual property protection challenges, currency fluctuations, adverse tax consequences, lack of long-term supplier commitments, supplier failures, and labor disputes or natural disasters.</w:t>
      </w:r>
    </w:p>
    <w:p>
      <w:pPr>
        <w:pStyle w:val="TextBody"/>
        <w:bidi w:val="0"/>
        <w:spacing w:before="360" w:after="283"/>
        <w:jc w:val="both"/>
        <w:rPr>
          <w:rFonts w:ascii="Times New Roman" w:hAnsi="Times New Roman"/>
          <w:sz w:val="20"/>
        </w:rPr>
      </w:pPr>
      <w:r>
        <w:rPr>
          <w:rFonts w:ascii="Times New Roman" w:hAnsi="Times New Roman"/>
          <w:b/>
          <w:i/>
          <w:color w:val="000000"/>
          <w:sz w:val="20"/>
        </w:rPr>
        <w:t>If we cannot innovate at the pace of our competitors, we may not be able to develop or exploit new technologies in time to remain competitive.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us to remain competitive, it is essential to be at the forefront of new technologies, including in the rapidly evolving area of AI. If we are unable to meet customer demands for new technology, or if the technologies we introduce are viewed less favorably than our competitors’ products, our results of operations and future prospects may be negatively affected. To meet our customers’ needs in these areas, we must continuously work on our product design, develop our algorithms, and invest in and develop new technologies. We will also need to anticipate customer demand with respect to these technologies and which technological advances are most desirable in the EEG monitoring products and any future additional products we market. This need will require our employees to continue learning and adapting to new technologies, and will require us to compete for highly skilled talent in a competitive market. Our operating results depend to a significant extent on our ability to anticipate and adapt to technological changes in the EEG monitoring market, maintain innovation, maintain a strong product pipeline, and reduce or maintain low costs for producing high-quality EEG monitoring products. Any inability to do so could have a material adverse effect on our business, financial condition, results of operations, and prospects.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Artificial intelligence presents risks and challenges that can impact our business, including by posing security risks to our confidential information, proprietary information, and personal data.</w:t>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Issues in the development and use of artificial intelligence, including the algorithms used in the Clarity platform and other AI-enabled features of the Ceribell System, combined with an uncertain regulatory environment, may result in reputational harm, liability, or other adverse consequences to our business operations. As with many technological innovations, artificial intelligence presents risks and challenges that could impact our business. We may adopt and integrate artificial intelligence tools, including generative artificial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intelligence tools, for specific use cases reviewed by legal and information security. Our vendors may incorporate generative artificial intelligence tools into their offerings without disclosing this use to us, and the providers of these generative artificial intelligence tools may not meet existing or rapidly evolving regulatory or industry standards with respect to privacy and data protection and may inhibit our or our vendors’ ability to maintain an adequate level of service and experience.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our vendors, or our third-party partners experience an actual or perceived breach or privacy or security incident because of the use of artificial intelligence, we may lose valuable intellectual property and confidential information and our reputation and the public perception of the effectiveness of our security measures could be harmed. Further, bad actors around the world use increasingly sophisticated methods, including the use of artificial intelligence, to engage in illegal activities involving the theft and misuse of personal information, confidential information, and intellectual property. Any of these outcomes could damage our reputation, result in the loss of valuable property and information, and have a material adverse effect on our business, financial condition and results of operations.</w:t>
      </w:r>
    </w:p>
    <w:p>
      <w:pPr>
        <w:pStyle w:val="TextBody"/>
        <w:bidi w:val="0"/>
        <w:spacing w:before="120" w:after="283"/>
        <w:jc w:val="both"/>
        <w:rPr>
          <w:rFonts w:ascii="Times New Roman" w:hAnsi="Times New Roman"/>
          <w:sz w:val="20"/>
        </w:rPr>
      </w:pPr>
      <w:r>
        <w:rPr>
          <w:rFonts w:ascii="Times New Roman" w:hAnsi="Times New Roman"/>
          <w:b/>
          <w:i/>
          <w:color w:val="000000"/>
          <w:sz w:val="20"/>
        </w:rPr>
        <w:t>Any future sales in international markets will subject us to additional costs and risks that may have a material adverse effect on our business, financial condition, results of operations, and prospects.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To date, all of our sales have been to customers in the United States. We intend to enter into international markets in the future, and there are significant costs and risks inherent in conducting business in international markets. Upon our expansion into foreign markets, we will be subject to new business risks, in addition to regulatory risks. See the risk factor titled, “We face risks related to obtaining necessary foreign regulatory clearance or approvals.” In addition, expansion into foreign markets will impose additional burdens on our executive and administrative personnel, finance and legal teams, sales and marketing teams, and general managerial resources.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limited experience with international regulatory regimes and market practices, and we may not be able to penetrate or successfully generate sales in new markets. We may also encounter difficulty expanding into international markets because of limited brand recognition in certain parts of the world, leading to delayed acceptance of our products by potential customers in these international markets. In addition, international markets may have different reimbursement pathways that present additional challenges and make those markets less commercially viable. If we are unable to expand internationally and manage the complexity of international sales operations successfully, it could have a material adverse effect on our business, financial condition, results of operations, and prospects. If our efforts to introduce our products into foreign markets are not successful, we may have expended significant resources without realizing the expected benefit. Ultimately, the investment required for expansion into foreign markets could exceed the results of operations generated from this expansion.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we fail to attract and retain senior management and other key personnel, our business may be materially and adversely affected.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success depends in part on our continued ability to attract, retain, and motivate highly qualified management, sales and marketing, and research and development personnel, including those with hardware expertise and software expertise, in particular in the area of AI. We are highly dependent upon our senior management team as well as our senior technology personnel. We have experienced, and may in the future experience, planned or unplanned departures of members of our senior management team or senior technology personnel. Any loss of services, whether planned or unplanned, of any of the members of our senior management team could adversely affect our business until a suitable replacement can be found.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Competition for qualified personnel in the medical device field in general and the EEG field specifically is intense, due to the limited number of individuals who possess the training, skills, and experience required by our industry. We intend to continue to review and, where necessary, strengthen our senior management as the needs of our business develop, including through internal promotion and external hires. However, there may be a limited number of people with the requisite competencies to serve in these positions, and we cannot assure you that we will be able to locate or employ such qualified personnel on terms acceptable to us or at all. We also face significant competition for personnel where our main office is located in the San Francisco Bay Area. To attract and maintain key personnel, we need to remain competitive in our “total rewards” offers to employees, including attractive cash compensation, equity, and benefits packages. While we regularly assess market trends for any changes in compensation across all functions, we need to remain diligent in our compensation benchmarking, especially for key personnel, to ensure we are providing attractive offers to new employees and compensating existing employees well. Therefore, the loss of one or more of our key personnel, whether planned or unplanned, or our failure to attract and retain additional key personnel, could have a material adverse effect on our business, financial condition, results of operations, and prospects. In addition, to the extent we hire personnel from competitors, we have been, and may in the future be, subject to allegations that they have been improperly solicited or that they have divulged proprietary or other confidential information, or that their former employers own their research output.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we fail to maintain our culture, our business may be negatively affected.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Maintaining a positive company culture is necessary to enable us to retain and hire key talent and have a cohesive, aligned employee base. Our ability to maintain this culture will directly affect the continued growth and success of our company. Our culture could face sustainability challenges as we continue to grow. Potential obstacles include reduced adoption of our culture by new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employees, limited ability to maintain consistency of culture within business teams, and failure to attract and retain leaders who are mission-minded and support our culture.</w:t>
      </w:r>
    </w:p>
    <w:p>
      <w:pPr>
        <w:pStyle w:val="TextBody"/>
        <w:bidi w:val="0"/>
        <w:spacing w:before="360" w:after="283"/>
        <w:jc w:val="both"/>
        <w:rPr>
          <w:rFonts w:ascii="Times New Roman" w:hAnsi="Times New Roman"/>
          <w:sz w:val="20"/>
        </w:rPr>
      </w:pPr>
      <w:r>
        <w:rPr>
          <w:rFonts w:ascii="Times New Roman" w:hAnsi="Times New Roman"/>
          <w:b/>
          <w:i/>
          <w:color w:val="000000"/>
          <w:sz w:val="20"/>
        </w:rPr>
        <w:t>If we are unable to successfully develop new products and effectively manage their introduction or improve our existing products, our business may be adversely affected.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must successfully manage introductions of new or enhanced products or new or enhanced features of the Ceribell System and Clarity, including those related to any future indications in addition to seizure. Introductions of new products or features of the Ceribell System and Clarity could also adversely impact the sales of our existing products to customers. For instance, the introduction or announcement of a new or advanced Ceribell System could shorten the life cycle of our existing devices or reduce demand for them, potentially reducing any benefits of successful new product or enhancement introductions and leading to challenges in managing the inventory of existing products. In addition, new or enhanced products may have higher manufacturing, marketing, information technology, or other costs than our existing products, or lower market acceptance, which could negatively impact our gross margins and operating results. As the technological complexity of our products increases, the infrastructure to support our products, such as our design and manufacturing processes and technical support for our products, may also become more complex. Accordingly, if we fail to effectively manage introductions of new or advanced products, our business may be adversely affected.</w:t>
      </w:r>
    </w:p>
    <w:p>
      <w:pPr>
        <w:pStyle w:val="TextBody"/>
        <w:bidi w:val="0"/>
        <w:spacing w:before="120" w:after="283"/>
        <w:jc w:val="both"/>
        <w:rPr/>
      </w:pPr>
      <w:r>
        <w:rPr/>
        <w:t> </w:t>
      </w:r>
    </w:p>
    <w:p>
      <w:pPr>
        <w:pStyle w:val="TextBody"/>
        <w:bidi w:val="0"/>
        <w:spacing w:before="120" w:after="283"/>
        <w:jc w:val="both"/>
        <w:rPr>
          <w:rFonts w:ascii="Times New Roman" w:hAnsi="Times New Roman"/>
          <w:sz w:val="20"/>
        </w:rPr>
      </w:pPr>
      <w:r>
        <w:rPr>
          <w:rFonts w:ascii="Times New Roman" w:hAnsi="Times New Roman"/>
          <w:b/>
          <w:i/>
          <w:color w:val="000000"/>
          <w:sz w:val="20"/>
        </w:rPr>
        <w:t>Our products are complex to design and manufacture and can contain defects. The production and sale of defective products could adversely affect our business, financial condition, results of operations, and prospects. If product liability lawsuits are brought against us, we may incur substantial liabilities and may be required to limit sales of our products.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Ceribell System contains highly complex electronic components, which are sourced from external third parties, and there is an inherent risk that defects may occur in the production of any of our products. Although we rely on the suppliers’ internal procedures designed to minimize risks that may arise from quality issues, there can be no assurance that we or our suppliers will be able to eliminate or mitigate occurrences of these issues and associated liabilities. In addition to the risk of product returns by our customers due to product defects, we face exposure to product liability claims in the event that any of our devices are alleged to have resulted in personal injury, over- or under-reporting of seizures resulting in inappropriate diagnosis or treatment, damage to property, or otherwise to have caused harm. We may be sued if any of our devices allegedly causes injury or is found to be otherwise unsuitable during product testing, manufacturing, marketing, sale, or use. For example, Clarity is not designed to detect all short seizures, and users of the Ceribell System may allege the failure to detect all short seizures is a defect. Any such product liability claims may include allegations of defects in manufacturing, defects in design, a failure to warn of dangers or limitations inherent in the product, negligence, strict liability, and a breach of warranty. If we cannot successfully defend ourselves against product liability claims, we may incur substantial liabilities or be required to limit sales of our products. Even successful defense would require significant financial and management resources. Regardless of the merits or eventual outcome, liability claims may result in: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decreased demand for our current or future products;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injury to our reputation;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costs to defend the related litigation;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diversion of management’s time and our resources;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substantial monetary awards to customers and patients;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regulatory investigations, product recalls, withdrawals or labeling, marketing or promotional restrictions;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loss of revenue;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inability to sell our current or any future products.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inability to obtain and maintain sufficient product liability insurance at an acceptable cost and scope of coverage to protect against potential product liability claims could prevent or inhibit the sale of our current or any future products we develop. Although we currently carry product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funds to pay such amounts. Moreover, in the future, we may not be able to maintain insurance coverage at a reasonable cost or in sufficient amounts to protect us against losses. The production and sale of defective products in the future could have a material adverse effect on our business, financial condition, results of operations, and prospects.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The size and expected growth of our addressable market has not been established with precision, and may be smaller than we estimate.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estimates of the addressable market for our current products and any future products are based on a number of internal and third-party estimates and assumptions, including the prevalence of seizures in the acute care setting and additional indications we intend to expand into, and the level of underutilization of EEG in the acute care setting. While we believe our assumptions and the data underlying our estimates are reasonable, these assumptions and estimates may not be correct. As a result, our estimates of the addressable market for our current or future products may prove to be incorrect. If the actual number of patients who would benefit from our products and services, the price at which we can sell future products or services or the addressable market for our products or services is smaller than we estimate, it could have a material adverse effect on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Alternative technologies or therapies addressing seizure, non-convulsive status epilepticus or other indications we intend to expand into could materially adversely affect our business, financial condition, results of operations,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medical research were to lead to the discovery of alternative therapies or technologies that address seizure, status epilepticus or other indications we intend to expand into in a way that is or is perceived to be more accurate, reliable, cost-effective, or otherwise improved relative to the Ceribell System, for example through alternative monitoring or testing technologies, medication, or therapies, the demand for our products could decrease significantly, leading to a material adverse effect on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in the future be deemed to manufacture or contract to manufacture products that contain conflict minerals.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in the future be deemed to manufacture or contract to manufacture products that contain certain minerals that have been designated as “conflict minerals” under the Dodd-Frank Wall Street Reform and Consumer Protection Act. As a result, in future periods, we may be required to diligence the origin of such minerals and disclose and report whether or not such minerals originated in the Democratic Republic of the Congo or adjoining countries. The implementation of these new requirements could adversely affect the sourcing, availability, and pricing of materials used in the manufacture of our products. In addition, we may incur additional costs to comply with the disclosure requirements, including costs related to determining the source of any relevant minerals and metals used in our products.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Macroeconomic conditions could materially adversely affect our business, financial condition, results of operations,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Macroeconomic conditions, such as high inflationary pressure, changes to monetary policy, high interest rates, volatile currency exchange rates, credit and debt concerns, decreasing consumer confidence and spending, including capital spending, concerns about the stability and liquidity of certain financial institutions, the introduction of or changes in tariffs or trade barriers, and global recessions can adversely impact demand for our products, which could negatively impact our business, financial condition, results of operations, and prospects. Recent macroeconomic conditions have been adversely impacted by geopolitical instability and military hostilities in multiple geographies and monetary and financial uncertainties.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impacts of these macroeconomic conditions, and the actions taken by governments, central banks, companies, and consumers in response, have resulted in, and may continue to result in, higher inflation in the United States and globally, which is likely, in turn, to lead to an increase in costs and may cause changes in fiscal and monetary policy, including additional increases in interest rates. Other adverse impacts of recent macroeconomic conditions have been, and may continue to be, supply chain constraints, logistics challenges, liquidity concerns in the broader financial services industry, and fluctuations in labor availability.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 higher inflationary environment, we may be unable to raise the prices of our products sufficiently to keep up with the rate of inflation. A higher inflationary environment can also negatively impact raw material, component, and logistics costs that, in turn, may increase the costs of producing and distributing our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Hospitals, in particular, are experiencing and may continue to experience financial and operational pressures as a result of staffing shortages, the supply chain environment, and high inflation, which could impact their ability to access capital markets and other funding sources, increase the cost of funding, or impede their ability to comply with debt covenants, all of which could impede their ability to provide patient care and impact their profitability. To the extent that hospitals face financial pressures, delayed access, or loss of access to uninsured deposits, reductions in government spending or higher interest rates, hospitals’ ability or willingness to spend on equipment may be adversely impacted, all of which could have a material adverse effect on our business, financial condition, results of operations, and prospects.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Also, we have experienced, and may continue to experience, supply chain constraints, including difficulties obtaining a sufficient supply or increased prices of component materials used in our products. Increased interest rates may make access to credit more difficult,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which may result in the insolvency of key suppliers, which would exacerbate supply chain challenges. Such supply chain constraints could cause us to fail to meet product demand or maintain our margins.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Shutdowns of the U.S. federal government could materially adversely affect our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U.S. federal government has shut down multiple times in the past, and certain regulatory agencies, including the FDA, the Centers for Medicare &amp; Medicaid Services (“CMS”), the USITC, the U.S. Patent and Trademark Office (“USPTO”), the U.S. Department of Defense, and the U.S. Department of Veterans Affairs, have had to furlough employees and suspend some of their activities. A prolonged shutdown could delay regulatory reviews and approvals, litigation proceedings, or government program implementations and could ultimately disrupt or delay our research and development, manufacturing, commercialization, or intellectual property enforcement activities. Any such delays or disruptions could have a material adverse effect on our business, financial condition, results of operations, and prospects.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 Related to Regulatory Matters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If adequate reimbursement becomes unavailable for the diagnostic tests using our products, it could diminish our sales or affect our ability to sell the Ceribell System profitably.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Diagnostic tests performed with the Ceribell System are generally reimbursed under existing physician and hospital codes. Our ability to increase sales of the Ceribell System depends, in significant part, on the availability of adequate coverage and reimbursement from third-party payers, including governmental payers (such as the Medicare and Medicaid programs in the United States), managed care organizations, and private health insurers. Third-party payers decide which diagnostic tests they will cover and establish reimbursement rates for those tests. We do not bill any third-party payers for the Ceribell System. Instead, we invoice healthcare providers and the cost is bundled into the reimbursement received by healthcare providers for the tests using the Ceribell System.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expect the Ceribell System will continue to be purchased by hospitals who will then seek reimbursement from third-party payers. Reimbursement for the hospital services during an inpatient stay generally is made under a prospective payment system that is determined by a classification system known as diagnosis-related groups, which are assigned using a number of factors including the principal diagnosis, major procedures, discharged status, patient age, and complicating secondary diagnoses, among other things. In August 2023, CMS approved an NTAP under the Medicare inpatient prospective payment system for our newest Clarity algorithm, effective October 1, 2023. The NTAP designation for a product lasts for no more than three years for a specific indication. Once our new Clarity algorithm is no longer eligible for NTAP, the additional cost associated with the use of our products could affect our customers’ profit margin. In light of the potential additional associated cost, some of our target customers may be unwilling to adopt our products and some of our existing customers may terminate their contracts with us.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While third-party payers currently cover and provide reimbursement for tests using the Ceribell System, we can give no assurance that these third-party payers will continue to provide coverage and adequate reimbursement, or that current reimbursement levels for the tests will continue. Third-party payers, whether foreign or domestic, or governmental or commercial, are developing increasingly sophisticated methods of controlling healthcare costs. In addition, no uniform policy of coverage and reimbursement for tests using our products exists among third-party payers. Therefore, coverage and reimbursement for tests using our products can differ significantly from payer to payer. Other competitive products may be more widely covered or subject to different reimbursement policies and requirements, which could impact demand for our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Furthermore, the overall amount of reimbursement available for EEG monitoring and seizure diagnosis could decrease in the future. We cannot be sure that the reimbursement amounts available for hospital services and tests using the Ceribell System will not reduce or otherwise negatively impact the demand for our products. Further, coverage policies and third-party reimbursement rates may change at any time. Even if favorable coverage and reimbursement status is attained, less favorable coverage policies and reimbursement rates may be implemented in the future. Failure by users of the Ceribell System to obtain adequate reimbursement for these tests would have a material adverse effect on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The continued commercialization of our products depends in part on the extent to which governmental authorities and health insurers provide coverage and adequate reimbursement levels. Failure to obtain and maintain coverage and adequate reimbursement for our products could limit our ability to market those products and decrease our ability to generate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While third-party payers generally currently cover and provide reimbursement for diagnostic tests using the Ceribell System, there is significant uncertainty related to the insurance coverage and reimbursement of newly approved and launched products. In the United States, third-party payers, including private and governmental payers, such as the Medicare and Medicaid programs, play an important role in determining the extent to which new devices will be covered. The Medicare and Medicaid programs increasingly are used as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models in the United States for how private payers and other governmental payers develop their coverage and reimbursement policies for medical devices. Some third-party payers may require pre-approval of coverage for new or innovative devices before they will reimburse healthcare providers who use such devices.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addition, customers that use our products may be </w:t>
      </w:r>
      <w:r>
        <w:rPr>
          <w:rFonts w:ascii="Times New Roman" w:hAnsi="Times New Roman"/>
          <w:color w:val="231F20"/>
          <w:sz w:val="20"/>
        </w:rPr>
        <w:t>subject to reimbursement claim denials upon submission of their claims. Customers may also be subject to recovery of overpayments if a payer makes payment for the claim and subsequently determines that the payer’s coding, billing, or coverage policies were not followed. These events, or any other decline in the amount payers are willing to reimburse our customers, could make it difficult for existing customers to continue using or to adopt our products and could create additional pricing pressure for us. If we are forced to lower the price we charge for our products, our gross margins will decrease, which could have a material adverse effect on our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Obtaining coverage and reimbursement can be a time-consuming process that could require us to provide supporting scientific, clinical, and cost-effectiveness data for the use of our products. We may not be able to provide data sufficient to satisfy governmental and other third-party payers that diagnostic tests using our products should be covered and reimbursed. In addition, payers continually review new and existing technologies for possible coverage and can, without notice, deny or reverse coverage for new or existing products and tests. There can also be no assurance that third-party payer policies will provide coverage for tests using our products.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 we believe that future coverage and reimbursement may be subject to increased restrictions, such as additional prior authorization requirements, both in the United States and in international markets, which may impact utilization of our products and have a material adverse effect on our business, financial condition, results of operations, and prospects. In Europe, reimbursement is entirely regulated at member state level, varies significantly between countries, and member states are facing increased pressure to limit public healthcare spending. Third-party coverage and reimbursement for our products or any of our products in development for which we may receive regulatory clearance, certification, or approval may not be available or adequate in either the United States or international markets. If demand for our products is adversely affected by third-party reimbursement policies and decisions, it could have a material adverse effect on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are subject to certain federal and state fraud and abuse laws and transparency laws, and any failure to comply could subject us to substantial penalties or other adverse consequences. In addition, any challenge to or investigation into our practices under these laws could cause adverse publicity and be costly to respond to, and thus could harm our business.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There are numerous U.S. federal and state laws pertaining to healthcare fraud and abuse, including anti-kickback, false claims, and transparency laws regarding payments and other transfers of value made to physicians and other healthcare professionals. Our business practices and </w:t>
      </w:r>
      <w:r>
        <w:rPr>
          <w:rFonts w:ascii="Times New Roman" w:hAnsi="Times New Roman"/>
          <w:color w:val="231F20"/>
          <w:sz w:val="20"/>
        </w:rPr>
        <w:t>relationships with providers are subject to scrutiny under these laws. The healthcare laws and regulations that may affect our ability to operate include, but are not limited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federal Anti-Kickback Statute, which prohibits, among other things, persons and entities from soliciting, offering, receiving, or providing remuneration, directly or indirectly, in cash or in kind, to induce either the referral of an individual or furnishing or arranging for a good or service, for which payment may be made, in whole or in part, under federal healthcare programs, such as Medicare and Medicaid. The U.S. government has interpreted this law broadly to apply to the marketing and sales activities of medical device manufacturers. In addition, a person or entity does not need to have actual knowledge of the statute or specific intent to violate it to have committed a violation;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federal civil and criminal false claims laws and civil monetary penalties laws, including the federal civil False Claims Act, which prohibit, among other things, individuals or entities from knowingly presenting, or causing to be presented, claims for payment from Medicare, Medicaid, or other federal healthcare programs that are false or fraudulent; knowingly making, using, or causing to be made or used, a false record or statement material to a false or fraudulent claim, or knowingly making a false statement to avoid, decrease, or conceal an obligation to pay money to the federal government. In addition, certain marketing practices that, for example, induce providers to upcode to a higher reimbursement service or site of service, may also violate false claims laws. Moreover, the government may assert that a claim including items or services resulting from a violation of the federal Anti-Kickback Statute constitutes a false or fraudulent claim for purposes of the federal civil False Claims Act. Private individuals can bring False Claims Act “qui tam” actions, on behalf of the government and such individuals, commonly known as “whistleblowers,” may share in amounts paid by the entity to the government in fines or settlement;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Health Insurance Portability and Accountability Act of 1996, as amended by the Health Information Technology for Economic and Clinical Health Act of 2009, and regulations implemented thereunder (collectively, “HIPAA”), which, in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 to privacy protections applicable to healthcare providers and other entities, prohibits, among other things, executing a scheme to defraud any healthcare benefit program and making false statements relating to healthcare matters. Similar to the federal Anti-Kickback Statute, a person or entity does not need to have actual knowledge of the statute or specific intent to violate it to have committed a violation;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federal Physician Payments Sunshine Act, which requires certain applicable manufacturers of drugs, devices, biologics, and medical supplies for which payment is available under certain federal healthcare programs, to monitor and report to CMS, certain payments and other transfers of value to physicians (defined to include doctors, dentists, optometrists, podiatrists, and chiropractors), certain other non-physician practitioners (physician assistants, nurse practitioners, clinical nurse specialists, anesthesiologist assistants, certified registered nurse anesthetists, anesthesiology assistants, and certified nurse midwives), and teaching hospitals, and to report annually ownership and investment interests held by physicians and their immediate family members;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U.S. federal consumer protection and unfair competition laws, which broadly regulate marketplace activities and activities that potentially harm customers;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Analogous state law equivalents of each of the above federal laws, state anti-kickback, and false claims laws; state laws requiring device companies to comply with specific compliance standards, restrict payments made to healthcare providers and other potential referral sources, and report information related to payments and other transfers of value to healthcare providers or marketing expenditures; and state laws related to insurance fraud in the case of claims involving private insurers.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These laws and regulations, among other things, constrain our business, marketing and other promotional and research activities by limiting the kinds of financial arrangements, including sales programs, we may have with hospitals, physicians, or other potential purchasers of our products. In particular, these </w:t>
      </w:r>
      <w:r>
        <w:rPr>
          <w:rFonts w:ascii="Times New Roman" w:hAnsi="Times New Roman"/>
          <w:color w:val="231F20"/>
          <w:sz w:val="20"/>
        </w:rPr>
        <w:t xml:space="preserve">laws and regulations may restrict or prohibit a wide range of pricing, discounting, marketing and promotion, sales commission, customer incentive programs, and other business arrangements, as well as interactions with healthcare professionals through consultant arrangements, product training, sponsorships, or other activities. </w:t>
      </w:r>
      <w:r>
        <w:rPr>
          <w:rFonts w:ascii="Times New Roman" w:hAnsi="Times New Roman"/>
          <w:color w:val="000000"/>
          <w:sz w:val="20"/>
        </w:rPr>
        <w:t>Efforts to ensure that our business arrangements with third parties will comply with applicable healthcare and other laws and regulations will involve substantial costs. It is possible that governmental authorities will conclude that our business practices, including arrangements with teleneurology providers and customers for the provision of remote EEG interpretation services or agreements we have entered into with physicians who are paid, in part, in the form of stock or stock options, do not comply with current or future statutes, regulations, agency guidance, or case law involving applicable fraud and abuse or other healthcare laws and regulations. Due to the breadth of these laws, the narrowness of statutory exceptions and regulatory safe harbors available, and the range of interpretations to which they are subject, governmental authorities may possibly conclude that our business practices may not comply with healthcare laws and regulations.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To enforce compliance with the healthcare regulatory laws, certain enforcement bodies have recently increased their scrutiny of interactions between healthcare companies and healthcare providers, which has led to a number of investigations, prosecutions, convictions, and settlements in the healthcare industry. Responding to investigations can be time-and resource-consuming and can divert management’s attention from the business. We may be subject to private qui tam actions brought by individual whistleblowers on behalf of the federal or state governments, with potential liability under the federal False Claims Act including mandatory treble damages and significant per-claim penalties. </w:t>
      </w:r>
      <w:r>
        <w:rPr>
          <w:rFonts w:ascii="Times New Roman" w:hAnsi="Times New Roman"/>
          <w:color w:val="231F20"/>
          <w:sz w:val="20"/>
        </w:rPr>
        <w:t>In addition, as a result of these investigations and qui tam actions, we may have to agree to additional compliance and reporting requirements as part of a consent decree or corporate integrity agreement. Any such investigation or settlement could increase our costs or otherwise have a material adverse effect on our business, financial condition, results of operations, and prospects. Even an unsuccessful challenge or investigation into our practices could cause adverse publicity and be costly to respond to.</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our operations are found to be in violation of any of the federal and state laws described above or any other current or future fraud and abuse or other healthcare laws and regulations that apply to us, we may be subject to significant penalties, including significant criminal, civil, and administrative penalties, damages, fines, exclusion from participation in government programs, such as Medicare and Medicaid, imprisonment, contractual damages, reputation harm, oversight if we become subject to a consent decree or corporate integrity agreement, or disgorgement, and we could be required to curtail, restructure or cease our operations. Any of the foregoing consequences will have an adverse effect on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employees, consultants and other commercial partners may engage in misconduct or other improper activities, including non-compliance with regulatory standards and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exposed to the risk that our employees, consultants, and other commercial partners and business associates may engage in fraudulent or illegal activity. Misconduct by these parties could include intentional, reckless, or negligent conduct or other unauthorized activities that violate the regulations of the FDA and other regulators (both domestic and foreign), including those laws requiring the reporting of true, complete, and accurate information to such regulators, manufacturing standards, healthcare fraud and abuse laws, and regulations in the United States and internationally or laws that require the true, complete, and accurate reporting of financial information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or data. In particular, sales, marketing, and business arrangements in the healthcare </w:t>
      </w:r>
      <w:r>
        <w:rPr>
          <w:rFonts w:ascii="Times New Roman" w:hAnsi="Times New Roman"/>
          <w:color w:val="231F20"/>
          <w:sz w:val="20"/>
        </w:rPr>
        <w:t xml:space="preserve">industry, including the sale of medical devices, are subject to extensive laws and regulations intended to prevent fraud, misconduct, kickbacks, self-dealing, and other abusive practices. It is not always possible to identify and deter misconduct by our employees, consultants,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possible exclusion from participation in Medicare, Medicaid and other federal healthcare programs, contractual damages, reputational harm, diminished profits and future earnings, </w:t>
      </w:r>
      <w:r>
        <w:rPr>
          <w:rFonts w:ascii="Times New Roman" w:hAnsi="Times New Roman"/>
          <w:color w:val="000000"/>
          <w:sz w:val="20"/>
        </w:rPr>
        <w:t xml:space="preserve">oversight if we become subject to a consent decree or corporate integrity agreement, </w:t>
      </w:r>
      <w:r>
        <w:rPr>
          <w:rFonts w:ascii="Times New Roman" w:hAnsi="Times New Roman"/>
          <w:color w:val="231F20"/>
          <w:sz w:val="20"/>
        </w:rPr>
        <w:t>and curtailment of operations, any of which could adversely affect our business, financial condition, results of operations, and prospects. Whether or not we are successful in defending against such actions or investigations, we could incur substantial costs, including legal fees and reputational harm, and divert the attention of management in defending ourselves against any of these claims or investigations.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Healthcare policy changes, including recently enacted legislation reforming the U.S. healthcare system, could have a material adverse effect on our business, financial condition, results of operations,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the United States, there have been and continue to be a number of legislative and regulatory initiatives to contain healthcare costs. Federal and state lawmakers regularly propose and, at times, enact legislation that would result in significant changes to the healthcare system, some of which are intended to contain or reduce the costs of medical products and services. Current and future legislative proposals to further reform healthcare or reduce healthcare costs may limit coverage of or lower reimbursement for the diagnostic tests associated with the use of our products. The cost containment measures that payers and providers are instituting and the effect of any healthcare reform initiative implemented in the future could impact our revenue from the sale of our products.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By way of example, in the United States, the Affordable Care Act (the “ACA”) made a number of substantial changes in the way healthcare is financed by both governmental and private insurers. Among other ways in which it may affect our business, the ACA implemented payment system reforms including a national pilot program on payment bundling to encourage hospitals, physicians, and other providers to improve the coordination, quality, and efficiency of certain healthcare services through bundled payment models; and expanded the eligibility criteria for Medicaid programs. There have been executive, judicial, and Congressional challenges to certain aspects of the ACA. On June 17, 2021, the U.S. Supreme Court dismissed the most recent challenge on procedural grounds that argued the ACA is unconstitutional in its entirety because the “individual mandate” was repealed by Congress.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other legislative changes have been proposed and adopted since the ACA was enacted. The Budget Control Act of 2011, among other things, reduced Medicare payments to providers, effective on April 1, 2013 and, due to subsequent legislative amendments to the statute, will remain in effect through 2032, unless additional Congressional action is taken. In addition, the American Taxpayer Relief Act of 2012, among other things, further reduced Medicare payments to several providers, including hospitals, and increased the statute of limitations period for the government to recover overpayments to providers from three to five years.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More recently, the One Big Beautiful Bill Act (the “OBBBA”) was signed into law, which included significant reforms to Medicaid, including an estimated $1 trillion in reduced federal Medicaid spending from 2025 through 2034, the imposition of work requirements for certain adult enrollees, more frequent eligibility redeterminations and increased cost-sharing for beneficiaries. These changes are expected to reduce overall Medicaid enrollment and access to care. Although the effect on our business is currently unknown, any decrease in the number of insured patients or reimbursement levels for our products could adversely affect our revenue and commercial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additional state and federal healthcare policies and reform measures to be adopted in the future, any of which could limit reimbursement for healthcare products and services or otherwise result in reduced demand for our products or additional pricing pressure and have a material adverse effect on our industry generally and on our customers. We cannot predict what other healthcare programs and regulations will ultimately be implemented at the federal or state level or the effect of any future legislation or regulation in the United States may negatively affect our business, financial condition, results of operations, and prospects. The continuing efforts of the government, insurance companies, managed care organizations, and other payers of healthcare services to contain or reduce costs of healthcare may adversely affect our ability to set a price that we believe is fair for our products, our ability to generate revenue and achieve or maintain profitability, and the availability of capital.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changes of, or uncertainty with respect to, future coverage or reimbursement rates could affect demand for our products, which could have a material adverse effect on our business, financial condition, results of operations, and prospects.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products and operations are subject to extensive government regulation and oversight in the United States, and our failure to comply with applicable requirements could harm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products are regulated as medical devices in the United States. Medical devices and their manufacturers and product developers are subject to extensive regulation in the United States, including by the FDA. The FDA regulates, among other things, with respect to medical devices: design, development, and manufacturing; testing, labeling, content, and language of instructions for use and storage; clinical trials; product safety; establishment registration and device listing; marketing, sales, and distribution; premarket clearance, classification, and approval or certification; recordkeeping procedures; advertising and promotion; recalls and field safety corrective actions; post-market surveillance, including reporting of deaths or serious injuries and malfunctions that, if they were to recur, could lead to death or serious injury; post-market studies; and product import and export.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regulations to which we are subject are complex, burdensome to understand and apply and have tended to become more stringent over time. Regulatory changes could result in restrictions on our ability to carry on or expand our operations, higher than anticipated costs or lower than anticipated sales. The FDA enforces its regulatory requirements through, among other means, periodic unannounced inspections. We do not know whether we or any of our contract manufacturers will be found compliant in connection with any future FDA or foreign inspections. Failure to comply with applicable regulations could jeopardize our ability to sell our products and result in enforcement actions such as: warning letters; fines; injunctions; civil penalties; termination of distribution; import alerts; recalls or seizures of products; delays in the introduction of products into the market; total or partial suspension of production; refusal to grant future clearances or approvals; withdrawals or suspensions of clearances or approvals, resulting in prohibitions on sales of our products; and in the most serious cases, criminal penalties.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Failure to maintain marketing authorizations for our products, or to timely obtain necessary marketing authorizations for our future products, may have a material adverse effect on our business, financial condition, results of operations, and prospects.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the United States, before we can market a new medical device, or a new use of, or other significant modification to an existing, marketed medical device, we must first receive either clearance under Section 510(k) of the Federal Food, Drug and Cosmetic Act (the “FDCA”), approval of a premarket approval application (“PMA”), or grant of a </w:t>
      </w:r>
      <w:r>
        <w:rPr>
          <w:rFonts w:ascii="Times New Roman" w:hAnsi="Times New Roman"/>
          <w:i/>
          <w:color w:val="000000"/>
          <w:sz w:val="20"/>
        </w:rPr>
        <w:t xml:space="preserve">de novo </w:t>
      </w:r>
      <w:r>
        <w:rPr>
          <w:rFonts w:ascii="Times New Roman" w:hAnsi="Times New Roman"/>
          <w:color w:val="000000"/>
          <w:sz w:val="20"/>
        </w:rPr>
        <w:t xml:space="preserve">classification request from the FDA, unless an exemption applies. In the 510(k) clearance process, before a device may be marketed, the FDA must determine that a proposed device is “substantially equivalent” to a legally-marketed “predicate” device, which includes a device that has been previously cleared through the 510(k) process, a device that was legally marketed prior to May 28, 1976 (pre-amendments device), a device that was originally on the U.S. market pursuant to an approved PMA and later down-classified, or a 510(k)-exempt device.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are sometimes required to support substantial equivalence. In the process of obtaining PMA approval, the FDA must determine that a proposed device is safe and effective for its intended use based, in part, on extensive data, including, but not limited to, technical, pre-clinical, clinical trial, manufacturing, and labeling data. The PMA process is typically required for devices that are deemed to pose the greatest risk, such as life-sustaining, life-supporting, or implantable devices. In the </w:t>
      </w:r>
      <w:r>
        <w:rPr>
          <w:rFonts w:ascii="Times New Roman" w:hAnsi="Times New Roman"/>
          <w:i/>
          <w:color w:val="000000"/>
          <w:sz w:val="20"/>
        </w:rPr>
        <w:t xml:space="preserve">de novo </w:t>
      </w:r>
      <w:r>
        <w:rPr>
          <w:rFonts w:ascii="Times New Roman" w:hAnsi="Times New Roman"/>
          <w:color w:val="000000"/>
          <w:sz w:val="20"/>
        </w:rPr>
        <w:t xml:space="preserve">classification process, a manufacturer whose novel device under the FDCA would otherwise be automatically classified as Class III and require the submission and approval of a PMA prior to marketing is able to request down-classification of the device to Class I or Class II on the basis that the device presents a low or moderate risk. If the FDA grants the </w:t>
      </w:r>
      <w:r>
        <w:rPr>
          <w:rFonts w:ascii="Times New Roman" w:hAnsi="Times New Roman"/>
          <w:i/>
          <w:color w:val="000000"/>
          <w:sz w:val="20"/>
        </w:rPr>
        <w:t xml:space="preserve">de novo </w:t>
      </w:r>
      <w:r>
        <w:rPr>
          <w:rFonts w:ascii="Times New Roman" w:hAnsi="Times New Roman"/>
          <w:color w:val="000000"/>
          <w:sz w:val="20"/>
        </w:rPr>
        <w:t>classification request, the applicant will receive authorization to market the device. This device type may be used subsequently as a predicate device for future 510(k) submissions.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 PMA approval, 510(k) clearance and </w:t>
      </w:r>
      <w:r>
        <w:rPr>
          <w:rFonts w:ascii="Times New Roman" w:hAnsi="Times New Roman"/>
          <w:i/>
          <w:color w:val="000000"/>
          <w:sz w:val="20"/>
        </w:rPr>
        <w:t xml:space="preserve">de novo </w:t>
      </w:r>
      <w:r>
        <w:rPr>
          <w:rFonts w:ascii="Times New Roman" w:hAnsi="Times New Roman"/>
          <w:color w:val="000000"/>
          <w:sz w:val="20"/>
        </w:rPr>
        <w:t xml:space="preserve">classification processes can be expensive, lengthy, and uncertain. The FDA’s 510(k) clearance process usually takes from three to 12 months, but can take longer. The process of obtaining a PMA is much more costly and uncertain than the 510(k) clearance process and generally takes from one to three years, or even longer, from the time the application is submitted to the FDA. In addition, a PMA generally requires the performance of one or more clinical trials. Clinical data may also be required in connection with an application for 510(k) clearance or a </w:t>
      </w:r>
      <w:r>
        <w:rPr>
          <w:rFonts w:ascii="Times New Roman" w:hAnsi="Times New Roman"/>
          <w:i/>
          <w:color w:val="000000"/>
          <w:sz w:val="20"/>
        </w:rPr>
        <w:t xml:space="preserve">de novo </w:t>
      </w:r>
      <w:r>
        <w:rPr>
          <w:rFonts w:ascii="Times New Roman" w:hAnsi="Times New Roman"/>
          <w:color w:val="000000"/>
          <w:sz w:val="20"/>
        </w:rPr>
        <w:t>request. Despite the time, effort and cost, a device may not obtain marketing authorization by the FDA. We have obtained 510(k) clearances for our commercialized medical devices, and we must obtain marketing authorization for any future devices we develop, unless they are exempt. Marketing authorizations for any of our future products, if granted, may include significant limitations on the indicated uses for the device, which may limit the potential commercial market for the device.</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the United States, any modification to a medical device for which we have obtained marketing authorization may require us to submit a new 510(k) premarket notification and obtain clearance, to submit a PMA and obtain FDA approval, or to submit a </w:t>
      </w:r>
      <w:r>
        <w:rPr>
          <w:rFonts w:ascii="Times New Roman" w:hAnsi="Times New Roman"/>
          <w:i/>
          <w:color w:val="000000"/>
          <w:sz w:val="20"/>
        </w:rPr>
        <w:t xml:space="preserve">de novo </w:t>
      </w:r>
      <w:r>
        <w:rPr>
          <w:rFonts w:ascii="Times New Roman" w:hAnsi="Times New Roman"/>
          <w:color w:val="000000"/>
          <w:sz w:val="20"/>
        </w:rPr>
        <w:t xml:space="preserve">request prior to implementing the change. For example, any modification to a 510(k)-cleared device that could significantly affect its safety or effectiveness, or that would constitute a major change in its intended use, design or manufacture, generally requires a new 510(k) clearance or other marketing authorization. The FDA requires every manufacturer to make such determinations in the first instance, but the FDA may review any manufacturer’s decision. The FDA may not agree with a manufacturer’s decisions regarding whether new clearances or approvals are necessary. We may make modifications or add additional features in the future to our medical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devices that we believe do not require a new 510(k) clearance, </w:t>
      </w:r>
      <w:r>
        <w:rPr>
          <w:rFonts w:ascii="Times New Roman" w:hAnsi="Times New Roman"/>
          <w:i/>
          <w:color w:val="000000"/>
          <w:sz w:val="20"/>
        </w:rPr>
        <w:t xml:space="preserve">de novo </w:t>
      </w:r>
      <w:r>
        <w:rPr>
          <w:rFonts w:ascii="Times New Roman" w:hAnsi="Times New Roman"/>
          <w:color w:val="000000"/>
          <w:sz w:val="20"/>
        </w:rPr>
        <w:t>request, or approval of a PMA. If the FDA disagrees with our determination and requires us to seek new marketing authorizations for the modifications for which we have concluded that new marketing authorizations are unnecessary, we may be required to cease marketing or to recall the modified product until we obtain such marketing authorization, and we may be subject to significant regulatory fines or penalties. If the FDA requires us to go through a lengthier, more rigorous examination for future products or modifications to existing products than we had expected, product introductions or modifications could be delayed or canceled, which could adversely affect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FDA can delay, limit or deny marketing authorization of a device for many reasons,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inability to demonstrate to the satisfaction of the FDA that our products are substantially equivalent to a predicate device or are safe and effective for their intended uses;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disagreement of the FDA with the design or implementation of our clinical trials or the interpretation of data from preclinical studies or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serious and unexpected adverse device effects experienced by participants in our clinical trials;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 xml:space="preserve">the data from our preclinical studies and clinical trials may be insufficient to support clearance, </w:t>
      </w:r>
      <w:r>
        <w:rPr>
          <w:rFonts w:ascii="Times New Roman" w:hAnsi="Times New Roman"/>
          <w:i/>
          <w:color w:val="000000"/>
          <w:sz w:val="20"/>
        </w:rPr>
        <w:t>de novo</w:t>
      </w:r>
      <w:r>
        <w:rPr>
          <w:color w:val="000000"/>
        </w:rPr>
        <w:t xml:space="preserve"> </w:t>
      </w:r>
      <w:r>
        <w:rPr>
          <w:rFonts w:ascii="Times New Roman" w:hAnsi="Times New Roman"/>
          <w:color w:val="000000"/>
          <w:sz w:val="20"/>
        </w:rPr>
        <w:t>classification, or approval, where required;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inability to demonstrate that the clinical and other benefits of the device outweigh the risks;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manufacturing process or facilities we use may not meet applicable requirements;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potential for marketing authorization regulations of the FDA to change significantly in a manner rendering our clinical data or regulatory filings insufficient for marketing authorization.</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addition, in January 2026, we received Breakthrough Device Designation from the FDA for our Ceribell LVO System, a portable EEG-based stroke detection and monitoring system in development intended for use in hospital settings to monitor adult patients for whom a reliable neurological exam for LVO stroke are often challenging and to notify medical professionals of suspected LVO stroke, which notifications are intended to be confirmed by CT or MR angiography prior to initiation of treatment. Breakthrough Device Designation provides certain benefits, including more interactive and timely communications with FDA staff, potential use of post-market data collection to facilitate expedited development and review, opportunities for more efficient and flexible clinical study design, and prioritized review of premarket submissions. However, there can be no guarantee that these benefits will materialize or significantly impact our development and regulatory approval process. Even where our product candidates have received Breakthrough Device Designation, we may not experience a faster development process, review, or approval compared to conventional FDA procedures. Breakthrough Device Designation does not alter the regulatory standards for marketing authorization or guarantee that we will ultimately obtain FDA clearance or approval for the designated indication. Furthermore, the FDA may rescind Breakthrough Device Designation if it believes that the designation is no longer supported by data from our clinical development program. As with all FDA marketing authorizations, we will need to continue to comply with applicable regulations and standards, which may change over time.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Even if we successfully apply for marketing authorization for future products, there is no guarantee that we will obtain the marketing authorizations within the expected timeline, or at all. Staff reductions in the FDA office charged with regulating devices may cause delay.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clinical testing process is complex, lengthy, can be expensive, and carries uncertain outcomes. Future trials and studies by us or others may fail to replicate positive results observed to date.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conduct our own clinical studies and provide support for third party–initiated trials that evaluate different aspects of the Ceribell System. Clinical testing is difficult to design and implement, can take many years, can be expensive, and carries uncertain outcomes. The results of preclinical studies and clinical trials of our products conducted to date and ongoing or future studies and trials of our current, planned, or future products may not be predictive of the results of later clinical trials or real-world performance, and interim results of a clinical trial do not necessarily predict final results. The data and results from our clinical studies do not ensure that we will achieve similar results in future clinical trials, are not head to head studies and not directly comparable with each other, as they have different sample sizes, designs, limitations, assumptions, and objectives, and are conducted on different patient populations at different sites by different researchers. In addition, as some of these studies are prospective studies, they may not reflect real-world performance. Some of our studies have not been peer reviewed or published, and peer reviewers may disagree with the methodologies or conclusions of such studies and may not deem them worthy of publication. In addition, preclinical and clinical data are often susceptible to various interpretations and analyses, and many companies that have believed their products performed satisfactorily in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preclinical studies and earlier clinical trials have nonetheless failed to replicate results in later clinical trials, or have viewed such data in different ways than regulators.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risk that future trials and studies of the Ceribell System fail to replicate positive results observed to date is increased because most of our studies and trials are conducted on small samples, not powered for statistical significance, controlled for other clinical variables, or have other design limitations and almost all such studies were conducted or sponsored by us. Independent studies with larger samples or different designs may not replicate results observed to date. In addition, the performance of the Clarity algorithm is typically evaluated by comparing the algorithm results to a retrospective review of the EEG by a panel of neurologists. There is a high degree of inter-rater variability in the interpretation of EEGs by clinicians, such that Ceribell System study results may vary from study to study depending on the size and composition of the neurologist panel. Clinical studies or investigations on the Ceribell System have produced, and may in the future produce, negative or inconclusive results. Furthermore, others, including healthcare professionals and regulators, may perceive a conflict of interest with studies supported, sponsored, or funded by us or conducted by our employees or consultants, and may not find results of such studies to be compelling or credible. As a result of the foregoing, we may decide, or regulators may require us, to conduct additional clinical and nonclinical testing in addition to those we have planned. The initiation and completion of clinical studies may be prevented, delayed, or halted for numerous reasons. We may experience delays in our clinical trials for a number of reasons, which could adversely affect the costs, timing, or successful completion of our clinical trials, including related to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regulators may disagree as to the design or implementation of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regulators and/or institutional review boards (“IRBs”), or other bodies may not authorize us or our investigators to commence a clinical trial, or to conduct or continue a clinical trial at a prospective or specific trial site;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reach agreement on acceptable terms with third-party researchers, clinical trial sites, or prospective contract research organizations (“CROs”), the terms of which can be subject to extensive negotiation and may vary significantly among different researchers, trial sites, and CROs;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number of subjects or patients required for clinical trials may be larger than we anticipate, enrollment in these clinical trials may be insufficient or slower than we anticipate, and the number of clinical trials being conducted at any given time may be high and result in fewer available patients for any given clinical trial, or patients may drop out of these clinical trials at a higher rate than we anticipate;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third-party contractors may fail to comply with regulatory requirements or meet their contractual obligations to us in a timely manner or at all;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might have to suspend or terminate clinical trials for various reasons, including occurrence of adverse events or other findings that the subjects in our clinical trials are being exposed to unacceptable health risks;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have to amend clinical trial protocols or conduct additional studies to reflect changes in regulatory requirements or guidance, which we may be required to submit to an IRB, or other bodies and/or regulatory authorities for re-examination;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regulators, IRBs, other bodies, or other parties may require or recommend that we or our investigators suspend or terminate clinical research for various reasons, including safety signals or noncompliance with regulatory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of clinical trials may be greater than we anticipate;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clinical sites may not adhere to the clinical protocol or may drop out of a clinical trial;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 unable to recruit a sufficient number of clinical trial sites;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regulators, IRBs, or other bodies may fail to approve or subsequently find fault with our manufacturing processes or facilities of third-party manufacturers with which we enter into agreements for clinical and commercial supplies, the supply of devices or other materials necessary to conduct clinical trials may be insufficient, inadequate or not available at an acceptable cost, or we may experience interruptions in supply;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marketing authorization or regulations of FDA may change in a manner rendering our clinical data insufficient for marketing authorization;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 required to submit an investigational device exemption (“IDE”) application to the FDA, which must become effective prior to commencing certain human clinical trials of medical devices, and the FDA may reject our IDE application and notify us that we may not begin clinical trials, or place restrictions on the conduct of such trials; similar requirements may apply in foreign jurisdictions;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current or future products may have undesirable side effects or other unexpected characteristics.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of these occurrences may significantly harm our business, financial condition, results of operations, and prospects. In addition, many of the factors that cause, or lead to, a delay in the commencement or completion of clinical trials may also ultimately lead to the denial of marketing authorization of any medical device.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Patient enrollment in clinical trials, and completion of patient follow-up, if applicable, depend on many factors, including the size of the patient population, the nature of the trial protocol, the eligibility criteria for the clinical trial, competing clinical trials, and clinicians’ and patients’ perceptions as to the potential advantages of the product being studied. Patients participating in our clinical trials may drop out before completion of the trial or experience adverse medical events unrelated to an investigational device. Delays in patient enrollment or failure of patients to continue to participate in a clinical trial may delay commencement or completion of the clinical trial, cause an increase in the costs of the clinical trial and delays, or result in the failure of the clinical trial.</w:t>
      </w:r>
    </w:p>
    <w:p>
      <w:pPr>
        <w:pStyle w:val="TextBody"/>
        <w:bidi w:val="0"/>
        <w:spacing w:before="240" w:after="283"/>
        <w:jc w:val="both"/>
        <w:rPr>
          <w:rFonts w:ascii="Times New Roman" w:hAnsi="Times New Roman"/>
          <w:sz w:val="20"/>
        </w:rPr>
      </w:pPr>
      <w:r>
        <w:rPr>
          <w:rFonts w:ascii="Times New Roman" w:hAnsi="Times New Roman"/>
          <w:color w:val="000000"/>
          <w:sz w:val="20"/>
        </w:rPr>
        <w:t>Clinical trials must be conducted in accordance with the laws and regulations of the FDA and other applicable regulatory authorities’ legal requirements, regulations, or guidelines, and are subject to oversight by these governmental agencies and IRBs, or other bodies at the medical institutions where the clinical trials are conducted. In addition, clinical trials must be conducted with supplies of our devices produced under current good manufacturing practice (“cGMP”) or similar foreign requirements, and other regulations applicable to the location where the clinical trial is conducted. We rely on third-party researchers and clinical trial sites, and may in the future rely on CROs, to ensure the proper and timely conduct of our clinical trials, and while we have agreements governing their committed activities, we have limited influence over their actual performance. We depend on these third parties to conduct our clinical trials in compliance with good clinical practice (“GCP”), requirements. To the extent they fail to enroll participants for our clinical trials, fail to conduct the study to GCP standards or are delayed for a significant time in the execution of trials, including achieving full enrollment, we may be affected by increased costs, trial delays or both. In addition, if we conduct clinical trials in other countries in the future, we may be subject to further delays and expenses as a result of increased shipment costs and additional regulatory requirements, and the engagement of non-U.S. third-party contractors may expose us to risks associated with clinical investigators who are unknown to the FDA, and different standards of diagnosis, screening, and medical care. See the risk factor titled, “</w:t>
      </w:r>
      <w:r>
        <w:rPr>
          <w:rFonts w:ascii="Times New Roman" w:hAnsi="Times New Roman"/>
          <w:i/>
          <w:color w:val="000000"/>
          <w:sz w:val="20"/>
        </w:rPr>
        <w:t>We rely on third parties to conduct and support our preclinical studies and clinical trials. These third parties may not properly and successfully carry out their contractual duties or meet expected deadlines, which could harm our ability to obtain marketing authorization of or commercialize future products we develop.</w:t>
      </w:r>
      <w:r>
        <w:rPr>
          <w:rFonts w:ascii="Times New Roman" w:hAnsi="Times New Roman"/>
          <w:color w:val="000000"/>
          <w:sz w:val="20"/>
        </w:rPr>
        <w: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we may publicly disclose interim, top-line or preliminary data from our clinical trials, which is based on a preliminary analysis of then-available data, and the results and related findings and conclusions are subject to change following a more comprehensive review of the data related to the particular trial or additional data collected at a later time.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trial, or different conclusions or considerations may qualify such results, once additional data have been received and fully evaluated. Interim, top-line, or preliminary data also remain subject to audit and verification procedures that may result in the final data being materially different from the interim, top-line, or preliminary data we previously announced. As a result, interim, top-line, and preliminary data should be viewed with caution until the final data are available. Adverse differences between interim data and final data could significantly harm our business prospects. Further, disclosure of interim data by us or by our competitors could result in volatility in our share price.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 others, including regulatory agencies or other bodies, may not accept or agree with our assumptions, estimates, calculations, conclusions, or analyses or may interpret or weigh the importance of data differently, which could impact the value of the particular trial, or the approvability or potential for commercialization of the particular medical device. In addition, the information we choose to publicly disclose regarding a particular study or clinical trial is based on what is typically extensive information, and others may not agree with what we determine is material or otherwise appropriate information to include in our disclosure. The interim, top-line, or preliminary data that we report may differ from final results, and regulatory authorities and other bodies may disagree with the conclusions reached, which may harm our ability to obtain marketing authorization for, and commercialize, our future products, which could harm our business, financial condition, results of operations, and prospects.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are subject to ongoing regulatory review and scrutiny. Failure to comply with post-marketing regulatory requirements could subject us to enforcement actions, including substantial penalties, and might require us to recall or withdraw a product from the market.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subject to ongoing and extensive regulatory requirements governing, among other things, the manufacture, marketing, advertising, medical device reporting, sale, promotion, import, export, registration, and listing of devices. For example, medical device manufacturers must submit certain reports to the FDA and keep required records as a condition of obtaining and maintaining marketing authorization. These reports include information about failures and certain adverse events potentially associated with the device after its marketing authorization. Failure to submit such reports, or failure to submit the reports in a timely manner, could result in enforcement action by the FDA. Following its review of the periodic reports, the FDA might ask for additional information or initiate further investigation.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Regulatory changes could result in restrictions on our ability to continue or expand our operations, higher than anticipated costs, or lower than anticipated sales. We have ongoing responsibilities under FDA regulations, and the FDA and state regulatory authorities have broad enforcement powers. Our failure to comply with applicable regulatory requirements could result in enforcement action by the FDA or state regulatory authorities, which may include any of the following or other sanctions: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untitled letters or warning letters;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fines, injunctions, consent decrees, and civil penalties;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recalls, termination of distribution, administrative detention, or seizure of our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customer notifications or repair, replacement, or refunds;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operating restrictions or partial suspension or total shutdown of production;</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 xml:space="preserve">delays in or refusal to grant our requests for future clearances, </w:t>
      </w:r>
      <w:r>
        <w:rPr>
          <w:rFonts w:ascii="Times New Roman" w:hAnsi="Times New Roman"/>
          <w:i/>
          <w:color w:val="000000"/>
          <w:sz w:val="20"/>
        </w:rPr>
        <w:t>de novo</w:t>
      </w:r>
      <w:r>
        <w:rPr>
          <w:color w:val="000000"/>
        </w:rPr>
        <w:t xml:space="preserve"> </w:t>
      </w:r>
      <w:r>
        <w:rPr>
          <w:rFonts w:ascii="Times New Roman" w:hAnsi="Times New Roman"/>
          <w:color w:val="000000"/>
          <w:sz w:val="20"/>
        </w:rPr>
        <w:t>classifications or approvals, or comparable foreign marketing authorizations of new products, new intended uses, or modifications to existing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withdrawals or suspensions of any granted marketing authorizations, resulting in prohibitions on sales of our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FDA refusal to issue certificates to foreign governments needed to export products for sale in other countries;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criminal prosecution.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of these sanctions could result in negative publicity, higher than anticipated costs or lower than anticipated sales and have a material adverse effect on our reputation, business, financial condition, results of operations, and prospects.</w:t>
      </w:r>
    </w:p>
    <w:p>
      <w:pPr>
        <w:pStyle w:val="TextBody"/>
        <w:bidi w:val="0"/>
        <w:spacing w:before="240" w:after="283"/>
        <w:jc w:val="both"/>
        <w:rPr>
          <w:rFonts w:ascii="Times New Roman" w:hAnsi="Times New Roman"/>
          <w:sz w:val="20"/>
        </w:rPr>
      </w:pPr>
      <w:r>
        <w:rPr>
          <w:rFonts w:ascii="Times New Roman" w:hAnsi="Times New Roman"/>
          <w:color w:val="000000"/>
          <w:sz w:val="20"/>
        </w:rPr>
        <w:t>In addition, the FDA may change its marketing authorization policies affecting future products, adopt additional regulations or revise existing regulations, or take other actions, which may prevent or delay marketing authorization of any products under development or impact our ability to modify any products authorized for market on a timely basis. Such changes may also occur in foreign jurisdictions where we may market our products in the future. Such changes could impose additional requirements upon us that could delay our ability to obtain future marketing authorizations, increase the costs of compliance, or restrict our ability to maintain any marketing authorizations we have obtained. See the risk factor titled, “</w:t>
      </w:r>
      <w:r>
        <w:rPr>
          <w:rFonts w:ascii="Times New Roman" w:hAnsi="Times New Roman"/>
          <w:i/>
          <w:color w:val="000000"/>
          <w:sz w:val="20"/>
        </w:rPr>
        <w:t>Legislative or regulatory reforms in the United States may make it more difficult and costly for us to manufacture, market, or distribute our products, or to obtain marketing authorizations for any future products.</w:t>
      </w:r>
      <w:r>
        <w:rPr>
          <w:rFonts w:ascii="Times New Roman" w:hAnsi="Times New Roman"/>
          <w:color w:val="000000"/>
          <w:sz w:val="20"/>
        </w:rPr>
        <w: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products must be manufactured in accordance with applicable laws and regulations, and we could be forced to recall our devices or terminate production if we fail to comply with these regulations.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United States, the methods used in, and the facilities used for, the manufacture of medical devices must comply with the FDA’s cGMPs for medical devices, known as the QMSR, which is a complex regulatory scheme that covers the procedures and documentation of the design, testing, production, process controls, quality assurance, labeling, packaging, handling, storage, distribution, installation, servicing, and shipping of medical devices. Furthermore, we are required to verify that our suppliers maintain facilities, procedures, and operations that comply with our quality standards and applicable regulatory requirements. The FDA enforces the QMSR through periodic announced or unannounced inspections of medical device manufacturing facilities, which may include the facilities of subcontractors. Our products are also subject to similar state regulations governing manufacturing.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third-party manufacturers may not take the necessary steps to comply with applicable regulations, which could cause delays in the delivery of our medical devices. In addition, failure to comply with applicable FDA requirements or later discovery of previously unknown problems with our products or manufacturing processes could result in, among other things: warning letters or untitled letters; fines, injunctions, or civil penalties; suspension or withdrawal of marketing authorizations; seizures or recalls of our products; total or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partial suspension of production or distribution; administrative or judicially imposed sanctions; the FDA’s refusal to grant pending or future clearances or approvals for our products or similar decisions by foreign regulatory authorities or notified bodies; clinical holds; refusal to permit the import or export of our products; and criminal prosecution of us, our suppliers, or our employees. If any of these events occurs, our reputation could be harmed, we could be exposed to product liability claims and we could lose customers and experience reduced sales and increased costs.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products may cause or contribute to adverse medical events which we may be required to report to the FDA, and if we fail to do so, we would be subject to sanctions that could harm our reputation, business, financial condition, results of operations, and prospects. In addition, the discovery of serious safety issues with our products, or a recall of our products either voluntarily or at the direction of the FDA, could have a negative impact on 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It is possible that there may be side effects and adverse events associated with the use of our medical devices or any future devices we develop. For example, the Ceribell System has in certain instances issued false alarms, i.e., report seizure activity when there is no seizure, and in other instances has failed to report or under-reported seizure activity when there is seizure, and may continue to do so, all of which may lead to patients being misdiagnosed, receiving unnecessary medical procedures or treatments, or experiencing delays in receiving necessary medical procedures or treatments. Additionally, the Wearables used as part of the Ceribell System may cause skin irritation to patients or break down sooner than expected. Use of the Ceribell System, including both the Wearables and EEG recorder, may present infection control hazards to both patients and healthcare staff. The EEG recorder may also present additional hazards to patients and healthcare staff, including mechanical hazards, electrical hazards, and thermal hazards relating to the device’s integrated lithium-ion battery. Failure of the EEG recorder to transmit data to our portal due to software or hardware problems, incorrect setup or configuration, network incompatibility, or user error may lead to patients experiencing delays in receiving necessary medical procedures or treatments. The FDA’s medical device reporting regulations require us to assess reportability of adverse events that come to our attention and report to the FDA when we receive or become aware of information that reasonably suggests that one or more of our products may have caused or contributed to a death or serious injury or malfunctioned in a way that, if the malfunction were to recur, it could cause or contribute to a death or serious injury. The timing of our obligation to report is triggered by the date we become aware of the event as well as the nature of the event. We may fail to report events of which we become aware within the prescribed timeframe. We may also fail to recognize that we have become aware of a reportable event, especially if it is not reported to us as an adverse event or if it is an adverse event that is unexpected or removed in time from the use of the product. The FDA may also disagree with our determinations that an event was not reportable. To date, we have not filed any medical device reports with the FDA. If we fail to comply with our reporting obligations, the FDA could take action, including warning letters, untitled letters, administrative actions, criminal prosecution, imposition of civil monetary penalties, revocation of our marketing authorizations, seizure of our products, or delay in obtaining marketing authorizations for our future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FDA has the authority to require the recall of commercialized products in the event of material deficiencies or defects in design or manufacture of a product or in the event that a product poses an unacceptable risk to health. The FDA’s authority to require a recall must be based on a finding that there is reasonable probability that the device could cause serious injury or death. We may also choose to voluntarily recall a product if any material deficiency is found. A government-mandated or voluntary recall by us could occur as a result of an unacceptable risk to health, component failures, malfunctions, manufacturing defects, labeling or design deficiencies, packaging defects, or other deficiencies or failures to comply with applicable regulations. Product defects or other errors may occur in the future.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Depending on the corrective action we take to redress a product’s deficiencies or defects, the FDA may require, or we may decide, that we will need to obtain new marketing authorizations for the device before we may market or distribute the corrected device. Seeking such clearances or approvals may delay our ability to replace the recalled devices in a timely manner. Moreover, if we do not adequately address problems associated with our devices, we may face additional regulatory enforcement action, including FDA warning letters, product seizure, injunctions, administrative penalties, or civil or criminal fines.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Companies are required to maintain certain records of recalls and corrections, even if they are not reportable to the FDA. We may initiate voluntary withdrawals or corrections for our products in the future that we determine do not require notification of the FDA. If the FDA disagrees with our determinations, it could require us to report those actions as recalls and we may be subject to enforcement action. A future recall announcement could harm our reputation with customers, potentially lead to product liability claims against us, and negatively affect our sales. Any corrective action, whether voluntary or involuntary, as well as defending ourselves in a lawsuit, will require the dedication of our time and capital, distract management from operating our business, and may harm our reputation,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The misuse or off-label use of our products may result in injuries that harm patients and lead to product liability suits, harm our reputation in the marketplace, or result in costly investigations, fines, or sanctions by regulatory bodies if we are deemed to have engaged in the promotion of these uses, any of which could be costly to our business.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commercial products, and any marketing authorization we may receive for future products, are, and will be, limited to specified indications for use. Our sales and marketing personnel, as well as our direct sales force, are trained to not promote our devices for uses outside of the FDA-authorized indications for use, known as “off-label uses.” We cannot, however, prevent a healthcare professional from using our devices off-label, when in the healthcare professional’s independent professional judgment he or she deems it appropriate. There may be increased risk of injury to patients if healthcare professionals attempt to use our devices off-label, which could harm our reputation in the marketplace among healthcare professionals and patients.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the FDA determines that our promotional materials or training constitute promotion of an off-label use, it could request that we modify our training or promotional materials or subject us to regulatory or enforcement actions, including the issuance or imposition of an untitled letter, which is used for violators that do not necessitate a warning letter, injunction, seizure, civil fine, or criminal penalties. It is also possible that other federal or state enforcement authorities might take action under other regulatory authority, such as false advertising and consumer protection laws, or false claims laws, if they consider our business activities to constitute promotion of an off-label use, which could result in significant penalties, including, but not limited to, criminal, civil, and administrative penalties, damages, fines, disgorgement, exclusion from participation in government healthcare programs, and the curtailment of our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healthcare professionals may misuse our products or use improper techniques if they are not adequately trained, potentially leading to injury and an increased risk of product liability. For example, healthcare professionals may misuse our single use, disposable headbands by using them on more than one patient. If our devices are misused or used with improper technique, we may become subject to costly litigation by our customers or their patients. As described above, product liability claims could divert management’s attention from our core business, be expensive to defend, and result in sizeable damage awards against us that may not be covered by insurance, all of which would have a material adverse effect on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Legislative or regulatory reforms in the United States may make it more difficult and costly for us to manufacture, market, or distribute our products, or to obtain marketing authorizations for any future products.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legislation is drafted and introduced in Congress that could significantly change the statutory provisions governing the regulation of medical devices. In addition, the FDA may change its policies, adopt additional regulations, or revise existing regulations, or take other actions, which may prevent or delay marketing authorization of any future products under development or impact our ability to modify any products for which we have already obtained marketing authorizations on a timely basis. For example, on February 2, 2026, the FDA’s final rule implementing the FDA’s QMSR became effective. The QMSR, which replaced the FDA’s former Quality System Regulation (“QSR”), sets forth the FDA’s cGMP requirements for medical devices, and among other things, incorporates by reference certain elements of the quality management system requirements of ISO 13485:2016. Although the FDA has stated that the standards contained in ISO 13485 2016 are substantially similar to those set forth in the QSR, and although our quality management system is designed to comply with ISO 13485, the FDA has indicated that ISO:13485 certification alone will not ensure compliance under the QMSR, nor will ISO certification exempt manufacturers from FDA inspection. The QMSR also includes certain compliance obligations, such as those relating to unique device identification, product traceability, and maintenance of complaint and service records, that align more closely with the FDA’s existing medical device requirements than with ISO standards. Accordingly, it remains unclear the extent to which the QMSR may impose additional or different regulatory requirements on us that could increase the costs of compliance or otherwise negatively affect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FDA regulations and guidance are often revised or reinterpreted by the FDA in ways that may significantly affect our business and our products. Any new statutes, regulations or revisions or reinterpretations of existing regulations may make it more difficult and costly to manufacture, market, or distribute our commercialized products, or may impose additional costs, lengthen marketing authorization review times, or make it more difficult to obtain marketing authorizations for any future products we develop.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face risks related to obtaining necessary foreign regulatory clearance or approvals.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intend to enter into international markets in the future. Upon our expansion into foreign markets, we will be subject to foreign regulatory requirements that we have limited experience with and vary widely from country to country and from the United States. The time required to obtain clearances or approvals required by other countries may be longer than that required for FDA clearance or approval, and requirements for such approvals may differ from FDA requirements. We may be unable to obtain regulatory approvals and may also incur significant costs in attempting to obtain foreign regulatory approvals. If we experience delays in receipt of approvals to market our products in new jurisdictions, or if we fail to receive these approvals, we may be unable to market our products in international markets in a timely manner, if at all, which could materially impact our international expansion and adversely affect our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business as a whole. If any of these risks were to materialize, they could limit our expected international growth and profitability, which could have a material adverse effect on our business, financial condition, results of operations, and prospects.</w:t>
      </w:r>
    </w:p>
    <w:p>
      <w:pPr>
        <w:pStyle w:val="TextBody"/>
        <w:bidi w:val="0"/>
        <w:spacing w:before="360" w:after="283"/>
        <w:jc w:val="both"/>
        <w:rPr>
          <w:rFonts w:ascii="Times New Roman" w:hAnsi="Times New Roman"/>
          <w:sz w:val="20"/>
        </w:rPr>
      </w:pPr>
      <w:r>
        <w:rPr>
          <w:rFonts w:ascii="Times New Roman" w:hAnsi="Times New Roman"/>
          <w:b/>
          <w:i/>
          <w:color w:val="000000"/>
          <w:sz w:val="20"/>
        </w:rPr>
        <w:t>Failure to comply with the Foreign Corrupt Practices Act (the “FCPA”), economic and trade sanctions regulations, and similar laws could subject us to penalties and other adverse consequences.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subject to the FCPA and other laws in the United States and elsewhere that prohibit improper payments or offers of payments to foreign governments and their officials and political parties for the purpose of obtaining or retaining business. Certain suppliers and manufacturers of our devices and components of our devices are located in countries known to experience corruption. Business activities in these countries create the risk of unauthorized payments or offers of payments by one of our employees, contractors, or agents that could be in violation of various laws, including the FCPA and anti-bribery laws in these countries, even though these parties are not always subject to our control. While we have implemented policies and procedures designed to discourage these practices by our employees, consultants, and agents and to identify and address potentially impermissible transactions under such laws and regulations, we cannot assure you that none of our employees, consultants, and agents will take actions in violation of our policies, for which we may be ultimately responsible.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also subject to certain economic and trade sanctions programs that are administered by the U.S. Department of the Treasury’s Office of Foreign Assets Control which prohibit or restrict transactions to or from or dealings with specified countries, their governments, and in certain circumstances, their nationals, and with individuals and entities that are specially-designated nationals of those countries, narcotics traffickers and terrorists or terrorist organizations. For example, in December 2021, the U.S. Congress enacted the Uyghur Forced Labor Prevention Act in an effort to prevent what it views as forced labor and human rights abuses in the Xinjiang Uyghur Autonomous Region (the “XUAR”). If it is determined that our third-party suppliers and manufacturers produce or manufacture our components or products wholly or in part from the XUAR, then we could be prohibited from importing such components or products into the United States.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Failure to comply with any of these laws and regulations or changes in this regulatory environment, including changing interpretations and the implementation of new or varying regulatory requirements by the government, may result in significant financial penalties or reputational harm, which could adversely affect our business, financial condition, results of operations, and prospects.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Risks Related to Our Reliance on Third Parties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Various factors outside our direct control may negatively impact our manufacturing of the Ceribell System, which could have a material adverse effect on our business, financial condition, results of operations,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manufacture the Ceribell System at our manufacturing facilities in Sunnyvale, California, using Wearables supplied by third-party manufacturers located in China and Vietnam and components for our recorder procured from various suppliers and shipped to our facility for final assembly. While we believe that we currently have adequate manufacturing capacity and supplies for our products sufficient to meet our demand forecasts, if demand for the Ceribell System increases more rapidly than we anticipate, if we encounter problems with one or more of our manufacturers, including as a result of trade restrictions related to China, or if we secure regulatory approval to commercialize our products in additional geographies or indications, we may need to either expand our manufacturing capabilities, qualify new suppliers, or outsource to other manufacturers.</w:t>
      </w:r>
    </w:p>
    <w:p>
      <w:pPr>
        <w:pStyle w:val="TextBody"/>
        <w:bidi w:val="0"/>
        <w:spacing w:before="240" w:after="283"/>
        <w:jc w:val="both"/>
        <w:rPr>
          <w:rFonts w:ascii="Times New Roman" w:hAnsi="Times New Roman"/>
          <w:sz w:val="20"/>
        </w:rPr>
      </w:pPr>
      <w:r>
        <w:rPr>
          <w:rFonts w:ascii="Times New Roman" w:hAnsi="Times New Roman"/>
          <w:color w:val="000000"/>
          <w:sz w:val="20"/>
        </w:rPr>
        <w:t>Our third-party manufacturers may not take the necessary steps to comply with applicable regulations, which could cause delays in the delivery of our medical devices. The methods used in, and the facilities used for, the manufacture of medical devices sold in the United States must comply with the QMSR. See the risk factor titled, “</w:t>
      </w:r>
      <w:r>
        <w:rPr>
          <w:rFonts w:ascii="Times New Roman" w:hAnsi="Times New Roman"/>
          <w:i/>
          <w:color w:val="000000"/>
          <w:sz w:val="20"/>
        </w:rPr>
        <w:t>Our products must be manufactured in accordance with applicable laws and regulations, and we could be forced to recall our devices or terminate production if we fail to comply with these regulations.</w:t>
      </w:r>
      <w:r>
        <w:rPr>
          <w:rFonts w:ascii="Times New Roman" w:hAnsi="Times New Roman"/>
          <w:color w:val="000000"/>
          <w:sz w:val="20"/>
        </w:rPr>
        <w:t xml:space="preserve">” Manufacturers of medical device products often encounter difficulties in production, including difficulties with production costs and yields, quality control, quality assurance testing, shortages of qualified personnel, as well as compliance with strictly enforced FDA requirements, other federal and state regulatory requirements and foreign regulations, to the extent applicable. If we fail to manufacture our products in compliance with the QMSR, or if our or our third-party suppliers’ manufacturing facilities suffer disruptions, supply chain issues, machine failures, slowdowns, or disrepair, we may not be able to fulfill customer demand and our business would be harmed.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Any contamination of the controlled environment, equipment malfunction, supply issues, natural disasters (including wildfires or earthquakes, to which our manufacturing facility in Sunnyvale, California may be especially susceptible), public health emergencies, personnel issues, including human error, or failure to strictly follow procedures can significantly reduce our yield. A drop in yield can increase our cost to manufacture our products or, in more severe cases, require us to halt the manufacture of our products until the problem is resolved. Identifying and resolving the cause of a drop in yield can require substantial time and resources. In addition, if demand for our products shifts such that our manufacturing facilities are operated below our forecasts for an extended period, we may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adjust our manufacturing operations to reduce fixed costs, which could lead to uncertainty and delays in manufacturing times and quality during any transition period.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manufacturing and distribution of our products are technically challenging. Changes that our suppliers may make, or additional requirements from regulatory agencies, outside of our direct control can have an impact on our processes, on quality and on the successful or timely delivery of our products to our customers. Mistakes and mishandling may occur, which can affect supply and delivery. As a result, our dependence on third-party, including single-source suppliers, subjects us to a number of risks that could impact our ability to manufacture our products and harm our business, financial condition, and results of operations,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interruption of supply resulting from modifications to, or discontinuation of, a supplier’s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product shipments resulting from uncorrected defects, reliability issues, or a supplier’s failure to produce components that consistently meet our quality specifications;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analytical results or failure of analytical techniques that we depend on for quality control and release of our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price fluctuations due to a lack of long-term supply arrangements with our suppliers for key component or other supply chain constraints;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inability to obtain adequate supply in a timely manner or on commercially reasonable terms;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difficulty identifying and qualifying alternative suppliers for components in a timely manner;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inability of suppliers to comply with applicable provisions of the QMSR or other applicable laws or regulations enforced by the FDA and other regulatory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regulatory approvals of any changes to manufacturing, including the use of new suppliers;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latent defects that may become apparent after our products have been released and that may result in an adverse event or a recall of such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inclusion of vendors of raw materials not in compliance with regulatory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natural or other disasters, global pandemics, labor disputes, financial distress, lack of raw material supply, issues with facilities and equipment, international conflict or war, or other forms of disruption to business operations affecting our manufacturing operations and those of our third-party manufacturers and suppliers;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production delays related to the evaluation and testing of our products or the use of components from alternative suppliers;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delivery by our suppliers of components, materials or services due to changes in demand from us or their other customers.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occurrence of any of these issues could significantly harm our ability to manufacture our products and maintain sufficient quality standards, which would have a material adverse effect on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depend on a number of manufacturers and suppliers in connection with the manufacture of the Ceribell System, which makes us vulnerable to supply shortages and price fluctuations that could have a material adverse effect on our business, financial condition, results of operations,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source and rely upon components and sub-assemblies of the Ceribell System, as well as manufacturing services from approved manufacturers and suppliers, some of which are single-source suppliers.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These components, sub-assemblies and services are critical to us, and there are relatively few alternative sources of supply. Our suppliers generally are not under long-term contracts with us, and may experience delays or issues, stop producing our components or sub-assemblies, increase the prices they charge us, or elect to terminate their relationships with us. In any of these cases, we could face a delay of several months to identify, perform appropriate testing and qualify alternative manufacturers and suppliers with regulatory authorities, as we currently have transition plans for some but not all of our manufacturers and suppliers. In addition, the failure of our third-party manufacturers and suppliers to maintain acceptable quality requirements could result in quality issues, including recalls of our products. If one of our manufacturers or suppliers fails to maintain acceptable quality requirements, we may have to identify and qualify a new manufacturer or supplier. Although we require our third-party manufacturers and suppliers to supply us with materials, components, and services that meet our specifications and comply with applicable provisions of the QMSR and other applicable legal and regulatory requirements in our agreements and contracts, and we perform incoming inspection, testing, or other acceptance activities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ensure the materials and components meet our requirements, there is a risk that they may not supply components that meet our requirements or supply components in a timely manner.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do not have complete control over all aspects of the manufacturing process of, and are dependent on, our manufacturing partners for compliance with cGMP regulations applicable to certain components of our products. Third-party manufacturers may not be able, or fail, to comply with cGMP regulations. If our third-party manufacturers cannot successfully manufacture our products that conform to our specifications and the strict regulatory requirements of the FDA, they will not be able to secure and/or maintain registration for their manufacturing facilities. In addition, we do not have complete control over the ability of our third-party manufacturers to maintain adequate quality control, quality assurance and qualified personnel. The failure of our manufacturing partners to maintain acceptable quality requirements could result in quality issues, including recalls of our products. If one of our manufacturing partners fails to maintain acceptable quality requirements or perform as agreed, we may have to identify and qualify a new supplier or develop in-house manufacturing capabilities, which could require significant capital investments.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number of third-party manufacturers and suppliers with the necessary manufacturing and regulatory expertise and facilities to produce our device components is limited and certification of a new manufacturer or supplier may be complex and time consuming. Any delay or interruption would likely lead to a delay or interruption in our manufacturing operations. The inclusion of substitute components must meet our product specifications and could require us to qualify the new manufacturer or supplier with the appropriate regulatory authorities, including the FDA. The added time and cost to arrange for alternative manufacturers or suppliers could harm our business. New manufacturers of any planned product would be required to qualify under applicable regulatory requirements and would need to have sufficient rights under applicable intellectual property laws to the method of manufacturing the planned product. Obtaining the necessary FDA or international approvals or other qualifications under applicable regulatory requirements and ensuring non-infringement of third-party intellectual property or other proprietary rights could result in a significant interruption of supply and could require the new manufacturer to bear significant additional costs that may be passed on to us.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rely on third parties to conduct and support our preclinical studies and clinical trials. These third parties may not properly and successfully carry out their contractual duties or meet expected deadlines, which could harm our ability to obtain marketing authorization of or commercialize future products we develop.</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utilize and depend upon independent investigators and collaborators, such as third-party researchers, medical institutions, and strategic partners, to conduct and support portions of our preclinical studies and clinical trials under agreements with us, and may in the future rely on CROs. For some clinical research projects, we provide funding and for others, such as those supported by grants, we only provide access to our data or supply the Ceribell System at a discount. The terms of these agreements generally include joint publication rights and sole ownership of background intellectual property, as well as indemnification and insurance terms so that risk of injury or damages claims is appropriately allocated, guidelines for dispute resolution to address conflicts, and grounds for contract termination by each party.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negotiate budgets and contracts with these third parties and may not be able to do so on favorable terms, which may result in delays to our development timelines and increased costs. We have relied heavily on these third parties for our preclinical studies and expect to continue to do so, and we control only certain aspects of their activities. As a result, we have less direct control over the conduct, timing, and completion of these preclinical studies and clinical trials and the management of data developed through preclinical studies and clinical trials than would be the case if we were relying entirely upon our own staff. Nevertheless, we are responsible for ensuring that each of our studies is conducted in accordance with applicable protocol, legal and regulatory requirements, and scientific standards and our reliance on third parties does not relieve us of our regulatory responsibilities. We and these third parties are required to comply with GCP requirements, which are regulations and guidelines enforced by the FDA and comparable foreign regulatory authorities for medical devices in clinical development. Regulatory authorities enforce these GCP requirements through periodic inspections of trial sponsors, principal investigators and trial sites.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or any of these third parties fail to comply with applicable GCP regulations, the clinical data generated in our clinical trials may be deemed unreliable, and the FDA or other bodies may require us to perform additional clinical trials. We cannot assure you that, upon inspection, such regulatory authorities will determine that any of our clinical trials comply with the GCP regulations. In addition, our investigational devices must be produced in accordance with cGMP requirements known as the QSR. Our failure or any failure by these third parties to comply with these regulations or to recruit a sufficient number of patients may require us to repeat clinical trials, which would delay the marketing authorization process. Moreover, our business may be implicated if any of these third parties violates federal, state or foreign fraud and abuse or false claims laws and regulations or healthcare privacy and security laws.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Third parties conducting or supporting portions of our clinical trials are not our employees and, except for remedies available to us under our agreements with such third parties, we cannot control whether or not they devote sufficient time and resources to our investigational products. These third parties may also have relationships with other commercial entities, including our competitors, for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whom they may also be conducting clinical trials, or other product development activities, which could affect their performance on our behalf. These third parties may not successfully carry out their contractual duties or obligations or meet expected deadlines. They may need to be replaced or the quality or accuracy of the clinical data they obtain may be compromised due to the failure to adhere to our clinical protocols or regulatory requirements or for other reasons. Accordingly, our clinical trials may be extended, delayed or terminated and we may not be able to complete development of, obtain marketing authorizations for or successfully commercialize our future devices.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Switching or adding third parties to conduct or support portions of our preclinical studies and clinical trials involves substantial cost and requires extensive management time and focus. In addition, there is a natural transition period when a new third party commences work. As a result, delays may occur, which could have an adverse impact on our product development, results of operations, and prospects.</w:t>
      </w:r>
    </w:p>
    <w:p>
      <w:pPr>
        <w:pStyle w:val="TextBody"/>
        <w:bidi w:val="0"/>
        <w:spacing w:before="360" w:after="283"/>
        <w:jc w:val="both"/>
        <w:rPr>
          <w:rFonts w:ascii="Times New Roman" w:hAnsi="Times New Roman"/>
          <w:sz w:val="20"/>
        </w:rPr>
      </w:pPr>
      <w:r>
        <w:rPr>
          <w:rFonts w:ascii="Times New Roman" w:hAnsi="Times New Roman"/>
          <w:b/>
          <w:color w:val="000000"/>
          <w:sz w:val="20"/>
        </w:rPr>
        <w:t>Data Privacy Risk Factors</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Actual or perceived failures to comply with applicable data privacy and security laws, regulations, standards and other requirements could adversely affect our business, financial condition, results of operations,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global data protection landscape is rapidly evolving, and we, and the third-party service providers on which we rely, are or may become subject to numerous state, federal, and foreign laws, requirements, and regulations, as well as contractual obligations and research protocols governing the collection, use, disclosure, retention, processing, maintenance, transfer, and security of personal information, such as information that we and our third-party service providers collect in connection with the use and development of the Ceribell System and the Clarity algorithm and in clinical trials or studies, including patient EEG data.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us or our service providers’ and contractors’ ability to operate in certain jurisdictions or to collect, store, transfer, use, process, and share personal information; necessitate the acceptance of more onerous obligations in our contracts; result in liability; impose additional costs on us; necessitate changes to our information technologies, systems and practices and those of third parties that process personal information on our behalf; and may require us to change our business model.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United States, numerous state and federal laws, regulations, standards, and other legal obligations, including consumer protection laws and regulations, which govern the collection, dissemination, use, access to, confidentiality, security, transfer, disclosure, and processing of personal information, including health-related information, could apply to our operations or the operations of our customers. For example, HIPAA imposes privacy, security, and breach notification obligations on certain healthcare providers, health plans, and healthcare clearinghouses, known as covered entities, as well as their business associates that perform certain services that involve creating, receiving, maintaining, or transmitting individually identifiable health information for or on behalf of such covered entities, and their covered subcontractors. Among other requirements, HIPAA requires business associates to develop and maintain policies with respect to the protection of, use and disclosure of protected health information (“PHI”), including the adoption of administrative, physical, and technical safeguards to protect such information, certain notification requirements in the event of a breach of unsecured PHI, and requirements to report breaches of unsecured PHI to covered entities within 60 days of discovery of the breach by the business associate or its agents. Depending on the facts and circumstances, we could be subject to significant civil, criminal, and administrative fines and penalties and/or additional reporting and oversight obligations if found to be in violation of HIPAA.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Certain states have also adopted comparable privacy and security laws and regulations, which govern the privacy, collection, use, processing, disclosure, and protection of health-related and other personal information. Such laws and regulations will be subject to interpretation by various courts and other governmental authorities, thus creating potentially complex compliance issues for us and our customers. For example, the California Consumer Privacy Act, as amended by the California Privacy Rights Act (collectively, the “CCPA”) requires covered businesses that process the personal information of California residents to, among other things: (i) provide certain disclosures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California resident personal information on the business’s behalf. Additional compliance investment and potential business process changes may also be required. Similar laws have been passed in other states and are continuing to be proposed at the state and federal level, reflecting a trend toward more stringent privacy legislation in the United States. For example, Washington State enacted the Washington My Health My Data Act, which broadly defines consumer health data, creates a private right of action to allow individuals to sue for violations of the law, imposes stringent consent requirements, and grants consumers certain rights with respect to their health data, including to request deletion of their information. The enactment of such laws could have potentially conflicting requirements that would make compliance challenging. In the event that we are subject to or affected by HIPAA, the CCPA, or other domestic privacy and data protection laws, any liability from failure to comply with the requirements of these laws could adversely affect our financial condition.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in the future become subject to rapidly evolving data protection laws, rules and regulations in foreign jurisdictions, many of which have developed privacy and data protection requirements that impose requirements that differ substantially from those that apply within the United States. For example, in Europe, the European Union General Data Protection Regulation (the “EU GDPR”) and the United Kingdom General Data Protection Regulation and Data Protection Act 2018 (the “UK GDPR” and together with the EU GDPR referred to as the “GDPR”) governs the collection, use, disclosure, transfer, and other processing of personal data of individuals within the European Economic Area (the “EEA”) and United Kingdom (the “UK”) and imposes stringent requirements for data processors and controllers of such personal data or in the context of their activities within the EEA or UK. Companies that must comply with the GDPR face increased compliance obligations and risk, including more robust regulatory enforcement of data protection requirements and potential fines for noncompliance of up to €20 million or 4% of the annual global revenues of the noncompliant undertaking, whichever is greater. In addition to fines, a breach of the GDPR may result in regulatory investigations, reputational damage, orders to cease/ change our data processing activities, enforcement notices, assessment notices (for a compulsory audit), and/or civil claims (including class actions). The processing of “special category personal data” (such as personal data related to health and genetic information), which could become relevant to our operations in the context of our conduct of clinical trials, may also impose heightened compliance burdens under European data protection laws and is of interest to relevant regulators.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EEA, and the United States remains uncertain. As we continue to expand into other foreign countries and jurisdictions, we may be subject to additional laws and regulations that may affect how we conduct business. As we expand into foreign countries and jurisdictions, we will become subject to additional laws and regulations that will affect how we conduct business, and we expect the existing legal complexity and uncertainty regarding international personal data transfers to continue. As the regulatory guidance and enforcement landscape in relation to data transfers continue to develop, we could suffer additional costs, complaints and regulatory investigations or fines, and/or if we are otherwise unable to transfer personal data between and among countries and regions in which we operate, it could affect the manner in which we operate our business, the geographical location or segregation of our relevant systems and operations, and could adversely affect our financial results.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Federal Trade Commission (the “FTC”) also has authority to initiate enforcement actions against entities that mislead customers about HIPAA compliance, make deceptive statements about privacy and data sharing in privacy policies, fail to limit third-party use of health information, fail to implement policies to protect health information, or engage in other unfair practices that harm customers or that may violate Section 5 of the FTC Act. Even when HIPAA does not apply, failing to take appropriate steps to keep consumers’ personal information secure may constitute unfair acts or practices in or affecting commerce under the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Additionally, federal and state consumer protection laws are increasingly being applied by FTC and states’ attorneys general to regulate the collection, use, storage, and disclosure of health-related and other personal information, through websites or otherwise, and to regulate the presentation of website content.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Although we work to comply with applicable laws, regulations and standards, our contractual obligations, research protocols, and other legal obligations, these requirements are evolving and may be modified, interpreted and applied in an inconsistent manner from one jurisdiction to another, and may conflict with one another or other legal obligations with which we must comply. Any actual or perceived failure by us or our employees, representatives, contractors, consultants, or other third parties to comply with such requirements or adequately address data privacy and security concerns, even if unfounded, could result in, among other adverse impacts, significant regulatory penalties and fines, our compliance with contracts entered into with our partners, collaborators, and other third-party payors, damage to our reputation, loss of customer confidence in our security measures, withdrawal or withholding of customer consent for using patient data, government investigations, and enforcement actions and litigation and claims by third parties, any of which could have a material adverse effect on our reputation,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face risks associated with our use and development of AI and machine learning models.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use and develop AI, machine learning and automated decision-making technologies, including proprietary AI and machine learning algorithms and models (collectively, “AI Technologies”), throughout our business, and are making significant investments in this area. For example, we use AI Technologies to power our Clarity algorithm and drive continuous improvements in the performance of the Ceribell System. New products that we develop, including expansion into new indications, are also likely to incorporate AI Technologies.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expect that increased investment will be required in the future to continuously improve our use and development of AI Technologies. As with many technological innovations, there are significant risks involved in developing, maintaining, and deploying these technologies and there can be no assurance that the usage of or our investments in such technologies will always enhance our products or be beneficial to our business, including our efficiency or results of operations.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particular, if the models underlying our AI Technologies are: incorrectly designed or implemented; trained or reliant on incomplete, inadequate, inaccurate, biased, or otherwise poor quality data, or on data to which we do not have sufficient rights or in relation to which we and/or the providers of such data have not implemented sufficient legal compliance measures; used without sufficient oversight and governance to ensure their responsible use; misused or used outside of scope of applicable regulatory authorizations; and/or adversely impacted by unforeseen defects, technical challenges, cybersecurity threats, or material performance issues, the performance of our products and business, as well as our reputation and the reputations of our customers, could suffer or we could incur liability resulting from the violation of laws or contracts to which we are a party, regulatory enforcement actions, or civil claims.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the Clarity algorithm, as well as for any potential future AI Technology driven products, performance of the algorithm is generally assessed by comparing the output of the algorithm against a clinically derived reference standard (“ground truth”) for a specified dataset. This applies to internal evaluation of an algorithm’s performance, supporting external presentations and publications, and testing to support regulatory submissions. The Clarity algorithm output will not always agree with the opinion of a qualified neurologist, and in some cases multiple qualified neurologists will not agree with each other. While we constantly work to improve our product and algorithm, the AI Technologies we work with are novel and complex, and we cannot assure you that our AI Technologies will be able to perform as intended under all circumstances.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example, an earlier version of the Clarity algorithm was found to be unable to detect seizure or status epilepticus in certain ICU patients who had cardiac arrest. Further, the data that we use to train our AI Technologies includes data collected from EEGs performed on patients by our customers, and we are dependent upon our ability to obtain the right to use such patient data to continue to develop our products, including within appropriate time frames and on commercially reasonable terms. If we are unable to obtain sufficient rights to use such data under applicable regulatory frameworks or our agreements with our customers, or our customers were to withdraw or withhold their data from us, our ability to continue to develop our products and services to our customers, and our revenue prospects, could be materially adversely impacted.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regulatory framework for AI Technologies is rapidly evolving as many federal, state and foreign government bodies and agencies have introduced or are currently considering additional laws and regulations. The FDA has issued guidance documents relating to the incorporation of AI Technologies into medical devices. In addition, existing laws and regulations may be interpreted in ways that would affect the operation of our AI Technologies or could be rescinded or amended as new administrations take differing approaches to evolving AI Technologies. As a result, implementation standards and enforcement practices are likely to remain uncertain for the foreseeable future, and we cannot yet determine the impact future laws, regulations, standards, or market perception of their requirements may have on our business and may not always be able to anticipate how to respond to these laws or regulations.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United States, the Trump administration has rescinded an executive order relating to AI Technologies that was previously implemented by the Biden administration. The Trump administration may continue to rescind other existing federal orders and/or administrative policies relating to AI Technologies, or may implement new executive orders and/or other rule-making relating to AI Technologies in the future. Any such changes at the federal level could require us to expend significant resources to modify our products, services, or operations to ensure compliance or remain competitive. U.S. legislation related to AI Technologies has also been introduced at the federal level and is advancing at the state level. Such additional regulations may impact our ability to develop, use, and commercialize AI Technologies in the future.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It is possible that further new laws and regulations will be adopted in the United States and in other non-U.S. jurisdictions, or that existing laws and regulations, including competition and antitrust laws, may be interpreted in ways that would limit our ability to use AI Technologies for our business, or require us to change the way we use AI Technologies in a manner that negatively affects the performance of the Ceribell System and business and the way in which we use AI Technologies. We may need to expend resources to adjust the Ceribell System in certain jurisdictions if the laws, regulations, or decisions are not consistent across jurisdictions. Further, the cost to comply with such laws, regulations or decisions and/or guidance interpreting existing laws, could be significant and would increase our operating expenses (such as by imposing additional reporting obligations regarding our use of AI Technologies). Such an increase in operating expenses, as well as any actual or perceived failure to comply with such laws and regulations, could materially and adversely affect our business, financial condition, results of operations, and prospects. </w:t>
      </w:r>
    </w:p>
    <w:p>
      <w:pPr>
        <w:pStyle w:val="TextBody"/>
        <w:bidi w:val="0"/>
        <w:spacing w:before="360" w:after="283"/>
        <w:jc w:val="both"/>
        <w:rPr>
          <w:rFonts w:ascii="Times New Roman" w:hAnsi="Times New Roman"/>
          <w:sz w:val="20"/>
        </w:rPr>
      </w:pPr>
      <w:r>
        <w:rPr>
          <w:rFonts w:ascii="Times New Roman" w:hAnsi="Times New Roman"/>
          <w:b/>
          <w:i/>
          <w:color w:val="000000"/>
          <w:sz w:val="20"/>
        </w:rPr>
        <w:t>Our business and operations may suffer in the event of information technology system failures, cyber attacks, or deficiencies in our cybersecurity.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collect and maintain information in digital form that is necessary to conduct our business, and we are increasingly dependent on information technology systems and infrastructure to operate our business. In the ordinary course of our business, we collect, store, transmit, and process large amounts of confidential information, including intellectual property, proprietary business information, preclinical and clinical trial data, and personal information of clinical trial participants, patients of our customers, and our employees and contractors (collectively, “Confidential Information”). We may also share Confidential Information with our partners or other third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parties in conjunction with our business. It is critical that we do so in a secure manner to maintain the confidentiality and integrity of such Confidential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information technology systems and those of our customers, third-party service providers, manufacturers, and other contractors or consultants are vulnerable to attack, damage and interruption from computer viruses and malware (e.g. ransomware), misconfigurations, “bugs” or other vulnerabilities, malicious code, natural disasters, terrorism, war, telecommunication and electrical failures, hacking, cyber attacks, phishing attacks and other social engineering schemes, employee theft or misuse, human error, unauthorized access, fraud, denial or degradation of service attacks, and sophisticated nation-state and nation-state-supported actors. We have also outsourced elements of our information technology infrastructure, and as a result a number of third-party vendors may or could have access to our confidential information. The risk of a security breach or disruption, particularly through cyber attacks or cyber intrusion, including by computer hackers, foreign governments and cyber terrorists, has generally increased as the number, intensity and sophistication of attempted attacks and intrusions from around the world have increased and evolved. If we or our third-party vendors were to experience a significant cybersecurity breach of our or their information systems or data, the costs associated with the investigation, remediation and potential notification of the breach to counter-parties and data subjects could be material. In addition, our remediation efforts may not be successful. If we do not allocate and effectively manage the resources necessary to build and sustain the proper technology and cybersecurity infrastructure, we could suffer significant business disruption, including transaction errors, supply chain or manufacturing interruptions, processing inefficiencies, data loss or the loss of or damage to intellectual property or other proprietary information. There can also be no assurance that our and our customers’, third-party service providers’, contractors’, and consultants’ cybersecurity risk management programs and processes, including policies, controls, or procedures, will be fully implemented, complied with or effective in protecting our systems, networks, and Confidential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Attacks upon information technology systems are increasing in their frequency, levels of persistence, sophistication, and intensity, and are being conducted by sophisticated and organized groups and individuals with a wide range of motives and expertise. Furthermore, because the techniques used to obtain unauthorized access to, or to sabotage, information technology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 including artificial intelligence – that are designed to circumvent controls, to avoid detection, and to remove or obfuscate forensic evidence.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and certain of our customers and service providers may be subject to cyber attacks and security incidents from time to time. While we do not believe that we have experienced any significant information technology system failure, accident, or security breach to date, if such an event were to occur and cause interruptions in our operations, it could result in a material disruption of our development programs and our business operations, whether due to a loss, corruption or unauthorized disclosure or misappropriation of our trade secrets, personal information, patient data collected from our customers or other Confidential Information or other similar disruptions. It could also expose us to risks, including an inability to provide our services and fulfill contractual demands, and could cause management distraction and the obligation to devote significant financial and other resources to mitigate such problems, which would increase our future information security costs, including through organizational changes, deploying additional personnel, reinforcing administrative, physical and technical safeguards, further training of employees, changing third-party vendor control practices, and engaging third-party subject matter experts and consultants and reduce the demand for our technology and services. If a security breach or other incident were to result in the unauthorized access to or unauthorized use, disclosure, release, or other processing of personal information, including the patient data of our customers, it may be necessary to notify individuals, governmental authorities, supervisory bodies, the media, and other parties pursuant to privacy and security laws and the costs associated with the investigation, remediation, and potential notification of the breach to third-parties and data subjects could be material.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security compromise affecting us, our service providers, strategic partners, other contractors, consultants, or our industry, whether real or perceived, could harm our reputation, erode confidence in the effectiveness of our security measures and lead to regulatory scrutiny. To the extent that any disruption or security breach were to result in a loss of, or damage to, our data or systems, or inappropriate disclosure of confidential or proprietary or personal information, we could incur liability, including litigation exposure, penalties and fines, we could become the subject of regulatory action or investigation, our competitive position could be harmed and the further development and commercialization of our products and services could be delayed. If such an event were to occur and cause interruptions in our operations, it could result in a material disruption of our business. Furthermore, federal, state and international laws and regulations can expose us to enforcement actions and investigations by regulatory authorities, and potentially result in regulatory penalties, fines and significant legal liability, if our information technology security efforts fail. Any adverse impact to the availability, integrity, or confidentiality of our or third-party information technology systems or Confidential Information, whether actual or perceived, could result in liability, legal claims, or proceedings (such as class actions), regulatory investigations and enforcement actions, fines, and penalties, negative reputational impacts that cause us to lose existing or future customers, and/or significant incident response, system restoration or remediation, and future compliance costs, any of which could materially and adversely affect our business, financial condition, results of operations, and prospects.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existing general liability and cyber liability insurance policies may not cover, or may cover only a portion of, any potential claims related to security breaches to which we are exposed or may not be adequate to indemnify us for all or any portion of liabilities that may be imposed. We also cannot be certain that our existing insurance coverage will continue to be available on acceptable terms or in amounts sufficient to cover the potentially significant losses that may result from a security incident or breach or that the insurer will not deny coverage of any future claim. Accordingly, if our cybersecurity measures, and those of our customers and service providers, fail to protect against unauthorized access, attacks (which may include sophisticated cyber attacks), and the mishandling of data, then our reputation, business, financial condition, results of operations, and prospects could be materially and adversely affected.</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spacing w:before="120" w:after="283"/>
        <w:jc w:val="both"/>
        <w:rPr>
          <w:rFonts w:ascii="Times New Roman" w:hAnsi="Times New Roman"/>
          <w:sz w:val="20"/>
        </w:rPr>
      </w:pPr>
      <w:r>
        <w:rPr>
          <w:rFonts w:ascii="Times New Roman" w:hAnsi="Times New Roman"/>
          <w:b/>
          <w:i/>
          <w:color w:val="000000"/>
          <w:sz w:val="20"/>
        </w:rPr>
        <w:t>Our success will depend on our and our licensors’ ability to obtain, maintain, enforce, and protect our intellectual property rights.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success and ability to compete depends in part on our and our licensors’ ability to obtain, maintain, enforce, and protect issued patents, trademarks, trade secret, and other intellectual property rights and proprietary technology in the United States and elsewhere. If we cannot adequately obtain, maintain, and enforce our intellectual property rights and proprietary technology, competitors may be able to use our technologies or the goodwill we have acquired in the marketplace and erode or negate any competitive advantage we may have and our ability to compete, which could harm our business and ability to achieve profitability and/or cause us to incur significant expenses. We generally seek to protect our proprietary position by filing patent applications that are important to our business. We also seek to protect our proprietary position by acquiring or in-licensing relevant issued patents or pending patent applications or other intellectual property or proprietary rights from third parties. If we are unable to obtain or maintain patent protection with respect to any proprietary technology, our business, financial condition, results of operations, and prospects could be materially harmed.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rely on a combination of contractual provisions, confidentiality procedures, and patent, trademark, copyright, trade secret and other intellectual property laws to protect the proprietary aspects of the Ceribell System, brand, technologies, trade secrets, know-how, and data. These legal measures afford only limited protection, and competitors or others may gain access to or use our intellectual property rights and proprietary information. In addition, patents have a limited lifespan. In the United States, for example, the natural expiration of a utility patent is generally 20 years from the earliest effective non-provisional filing date. Our success will depend, in part, on preserving our trade secrets, maintaining the security of our data and know-how, and obtaining, maintaining, and enforcing other intellectual property rights. We may not be able to obtain, maintain, and/or enforce our intellectual property or other proprietary rights necessary to our business or in a form that provides us with a competitive advantage.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patent prosecution process is expensive, time-consuming, and complex, and we may not be able to file, prosecute, maintain, enforce, defend, or license all necessary or desirable patents or patent applications at a reasonable cost or in a timely manner, or in all jurisdictions. Moreover, pending patent applications cannot be enforced against third parties practicing the technology claimed in such applications unless, and until, patents issue from such applications, and then only to the extent the issued claims cover relevant product, service, or the technology. There can be no assurance that our current or future patent applications will result in patents being issued or that our issued patents will afford sufficient protection against competitors or other third parties with similar products, services or technologies competitive with ours, nor can there be any assurance that the patents issued will not be infringed, designed around, or invalidated by third parties.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Even issued patents may later be found invalid or unenforceable or may be modified or revoked in proceedings instituted by third parties before various patent offices or in courts. The degree of future protection for our and our licensors’ intellectual property or other proprietary rights is uncertain. Only limited protection may be available and may not adequately protect our rights or permit us to gain or keep any competitive advantage. These uncertainties and/or limitations in our ability to properly protect the intellectual property or other proprietary rights relating to our products, services and technologies could have a material adverse effect on our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cannot be certain that the claims in our U.S. pending patent applications, corresponding international patent applications and patent applications in certain foreign territories, or those of our licensors, will be considered patentable by the USPTO courts in the United States or by the patent offices and courts in foreign countries, nor can we be certain that the claims in our future issued patents will not be found invalid or unenforceable if challenged. Our ability to obtain and maintain valid and enforceable patents depends in part on whether the differences between our inventions and the prior art allow our inventions to be patentable over the prior art. Additionally, regardless of when filed, we may fail to identify relevant third-party patents or patent applications, or we may incorrectly conclude that a third-party patent is invalid or not infringed by our products, services, technologies, or activities. Therefore, we cannot be certain that we or our licensors were the first to make the inventions claimed in any of our owned or in-licensed patents or pending patent applications, or that we or our licensors were the first to file for patent protection of such inventions.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Failure to obtain, maintain, and/or enforce intellectual property rights necessary to our business and failure to protect, monitor and control the use of our intellectual property rights could negatively impact our ability to compete and cause us to incur significant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expenses. The intellectual property laws and other statutory and contractual arrangements in the United States and other jurisdictions we depend upon may not provide sufficient protection in the future to prevent the infringement, use, violation or misappropriation of our patents, trademarks, data, technology, and other intellectual property rights by others, and may not provide an adequate remedy if our intellectual property rights are infringed, misappropriated, or otherwise violated by others.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degree of future protection for our intellectual property rights is uncertain, and we cannot ensure that: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others will not develop, manufacture and/or commercialize similar or alternative products, services, or technologies that do not infringe, misappropriate, or violate any patents or other intellectual property rights that we own or have rights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patents issued to us will provide a basis for an exclusive market for our products, services, or technologies, will provide us with any competitive advantages or will not be challenged, invalidated, modified, revoked, or circumvented by third parties;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of our challenged patents will be found to ultimately be valid and enforceable;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of our patents, or any of our pending patent applications, if issued, will include claims having a scope sufficient to protect our products, services, or technologies;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of our pending patent applications will issue as patents, or even if issued, will include claims with a scope sufficient to protect our products, services, or technologies;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will be able to successfully develop, manufacture, and commercialize our products, services, or technologies on a substantial scale before relevant patents we may have expire;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were the first to make the inventions covered by each of our patents and pending patent applications or we were the first to file patent applications for such inventions;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will develop additional proprietary inventions, products, services, or technologies that are separately patentable;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commercial activities, products, services, or technologies will not infringe upon the patents of others.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we fail to identify our patentable inventions or adequately protect our patent rights, the commercial value of our products, services or technologies may be adversely affected and our competitive position may be harmed.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rely in part on our portfolio of issued patents and pending patent applications in the United States and other countries to protect our intellectual property and competitive position. However, it is also possible that we may fail to identify patentable aspects of inventions made in the course of the development, manufacture, and commercial activities conducted by or on behalf of us before it is too late to obtain patent protection on such inventions. If we fail to timely file for patent protection in any jurisdiction, we may be precluded from doing so at a later date. Although we enter into non-disclosure and confidentiality agreements with parties who have access to patentable aspects of our research and development output, such as our employees, outside scientific collaborators, suppliers, consultants, advisors, and other third parties, any of these parties may breach the agreements and disclose such output before a patent application is filed, thereby jeopardizing our ability to seek patent protection. Furthermore,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any of our patents or pending patent applications, or that we were the first to file for patent protection of such inventions. Moreover, should we become a licensee of a third party’s patents or patent applications, depending on the terms of any future in-licenses to which we may become a party, we may not have the right to control the preparation, filing, and prosecution of patent applications, or to maintain or enforce the patents, covering technology in-licensed from third parties. Therefore, these patents and patent applications may not be prosecuted, maintained, and/or enforced in a manner consistent with the best interests of our business. While we generally apply for patents in those countries where we intend to make, have made, use, import, offer for sale, or sell our products or services or otherwise practice our technology, we may not accurately predict all of the countries where patent protection will ultimately be desirable. Furthermore, the issuance of a patent does not give us the right to practice the patented invention. Third parties may have blocking patents that could prevent us from importing, using, manufacturing, and/or commercializing our own products or services, or otherwise practicing our own technology. Any of these outcomes could impair our ability to prevent competition from third parties, which may have an adverse impact on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patent positions of companies, including our patent position, may involve complex legal and factual questions that have been the subject of much litigation in recent years, and, therefore, the scope of any patent claims that we have or may obtain cannot be predicted with certainty. Accordingly, we cannot provide any assurances about which of our patent applications will issue, the breadth of any resulting patent, whether any of the issued patents will be found to be infringed, invalid, or unenforceable or will be threatened or challenged by third parties, that any of our issued patents have, or that any of our currently pending or future patent applications that mature into issued patents will include, claims with a scope sufficient to protect our products, services, or technology. Our pending and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future patent applications may not result in the issuance of patents or, if issued, may not issue in a form that will be advantageous to us. The coverage claimed in a patent application can be significantly reduced before the patent is issued, and its scope can be reinterpreted after issuance. We cannot offer any assurances that the breadth of our issued patents will be sufficient to stop a competitor from developing, manufacturing, and commercializing one or more products, services, or technologies in a non-infringing manner that would be competitive with one or more of our products, services, or technologies, or otherwise provide us with any competitive advantage. Furthermore, any successful challenge to these patents or any other patents owned by or licensed to us after patent issuance could deprive us of rights necessary for our commercial success. Further, there can be no assurance that we will have adequate resources to enforce our patents.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Though an issued patent is presumed valid and enforceable, its issuance is not conclusive as to its validity or its enforceability and it may not provide us with adequate proprietary protection or competitive advantages against competitors with similar products or services. Patents, if issued, may be challenged, deemed unenforceable, invalidated, narrowed, or circumvented. Proceedings challenging our patents or patent applications could result in either loss of the patent, or denial of the patent application or loss or reduction in the scope of one or more of the claims of the patent or patent application. Any successful challenge to our patents and patent applications could deprive us of exclusive rights necessary for our commercial success. In addition, defending such challenges in such proceedings may be costly. Thus, any patents that we own or in-license may not provide the anticipated level of, or any, protection against competitors. Furthermore, an adverse decision may result in a third party receiving a patent right sought by us, which in turn could affect our ability to develop, manufacture, commercialize, import, or otherwise use our products, services, or technologies.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Some of our patents and patent applications are and, may in the future be, co-owned with third parties. If we are unable to obtain an exclusive license to any such third- party co-owners’ interest in such patents or patent applications, such co-owners may be able to license their rights to other third parties, including our competitors, and our competitors could market competing products, services, or technologies. In addition, we may need the cooperation of any such co-owners of our patents to enforce such patents against third parties, and such cooperation may not be provided to us.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USPTO, and various foreign governmental patent agencies require compliance with a number of procedural, documentary, fee payment, and other similar provisions during the patent application process. In addition, periodic maintenance fees, renewal fees, annuity fees, and various other government fees on issued patents often must be paid to the USPTO and foreign patent agencies over the lifetime of the patent and/or applications and any patent rights we may obtain in the future. While an unintentional lapse of a patent or patent application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There could also be delays at the USPTO caused by staffing cuts and other U.S. government actions as a result of the U.S. Department of Government Efficiency or other executive actions to reduce the size of the U.S. government. If we or our patent licensors fail to maintain the patents and patent applications that we in-license, we may not be able to stop a competitor from marketing products, services, or technologies that are the same as or similar to our products, services, or technologies, which would have a material adverse effect on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Changes in U.S. or foreign patent laws or their interpretations could diminish the value of our patents in general, thereby impairing our ability to protect our current and future products, services, or technologies, and could increase the uncertainties and costs surrounding the prosecution of our patent applications and the enforcement or defense of our current or future patents.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obtain patents and the breadth of any patents obtained is uncertain in part because, to date, some legal principles remain unresolved, and there has not been a consistent policy regarding the breadth or interpretation of claims allowed in patents in the United States and other countries. Changes in either patent laws or in interpretations of patent laws in the United States and other countries may diminish the value of our intellectual property rights or narrow the scope of our patent protection, which in turn could diminish the commercial value of our products, services, and technologies.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Patent reform legislation may pass in the future that could lead to additional uncertainties and increased costs surrounding the prosecution, enforcement, and defense of our patents and applications. Furthermore, the U.S. Supreme Court and the U.S. Court of Appeals for the Federal Circuit have made, and will likely continue to make, changes in how the patent laws of the United States are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interpreted. The U.S. Supreme Court has ruled on several patent cases in recent years, either narrowing the scope of patent protection available in certain circumstances or weakening the rights of patent owners in certain situations.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to increasing uncertainty with regard to our ability to obtain patents in the future, this combination of events has created uncertainty with respect to the value of patents, once obtained. Depending on actions by the United States Congress, the federal courts and the USPTO, the laws and regulations governing patents could change in unpredictable ways that would weaken our ability to obtain new patents or to enforce patents that we own or that we might obtain or license in the future. An inability to obtain, enforce, and defend patents covering our proprietary technologies would materially and adversely affect our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Similarly, foreign courts have made, and will likely continue to make, changes in how the patent laws in their respective jurisdictions are interpreted. Changes in patent laws and regulations in other countries or jurisdictions, changes in the governmental bodies that enforce them, or changes in how the relevant governmental authority enforces patent laws or regulations may weaken our ability to obtain new patents or to enforce patents that we own or may obtain in the future. Further, the laws of some foreign countries do not protect proprietary rights to the same extent or in the same manner as the laws of the United States. In addition, any protection afforded by foreign patents may be more limited than that provided under U.S. patent and intellectual property laws. We may encounter significant problems in enforcing and defending our intellectual property both in the United States and abroad. For example, if the issuance in a given country of a patent covering an invention is not followed by the issuance in other countries of patents covering the same invention, or if any judicial interpretation of the validity, enforceability or scope of the claims or the written description or enablement in a patent issued in one country is not similar to the interpretation given to the corresponding patent issued in other countries, our ability to protect our intellectual property rights in those countries may be limited. We cannot predict future changes in the interpretation of patent laws in the United States and other countries or changes to patent laws that might be enacted into law by U.S. and foreign legislative bodies. Those changes may materially affect our patents or patent applications and our ability to obtain additional patent protection in the future. Any of the foregoing could have a material adverse effect on our competitive position,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June 2023, the European Unitary Patent system and the European Unified Patent Court (“UPC”) were launched. European patent applications now have the option, upon grant of a patent, of becoming a Unitary Patent which is subject to the jurisdiction of the UPC. In addition, conventional European patents, both already granted at the time the new system began and granted thereafter, are subject to the jurisdiction of the UPC, unless actively opted out. This was a significant change in European patent practice, and deciding whether to opt-in or opt-out of Unitary Patent practice entail strategic and cost considerations. The UPC provides third parties with a new forum to centrally revoke our European patents and makes it possible for a third party to obtain pan-European injunctions against us. It will be several years before we will understand the scope of patent rights that will be recognized and the strength of patent remedies that will be provided by the UPC. While we have the right to opt our patents out of the UPC over the first seven years of the court’s existence, doing so may preclude us from realizing the benefits of the UPC. Moreover, the decision whether to opt-in or opt-out of Unitary Patent status will require coordinating with co-applicants, if any, adding complexity to any such decision.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legal systems in certain countries may also favor state-sponsored or companies headquartered in particular jurisdictions over our first-in-time patents and other intellectual property protection. We are aware of incidents where such entities have stolen the intellectual property of domestic companies in order to create competing products and we believe we may face such circumstances ourselves in the future. For example, through its “Annual Special 301 Report on Intellectual Property,” the Office of the United States Trade Representative has been reporting on the adequacy and effectiveness of intellectual property protection in a number of foreign countries that are U.S. trading partners and their protection and enforcement of intellectual property rights. Placement of a country on the Priority Watch List indicates that particular problems exist in that country with respect to intellectual property protection, enforcement, or market access for persons relying on intellectual property rights. Countries placed on the Priority Watch List are the focus of increased bilateral attention concerning the specific problem areas. It is possible that we will not be able to enforce our intellectual property rights against third parties that misappropriate our proprietary technology in those countries.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not be able to protect our intellectual property rights throughout the world.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Filing, prosecuting, and defending patents on our products, services, and technologies in all countries throughout the world would be prohibitively expensive, and the laws of foreign countries may not protect our rights to the same extent as the laws of the United States. The requirements for patentability may differ in certain countries, particularly in developing countries. In addition, the laws of some foreign countries do not protect intellectual property rights to the same extent as federal and state laws in the United States. Consequently, we may not be able to prevent third-parties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services, or technologies and, further, may export otherwise infringing products, services, or technologies to territories where we have patent protection, but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enforcement is not as strong as that in the United States. These products, services, or technologies may compete with our products, services, or technologies, and our patents or other intellectual property rights may not be effective or sufficient to prevent such competition.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Various companies have encountered significant problems in protecting and defending intellectual property rights in certain foreign jurisdictions. The legal systems of certain countries may not favor the enforcement of patents and other intellectual property protection, particularly those relating to medical devices and related services and technologies, which could make it difficult for us to stop the infringement of our patents or marketing of competing products, services, and technologies in violation of our intellectual property and proprietary rights. In addition, some jurisdictions, such as Europe, Japan, and China, may have a higher standard for patentability than in the United States, including, for example, imposing a high standard for making claim amendments and for the submission of supplemental experimental data during patent examination. Under those heightened patentability requirements, we may not be able to obtain sufficient patent protection in certain jurisdictions even though the same or similar patent protection can be secured in the United States and other jurisdictions.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Proceedings to enforce our intellectual property and proprietary rights in foreign jurisdictions could result in substantial costs and divert our efforts and attention from other aspects of our business, could put our patent rights at risk of being invalidated or interpreted narrowly, could put our owned or in-licensed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 Various countries outside the United States, including certain countries in Europe, India, and China, have compulsory licensing laws under which a patent owner may be compelled to grant licenses to third parties. If we are forced to grant a license to third parties with respect to any patents relevant to our business, our competitive position may be impaired, and our business, financial condition, results of operations, and prospects may be adversely affected. In addition, many countries limit the enforceability of patents against government agencies or government contractors. As a result, a patent owner in such countries may have limited remedies in certain circumstances, which could materially diminish the value of such patent. Accordingly, our efforts to enforce our intellectual property rights around the world may be inadequate to obtain a significant commercial advantage from the intellectual property that we develop or license.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 the standards applied by the USPTO and foreign patent offices in granting patents are not always applied predictably. As such, we do not know the degree of world-wide uniform protection that we will have on our technologies and products in the future.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we cannot successfully enforce our intellectual property rights, the commercial value of our products, services, or technologies may be adversely affected and our competitive position may be harmed.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medical device industry is highly competitive and litigious with respect to patents, trademarks, trade secrets, and other intellectual property rights. Companies in the medical device industry have used intellectual property litigation to gain a competitive advantage. Third parties, including our competitors, may currently, or in the future, infringe, misappropriate, or otherwise violate our issued patents or other intellectual property rights, and we may file lawsuits or initiate other proceedings to protect or enforce our patents or other intellectual property rights, which could be expensive, time-consuming, and unsuccessful. We regularly monitor for unauthorized use of our intellectual property rights and, from time to time, analyze whether to seek to enforce our rights against potential infringement, misappropriation, or violation of our intellectual property rights. However, the steps we have taken, and are taking, to protect our proprietary rights may not be adequate to enforce our rights as against such infringement, misappropriation, or violation of our intellectual property rights. In certain circumstances it may not be practicable or cost-effective for us to enforce our intellectual property rights fully, particularly in certain developing countries or where the initiation of a claim might harm our business relationships. We may also be hindered or prevented from enforcing our rights with respect to a government entity or instrumentality because of the doctrine of sovereign immunity. Our ability to enforce our patent or other intellectual property rights depends on our ability to detect infringement. It may be difficult to detect infringers who do not advertise the components or methods that are used in connection with their products, services, or technologies. Moreover, it may be difficult or impossible to obtain evidence of infringement in a competitor’s or potential competitor’s product, services, or technologies. Thus, we may not be able to detect unauthorized use of, or take appropriate steps to enforce, our intellectual property rights. Any inability to meaningfully enforce our intellectual property rights could harm our ability to compete and reduce demand for our products, services, and technologies. We are currently involved in litigation against Natus, which is more fully described in “Item 3. Legal Proceedings”, to protect or enforce our intellectual property rights, and we may initiate or become subject to additional litigation in the future. Litigation is inherently uncertain, may result in counterclaims or challenges to the validity of our patents, and can be costly and time-consuming. An adverse result in any litigation proceeding could harm our business. In any lawsuit we bring to enforce our intellectual property rights, a court may refuse to stop the other party from manufacturing, commercializing, using or importing the product, service, offering or technology at issue on grounds that our intellectual property rights do not cover, and the other party is not infringing, violating or otherwise misappropriating our intellectual property, through the manufacture, commercialization, use or importation of the product, service, offering or technology in question. Any claims we assert against perceived infringers could also provoke these parties to assert counterclaims against us alleging that we infringe, misappropriate,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or otherwise violate their intellectual property rights. If we initiate legal proceedings against a third party to enforce a patent covering a product, service, offering or technology, the defendant could counterclaim that such patent is invalid or unenforceable. In patent litigation in the United States, defendant counterclaims alleging invalidity or unenforceability are common, and there are numerous grounds upon which a third party can assert invalidity or unenforceability of a patent. Grounds for a validity challenge could be an alleged failure to meet any of several statutory requirements, including lack of patentable subject matter, novelty, obviousness, or non-enablement. Grounds for an unenforceability assertion could be an allegation that someone connected with prosecution of the patent withheld relevant information from USPTO, or made a misleading statement, during prosecution. Mechanisms for such challenges include re-examination, post-grant review, </w:t>
      </w:r>
      <w:r>
        <w:rPr>
          <w:rFonts w:ascii="Times New Roman" w:hAnsi="Times New Roman"/>
          <w:i/>
          <w:color w:val="000000"/>
          <w:sz w:val="20"/>
        </w:rPr>
        <w:t>inter partes</w:t>
      </w:r>
      <w:r>
        <w:rPr>
          <w:rFonts w:ascii="Times New Roman" w:hAnsi="Times New Roman"/>
          <w:color w:val="000000"/>
          <w:sz w:val="20"/>
        </w:rPr>
        <w:t xml:space="preserve"> review, interference proceedings, derivation proceedings, and equivalent proceedings in foreign jurisdictions (e.g., opposition proceedings). In a patent or other intellectual property proceeding, a court may decide that a patent or other intellectual property right of ours is invalid or unenforceable, in whole or in part, construe the patent’s claims or other intellectual property narrowly or refuse to stop the other party from manufacturing, commercializing, using or importing the product, service, offering, or technology at issue on the grounds that our patents or other intellectual property do not cover the manufacture, commercialization, use, or importation of the product, service, offering, or technology in question. Furthermore, even if our patents or other intellectual property rights are found to be valid and infringed, a court may refuse to grant injunctive relief against the infringer and instead grant us monetary damages and/or ongoing royalties. Such monetary compensation may be insufficient to adequately offset the damage to our business caused by the infringer’s competition in the market. An adverse result in any litigation or administrative proceeding could put one or more of our patents or other intellectual property rights at risk of being invalidated or interpreted narrowly, which could adversely affect our competitive business, financial condition, results of operations and prospects. Moreover, even if we are successful in any litigation, we may incur significant expense in connection with such proceedings, and the amount of any monetary damages may be inadequate to compensate us for damage as a result of the infringement and the proceedings. A legal proceeding, regardless of the outcome, could drain our financial resources and divert the time and effort of our management. Protracted litigation to defend or prosecute our intellectual property rights could result in our customers or potential customers deferring or limiting their purchase or use of the affected products until resolution of the litigation.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cannot guarantee that any of our patent searches or analyses, including but not limited to the identification of relevant patents, analysis of the scope of relevant patent claims or determination of the expiration of relevant patents, are complete or thorough, nor can we be certain that we have identified each and every third-party patent and pending application in the United States, Europe and elsewhere that is relevant to or necessary for the commercialization of our products in any jurisdiction. Patent applications in the United States, the European Union and elsewhere are published approximately 18 months after the earliest filing for which priority is claimed, with such earliest filing date being commonly referred to as the priority date. Additionally, pending patent applications that have been published can, subject to certain limitations, be later amended in a manner that could cover our products or the use of our products. After issuance, the scope of patent claims remains subject to construction as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United States, the European Union or elsewhere that we consider relevant may be incorrect, which may negatively impact our ability to develop and market our products. Our failure to identify and correctly interpret relevant patents may negatively impact our ability to develop and market our products, if approved.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Although our agreements with third-party manufacturing partners generally seek to prevent them from misusing our intellectual property and trade secrets, or using our designs to manufacture products for our competitors, we may be unsuccessful in monitoring and enforcing our intellectual property rights against these manufacturing partners and may find counterfeit goods in the market being sold as our products or future products similar to ours produced for our competitors using our intellectual property. Although we take steps to stop counterfeits, we may not be successful and network operators who purchase these counterfeit goods may experience product defects or failures, harming our reputation and brand and causing us to lose future sales. Any of the foregoing could harm our business, financial condition and results of operations.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become a party to intellectual property litigation or administrative proceedings that could be expensive, time-consuming, and unsuccessful, and could interfere with our ability to develop, manufacture, commercialize, import, or otherwise use our products, services, or technologies.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commercial success depends, in part, on our ability to develop, manufacture, commercialize, import, or use our products, services, and technologies without infringing, misappropriating, or otherwise violating the intellectual property rights of third parties. Our industry has been characterized by extensive litigation regarding patents, trademarks, trade secrets, and other intellectual property rights, and companies in the industry have used intellectual property litigation to gain a competitive advantage. While we take steps to ensure that we do not infringe upon, misappropriate, or otherwise violate the intellectual property rights of others, there may be other more pertinent rights of which we are presently unaware.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Third parties may initiate legal proceedings alleging that we are infringing, misappropriating, or otherwise violating their intellectual property rights. The outcomes of such proceedings are uncertain and could have a negative impact on the success of our business. It is possible that U.S. and foreign patents and pending patent applications controlled by third parties may be alleged to cover our products, services, and technologies, or that we may be accused of misappropriating third parties’ trade secrets or infringing third parties’ trademarks. We may in the future become party to, or be threatened with, adversarial proceedings or litigation regarding intellectual property rights with respect to our products, services, or technologies, including interference proceedings, post grant review, and </w:t>
      </w:r>
      <w:r>
        <w:rPr>
          <w:rFonts w:ascii="Times New Roman" w:hAnsi="Times New Roman"/>
          <w:i/>
          <w:color w:val="000000"/>
          <w:sz w:val="20"/>
        </w:rPr>
        <w:t>inter partes</w:t>
      </w:r>
      <w:r>
        <w:rPr>
          <w:rFonts w:ascii="Times New Roman" w:hAnsi="Times New Roman"/>
          <w:color w:val="000000"/>
          <w:sz w:val="20"/>
        </w:rPr>
        <w:t xml:space="preserve"> review before the USPTO or equivalent foreign regulatory authority. Furthermore, we may also become involved in other proceedings, such as reexamination, derivation, or opposition proceedings before the USPTO or other jurisdictional body relating to our intellectual property rights or the intellectual property rights of others. Third parties may assert infringement claims against us based on existing patents or patents that may be granted in the future, regardless of their merit. Because patent applications can take many years to issue and because publication schedules for pending applications vary by jurisdiction, there may be applications now pending of which we are unaware and which may result in issued patents, which our current or future products, services, or technologies infringe. Also, because the claims of published patent applications can change between publication and patent grant, there may be published patent applications that may ultimately issue with claims that we infringe. There is a risk that third parties may choose to engage in litigation with us to enforce or to otherwise assert their patent rights against us. Even if we believe such claims are without merit, a court of competent jurisdiction could hold that these third-party patents are valid and enforceable, and infringed by the use of our products, services, or technologies, which could have a negative impact on the commercial success of our current and any future products, services, or technologies. If we were to challenge the validity of any such third-party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We will have similar burdens to overcome in foreign courts in order to successfully challenge a third-party claim of patent infringement.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defense of any litigation or interference proceedings may fail and, even if successful, defending such claims brought against us would cause us to incur substantial expenses and distract our management and other employees. If such claims are successfully asserted against us, we could be forced to pay substantial damages. Further, if a patent infringement or other intellectual property rights-related lawsuit were brought against us, we could be forced, including by court order, to cease developing, manufacturing, commercializing, importing, or using the infringing product, service, or technology. In addition, we could be found liable for monetary damages, including treble damages and attorneys’ fees, if we are found to have willfully infringed a patent or other intellectual property right. Although patent, trademark, trade secret, and other intellectual property disputes have often been settled through licensing or similar arrangements, costs associated with such arrangements may be substantial and could include ongoing royalties. We may not be able to obtain licenses on commercially reasonable terms or at all, in which event our business would be materially and adversely affected. Even if we were able to obtain a license, the rights may be non-exclusive, which could result in our competitors and other third parties gaining access to the same intellectual property. Ultimately, if we are unable to obtain such licenses or make any necessary changes to our products, services, or technologies, we could be forced to cease some aspect of our business operations, which could harm our business significantly.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finding of infringement or an unfavorable interference or derivation proceedings outcome could prevent us from developing, manufacturing, commercializing, importing, or using our products, services, or technologies, or force us to cease some or all of our business operations, which could materially harm our business. Claims that we have misappropriated the confidential information or trade secrets of third parties could have a similar negative impact on our business, financial condition, results of operations, and prospects. We may not have sufficient financial or other resources to conduct such litigation or proceedings adequately. Some of our competitors may be able to sustain the costs of litigation or administrative proceedings more effectively than we can because of greater financial resources and more mature and developed intellectual property portfolios. We could encounter delays in product introductions while we attempt to develop alternative products or technologies.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third parties assert infringement, misappropriation, or other claims against our customers, these claims may require us to initiate or defend protracted and costly litigation on behalf of our customers, regardless of the merits of these claims. If any of these claims succeed or settle, we may be forced to pay damages or settlement payments on behalf of our customers or may be required to obtain licenses for the products, services, or technologies they use. If we cannot obtain all necessary licenses on commercially reasonable terms, our customers may be forced to stop using our products, services, or technologies.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competitors, many of which have substantially greater resources and have made substantial investments in patent portfolios, trade secrets, trademarks, and competing technologies, may have applied for or obtained, or may in the future apply for or obtain, patents or trademarks that will prevent, limit, or otherwise interfere with our ability to make, use, sell, import, and/or export our products, services, or technologies. As the number of competitors in our market grows and the number of patents issued in this area increases, the possibility of patent infringement claims against us may increase. Moreover, individuals and groups that are non-practicing entities, commonly referred to as “patent trolls,” purchase patents, and other intellectual property assets for the purpose of making claims of infringement in order to extract settlements. From time to time, we may receive threatening letters, notices or “invitations to license,”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or may be the subject of claims that our products, services, or technologies and business operations infringe, misappropriate, or otherwise violate the intellectual property rights of others. These matters can be time-consuming, costly to defend in litigation, divert management’s attention and resources, damage our reputation and brand, and cause us to incur significant expenses or make substantial payments. In addition, we purchase product components, including hardware and software, from suppliers, and the design of these components may be outside of our direct control. These suppliers may not indemnify us in the event that a third party alleges the use of such components infringes its intellectual property rights.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lawsuits relating to intellectual property rights could subject us to significant liability for damages and invalidate our intellectual property. Any potential intellectual property litigation also could force us to do one or more of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stop developing, making, selling, importing, or using products, services, or technologies that allegedly infringe, misappropriate, or otherwise violate the asserted intellectual property right;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pay substantial damages or royalties to the party whose intellectual property rights we may be found to be infringing, misappropriating, or otherwise violating;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redesign those products, services, or technologies that contain the allegedly infringing intellectual property, which could be costly, disruptive, and infeasible; and attempt to obtain a license to the relevant intellectual property rights from third parties, which may not be available on commercially reasonable terms or at all, or from third parties who may attempt to license rights that they do not have;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lose the opportunity to license our intellectual property rights to others or to collect royalty payments based upon successful protection and assertion of our intellectual property rights against others;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incur significant legal expenses;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pay the attorney’s fees and costs of litigation to the party whose intellectual property rights we may be found to be infringing, misappropriating, or otherwise violating.</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Third parties may also raise similar claims before administrative bodies in the United States or abroad, even outside the context of litigation. Such mechanisms include re-examination, post grant review, </w:t>
      </w:r>
      <w:r>
        <w:rPr>
          <w:rFonts w:ascii="Times New Roman" w:hAnsi="Times New Roman"/>
          <w:i/>
          <w:color w:val="000000"/>
          <w:sz w:val="20"/>
        </w:rPr>
        <w:t>inter partes</w:t>
      </w:r>
      <w:r>
        <w:rPr>
          <w:rFonts w:ascii="Times New Roman" w:hAnsi="Times New Roman"/>
          <w:color w:val="000000"/>
          <w:sz w:val="20"/>
        </w:rPr>
        <w:t xml:space="preserve"> review, and equivalent proceedings in foreign jurisdictions (for example, opposition proceedings). Such proceedings could result in revocation of or amendment to our patents in such a way that they no longer cover our products, services, or technologies. With respect to the validity question, for example, we cannot be certain that there is no invalidating prior art, of which we, our patent counsel, and the patent examiner were unaware during prosecution. If a third party were to prevail on a legal assertion of invalidity and/or unenforceability, we may lose at least part, and perhaps all, of the patent protection on our products, services, or technologies. Such a loss of patent protection would have a material adverse impact on our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 motions, or other interim developments. If securities analysts or investors perceive these results to be negative, it could have a material adverse effect on the price of shares of our common stock. Even if we ultimately prevail, a court may decide not to grant an injunction against further infringing activity and instead award only monetary damages, which may not be an adequate remedy. Furthermore, even if resolved in our favor, the monetary cost of such litigation and the diversion of the attention of our management could outweigh any benefit we receive as a result of the proceedings. Uncertainties resulting from the initiation and continuation of patent litigation or other proceedings could have a material adverse effect on our business. Any of the foregoing may cause us to incur substantial costs and could place a significant strain on our financial resources, divert the attention of management from our core business, and harm our reputation.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be subject to claims challenging the inventorship or ownership of our patents and other intellectual property rights.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also be subject to claims that our current or former employees, contractors, or other third parties have an ownership interest in our current or future patents, patent applications, or other intellectual property rights, including as an inventor or co-inventor. We may be subject to ownership or inventorship disputes in the future arising, for example, from conflicting obligations of employees, consultants, or others who were or are involved in developing our products, services, or technologies. Although it is our policy to require our employees and contractors who may be involved in the conception or development of inventions to execute agreements assigning such inventions and intellectual property rights therein to us, we may be unsuccessful in executing such an agreement with each party who, in fact, conceives or develops inventions that we regard as our own, and we cannot be certain that our agreements with such parties will be upheld in the face of a potential challenge, or that they will not be breached, for which we may not have an adequate remedy. The assignment of inventions may not be self-executing, or the assignment agreements may be breached, and litigation may be necessary to defend against these and other claims challenging inventorship or ownership of inventorship. If we fail in defending any such claims,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to paying monetary damages, we may lose valuable intellectual property rights, such as exclusive ownership of, or the right to use, valuable intellectual property rights, and other owners may be able to license their interest in such intellectual property rights to other third parties, including our competitors. Such an outcome could have a material adverse effect on our business. Even if we are successful in defending against such claims, litigation could result in substantial costs and be a distraction to management and other employees.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we may be subject to claims from third parties challenging inventorship or ownership of intellectual property rights we regard as our own, based on claims that our agreements with employees or consultants obligating them to assign their inventions and intellectual property rights therein to us are ineffective or in conflict with prior or competing contractual obligations to assign inventions and intellectual property rights therein to another employer, to a former employer, or to another person or entity. Many of our current and former employees and consultants were previously employed at or engaged by other medical device companies, including our competitors or potential competitors. Some of these employees and consultants have executed with such previous employment or engagements confidential information non-disclosure and non-use agreements and inventions assignment agreements, which may have included non-competition provisions. Although we try to ensure that such employees and consultants do not use or otherwise disclose confidential information or intellectual property rights of others in their work for us without such other person’s consent, we may be subject to claims that we or our current or former employees or consultants have, inadvertently or otherwise, infringed, violated, or otherwise misappropriated the confidential information or the intellectual property rights of these former employers, clients, or other third parties. To the extent that our current or former employees or consultants disclose or use confidential information or intellectual property rights owned by others in their work for us, disputes may arise as to the rights in any related or resulting inventions and litigation may be necessary to defend against these claims. It may also be necessary or we may desire to obtain a license to such third party’s intellectual property rights to settle any such claim; however, there can be no assurance that we would be able to obtain such license on commercially reasonable terms, if at all. If our defense to those claims fails, in addition to paying monetary damages or a settlement payment, a court could prohibit us from manufacturing, commercializing, using or importing the product, service, or technology features or practicing other intellectual property rights that are essential to our business, which could have a material adverse effect on our competitive position as well as our business, financial condition, results of operations, and prospects. In addition, we may lose valuable intellectual property rights or personnel. Even if we are successful in defending against these claims, litigation could result in substantial costs and could be a distraction to management and our employees. Any litigation or the threat thereof may adversely affect our ability to hire employees or contract with collaborators, partners, services provides, or contractors. A loss of key personnel or their work product could hamper or prevent our ability to develop, manufacture, commercialize, import, or use our products, services, or technologies, which could materially and adversely affect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depend on certain intellectual property rights that are licensed to us. We may be unsuccessful in licensing or acquiring intellectual property rights from third parties that may be necessary to develop, manufacture, commercialize, import, or use our current and/or future products, services, or technologies.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“brain stethoscope” EEG sonification technology, which processes data and turns it into sound, that is used in the Ceribell System is protected by intellectual property rights that we in-license from Stanford University. See the section titled “Business—Stanford Agreement” in our Annual Report on Form 10-K. During the quarter ended June 30, 2025, we exercised our option to extend exclusivity under certain licensed patent rights owned or controlled by Stanford University through the expiration date of the last-to-expire licensed patent. While we believe this extension strengthens our intellectual property position, there can be no assurance that such exclusivity will be effective in all jurisdictions or that the underlying patents will not be challenged. Our rights to use such intellectual property rights in our business are also subject to the continuation of and our compliance with the terms of the license agreements between us and each of our licensors. In addition, the agreements under which we in-license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in-licensed, or in-license in the future, prevent, or impair our ability to maintain our licensing arrangements on commercially acceptable terms, we may be unable to successfully develop and commercialize the affected product candidates, which could have a material adverse effect on our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Despite our best efforts, our current or future licensors might conclude that we materially breached our license agreements and might therefore terminate the license agreements, thereby removing our ability to develop and commercialize products and technology covered by these license agreements. If these in-licenses are terminated, this could have a material adverse effect on our competitive position,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 third party may hold intellectual property rights, including patent rights, that are important or necessary to the development, manufacture, commercialization, import or use of our current and/or future products, services, or technologies, in which case we would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need to acquire or obtain a license to such intellectual property rights from such third party. A third party that perceives us to be a competitor may be unwilling to license or assign its intellectual property rights to us. In addition, the licensing or acquisition of third-party intellectual property rights is a competitive area, and other companies may also pursue similar strategies to license or acquire such third party’s intellectual property rights. Some of these companies may have a competitive advantage over us due to their size, capital resources and greater development, manufacturing, and commercialization capabilities. We also may be unable to license or acquire third party intellectual property rights on commercially reasonable terms that would allow us to make an appropriate return on our investment, or we may be unable to obtain any such license or acquisition at all. If we are unable to successfully license or acquire necessary third-party intellectual property rights, we may not be able to develop, manufacture, commercialize, import, or use our current and/or future products, services, or technologies, which could have a material adverse effect on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we are unable to protect the disclosure and use of our confidential information and trade secrets, the value of our products, services, and technologies and our business and competitive position could be harmed.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to patent protection, we also rely on other intellectual property rights, including trade secrets, know-how, and/or other proprietary information that is not patentable or that we elect not to patent. However, trade secrets can be difficult to protect, and some courts are less willing or unwilling to protect trade secrets. To protect and maintain the confidentiality of our trade secrets and other proprietary information, we rely heavily on confidentiality provisions that we have in contracts with our employees, consultants, collaborators, and other third parties. We generally enter into confidentiality and inventions assignment agreements with our employees, consultants, and applicable third parties upon their commencement of a relationship with us. However, we cannot guarantee that we have entered into such agreements with each party that may have or have had access to our trade secrets or proprietary technology and processes, and we may not enter into such agreements with all employees, consultants, and third parties who have been involved in the development of our inventions. Although we generally require all of our employees, consultants, advisors, and any third parties who have access to our proprietary know-how, information, or technology to enter into confidentiality agreements, we cannot provide any assurances that all such agreements have been duly executed, and any of these parties may breach the agreements and disclose our proprietary information, including our trade secrets. We may also need to share our proprietary know-how with current or future partners, collaborators, contractors and others located in countries at heightened risk of theft of trade secrets, including through direct intrusion by private parties or foreign actors, and those affiliated with or controlled by state actors. As a result, we may encounter significant problems in protecting and defending our intellectual property both in the United States and abroad.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despite the protections we place on our intellectual property and our other proprietary rights, monitoring unauthorized use and disclosure by employees, consultants, and other third parties who have access to such intellectual property or other proprietary rights is difficult, and we do not know whether the steps we have taken to protect our intellectual property or other proprietary rights will be adequate. Therefore, we may not be able to prevent the unauthorized disclosure or use of our technical knowledge or other trade secrets by such employees, consultants, advisors, or third parties, despite the existence of our protections, including non-disclosure and use restrictions. These agreements may not provide meaningful protection against the unauthorized disclosure or use or of our trade secrets, know-how, or other proprietary information in the event the unwanted use is outside the scope of the provisions of the contracts or in the event of any unauthorized use, misappropriation, or disclosure of such trade secrets, know-how or other proprietary information that we fail to detect. There can be no assurances that such employees, consultants, advisors, or third parties will not intentionally or unintentionally breach their agreements with us, that we will have adequate remedies for any breach, or that our trade secrets will not otherwise become known or independently developed by third parties, including our competitors. If any of our trade secrets were to be lawfully obtained or independently developed by a competitor, we would have no right to prevent them, or those to whom they communicate it, from using that information to compete with us. In addition to contractual measures, we try to protect the confidential nature of our proprietary information by maintaining physical security of our premises and electronic security of our information technology systems. Such security measures may not, for example, in the case of misappropriation of a trade secret by an employee, consultant or other third party with authorized access, provide adequate protection for our proprietary information. Our security measures may not prevent an employee, consultant, or other third party from misappropriating our trade secrets and providing them to a competitor, and recourse we take against such misconduct may not provide an adequate remedy to protect our interests fully.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any of our trade secrets were to be disclosed to or independently developed by a competitor, our competitive position would be harmed. The exposure of our trade secrets and other proprietary information would impair our competitive advantages and could have a material adverse effect on our business, financial condition, results of operations, and prospects. In particular, a failure to protect our proprietary rights may allow competitors to copy our products, services, or technologies, which could adversely affect our pricing and market share. Unauthorized parties may also attempt to copy or reverse engineer certain aspects of our products, services, or technologies that we consider proprietary. Costly and time-consuming litigation could be necessary to enforce and determine the scope of our trade secret rights and related confidentiality, non-disclosure, and non-use provisions, and outcomes of such litigation are unpredictable. Enforcing a claim that a party illegally disclosed, used or misappropriated a trade secret can be difficult, expensive, and time-consuming, and the outcome is unpredictable. While we use commonly accepted security measures, trade secret violations are often a combination of federal and state law in the United States, and the criteria for protection of trade secrets can vary among different jurisdictions. If the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steps we have taken to maintain our trade secrets are deemed inadequate, we may have insufficient recourse against third parties for misappropriating the trade secret. In addition, some courts are less willing or unwilling to protect trade secrets and agreement terms that address non-competition are difficult to enforce in many jurisdictions and might not be enforceable in certain cases. Finally, even if we were to be successful on the enforcement of our claims, we may not be able to obtain adequate remedies.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It is also possible that others may independently develop information or technologies that are the same as or similar to our trade secrets or other proprietary technologies and develop products, services, or technologies without obtaining access to our trade secrets or other proprietary information in which case we could not assert any intellectual property rights, including trade secret rights, against such parties in a manner that could prevent legal recourse by us. If we fail to obtain or maintain trade secret protection, or if any of our confidential or proprietary information, such as our trade secrets, were to be disclosed or used by others without our consent or otherwise misappropriated, or if any such information was independently developed by a competitor, or if our competitors obtain our trade secrets or independently develop products, services, or technologies that are the same as or similar to ours, our competitive market position could be materially and adversely harmed.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If our trademarks and trade names are not adequately protected, we may not be able to build brand name recognition in our markets of interest and our competitive position may be harmed.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trademarks could be challenged, opposed, invalidated, infringed, and circumvented by third parties, and our trademarks could also be diluted, declared generic or descriptive, or found to be infringing on other marks. If any of the foregoing occurs, we could be forced to re-brand our company, products, services, or technologies, resulting in loss of brand recognition and requiring us to devote resources to advertising and marketing new brands, and suffer other competitive harm. Third parties may also adopt trademarks similar to ours, which could harm our brand identity and lead to market confusion. Further, there can be no assurance that competitors will not infringe our trademarks or that we will have adequate resources to enforce our trademarks. At times, competitors may adopt trade names or trademarks similar to ours, thereby impeding our ability to build brand identity and possibly leading to market confusion. Certain of our current or future trademarks may become so well known by the public that their use becomes generic and they lose trademark protection. Over the long term, if we are unable to establish name recognition based on our trademarks and trade names, then we may not be able to compete effectively. Any of the foregoing could have a material adverse effect on our competitive position, business, financial condition, results of operations, and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rely on our trademarks, trade names, and brand names, such as our Clarity mark, to distinguish our products, services, and technologies from the products, services, and technologies of our competitors, and have registered or applied to register many of these trademarks in the United States and certain countries outside the United States; however, we have not yet registered all of our trademarks in all of our current and potential markets. There can be no assurance that all of our trademark applications will be approved for registration. During trademark registration proceedings, we may receive rejections. Although we are given an opportunity to respond to those rejections, we may be unable to overcome such rejections. In addition, in proceedings before the USPTO and comparable agencies in many foreign jurisdictions, third parties have opposed and may oppose in the future further our trademark applications and may seek to cancel trademark registrations or otherwise challenge our use of the trademarks. Opposition or cancellation proceedings may be filed against our trademark filings in these agencies, and such filings may not survive such proceedings. While we may be able to continue the use of our trademarks in the event registration is not available, particularly in the United States, where trademark rights are acquired based on use and not registration, third parties may be able to enjoin the continued use of our trademarks if such parties are able to successfully claim infringement in court. In addition, opposition or cancellation proceedings may be filed against our trademark applications and registrations and our trademarks may not survive such proceedings. If we do not secure registrations for our trademarks, we may encounter more difficulty in enforcing them against third parties than we otherwise would. Our trademarks or trade names may be infringed, circumvented, declared generic, or determined to be violating or infringing on other marks.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products contain third-party open source software components and failure to comply with the terms of the underlying open source software licenses could restrict our ability to sell our products, affect our ability to protect our proprietary information, and subject us to possible litigation.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products contain software tools licensed by third parties under open source software licenses. Use and distribution of open source software may entail greater risks than use of third-party commercial software, as open source software licensors generally do not provide warranties or other contractual protections regarding infringement claims or the quality of the code. Some open source software licenses contain requirements that the licensee make its source code publicly available if the licensee creates modifications or derivative works using such open source software, depending on the type of open source software the licensee uses and how the licensee uses it. If we combine our proprietary software with open source software in a certain manner, we could, under certain open source software licenses, be required to make available the source code of certain of our proprietary software to the public for free. This could allow our competitors to create similar products with less development effort and time and ultimately could result in a loss of product sales and revenue. In addition, some companies that use third-party open source software have faced claims challenging their use of such open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source software and their compliance with the terms of the applicable open source license. We may be subject to suits by third parties claiming ownership of what we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technology platform and systems.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Although we typically review our use of open source software to avoid subjecting our products, services or technology to conditions we do not intend, the terms of many open source software licenses have not been interpreted by United States courts, and there is a risk that these licenses could be construed in a way that could impose unanticipated conditions or restrictions on our ability to commercialize our products, services or technology. Moreover, our processes for monitoring and controlling our use of open source software in our products, services or technology may not be effective. If we are held to have breached the terms of an open source software license, we could be required to seek licenses from third parties to continue offering our solutions on terms that are not economically feasible, to re-engineer our products, services, or technology, to discontinue the sale of our products, services, or technology if re-engineering could not be accomplished on a timely basis, to pay statutory or other damages to the license holder, or to make generally available, in source code form, our proprietary code, any of which could materially adversely affect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are subject to certain manufacturing restrictions related to licensed intellectual property rights that were developed with the financial assistance of United States government grants.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the Bayh-Dole Act, the federal government retains a “nonexclusive, nontransferable, irrevocable, paid-up license” in inventions produced with its financial assistance (“Government Funded Inventions”) for its own benefit. The Bayh-Dole Act provides federal agencies with march-in rights (“March-In Rights”), which allows a government agency, in specified circumstances, to require the patent owner or successors in title to the patent directed to such Government Funded Inventions (“Patent Owner”) to grant a “nonexclusive, partially exclusive or exclusive license” to a “responsible applicant or applicants,” which if exercised, would allow such government agency to require such Patent Owner to grant a non-exclusive, partially exclusive, or exclusive license in any field of use to a third-party designated by such agency. The Bayh-Dole Act also provides that the Patent Owner manufacture products embodying the respective Government Funded Inventions domestically in accordance with certain requirements. If this domestic manufacturing requirement is not met, the government agency that funded the relevant grant is entitled to exercise March-In Rights. We are subject to the Bayh-Dole Act with respect to licensed technology that was developed with United States government grants. Such licensed technology is used in our recorders. Further, we cannot be sure that if we acquire intellectual property rights in the future they will be free from government rights or regulations pursuant to the Bayh-Dole Act.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own, co-own, or in-license Government Funded Inventions that are critical to our business, our ability to enforce or otherwise exploit patents covering such technology may be adversely affected. Further, the exercise of March-In Rights, the requirement that we grant additional licenses to third parties, or the termination of our license of the relevant technologies could materially adversely affect our business, financial condition, results of operations and prospects. The restrictions of the Bayh-Dole Act may also limit our ability to manufacture our products in locations where it may be otherwise more favorable for us to do so, which could limit our ability to respond to competitive developments or otherwise adversely affect our results of operations. Any of the foregoing could have a material adverse effect on our business, financial condition, results of operations, and prospects.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Risks Relating to Financial and Accounting Matters</w:t>
      </w:r>
    </w:p>
    <w:p>
      <w:pPr>
        <w:pStyle w:val="TextBody"/>
        <w:bidi w:val="0"/>
        <w:spacing w:before="120" w:after="283"/>
        <w:jc w:val="both"/>
        <w:rPr>
          <w:rFonts w:ascii="Times New Roman" w:hAnsi="Times New Roman"/>
          <w:sz w:val="20"/>
        </w:rPr>
      </w:pPr>
      <w:r>
        <w:rPr>
          <w:rFonts w:ascii="Times New Roman" w:hAnsi="Times New Roman"/>
          <w:b/>
          <w:i/>
          <w:color w:val="000000"/>
          <w:sz w:val="20"/>
        </w:rPr>
        <w:t>Our ability to use our net operating loss carryforwards and other tax attributes may be limited due to certain provisions of the Internal Revenue Code or state tax law.</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incurred substantial losses during our history and may never achieve profitability. U.S. federal net operating loss carryforwards (“NOLs”) we generated in tax years through December 31, 2017, may be carried forward for 20 years and may fully offset taxable income in the year utilized, and federal NOLs we generated in tax years beginning after December 31, 2017, may be carried forward indefinitely but may only be used to offset 80% of our taxable income annually for tax years beginning after December 31, 2020. As of December 31, 2025, we had NOLs of approximately $165.6 million for federal income tax purposes and $157.6 million for state income tax purposes.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Realization of these NOLs depends on future taxable income, and there is a risk that our existing NOLs could expire unused and be unavailable to offset future taxable income, which could adversely affect our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under Sections 382 and 383 of the Internal Revenue Code of 1986, as amended, if a corporation undergoes an “ownership change,” the corporation’s ability to use its pre-change federal NOLs and other tax attributes (such as tax credits) to offset its post-change taxable income and taxes may be limited. In general, an “ownership change” occurs if there is a greater than 50 percentage point change (by value) in a corporation’s equity ownership by certain stockholders over a rolling three-year period. Transactions that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have occurred since our formation may result in an ownership change. In addition, we may experience ownership changes in the future as a result of subsequent shifts in our stock ownership (some of which shifts are outside our control). As a result, our ability to use pre-change federal NOLs and other tax attributes to offset future taxable income and taxes could be subject to limitations. Similar provisions of state tax law may also apply. For these reasons, even if we achieve profitability, we may be unable to use a material portion of our NOLs and other tax attributes, which could materially and adversely affect our business, financial condition, results of operations, and prospects.</w:t>
      </w:r>
    </w:p>
    <w:p>
      <w:pPr>
        <w:pStyle w:val="TextBody"/>
        <w:bidi w:val="0"/>
        <w:spacing w:before="360" w:after="283"/>
        <w:jc w:val="both"/>
        <w:rPr>
          <w:rFonts w:ascii="Times New Roman" w:hAnsi="Times New Roman"/>
          <w:sz w:val="20"/>
        </w:rPr>
      </w:pPr>
      <w:r>
        <w:rPr>
          <w:rFonts w:ascii="Times New Roman" w:hAnsi="Times New Roman"/>
          <w:b/>
          <w:i/>
          <w:color w:val="000000"/>
          <w:sz w:val="20"/>
        </w:rPr>
        <w:t>Our effective tax rate may vary significantly from period to period.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Various internal and external factors may have favorable or unfavorable effects on our future effective tax rate. These factors include, but are not limited to, changes in tax laws, regulations, or rates, both within and outside the U.S., structural changes in our business, new accounting pronouncements or changes to existing accounting pronouncements, non-deductible goodwill impairments, changing interpretations of existing tax laws or regulations, changes in the relative proportions of revenue and income before taxes in the various jurisdictions in which we operate that have different statutory tax rates, the future levels of tax benefits of equity-based compensation, changes in overall levels of pretax earnings or changes in the valuation of our deferred tax assets and liabilities. Additionally, we could be challenged by state and local tax authorities as to the propriety of our sales tax compliance, and our results could be materially impacted by these compliance determinations.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our effective tax rate may vary significantly depending on the market price of our common stock. The tax effects of the accounting for share-based compensation may significantly impact our effective tax rate from period to period. In periods in which the market price of our common stock is higher than the grant price of the share-based compensation vesting in that period, we will recognize excess tax benefits that will decrease our effective tax rate. In future periods in which our stock price is lower than the grant price of the share-based compensation vesting in that period, our effective tax rate may increase. The amount and value of share-based compensation issued relative to our earnings in a particular period will also affect the magnitude of the impact of share-based compensation on our effective tax rate. These tax effects are dependent on the market price of our common stock, which we do not control, and a decline in our stock price could significantly increase our effective tax rate and adversely affect our financial condition.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Changes in tax laws or tax rulings could adversely affect our effective tax rates, results of operations and financial condition.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tax regimes we are subject to or operate under are unsettled and may be subject to significant change. This challenge will continue to increase as we expand our operations globally. Changes in tax laws, issuance of new tax rulings or changes in interpretations of existing laws could cause us to be subject to additional income-based taxes and non-income-based taxes, including payroll, sales, use, value-added, digital, net worth, property and goods and services taxes, which in turn could adversely affect our results of operations and financial condition. In particular, the U.S. government may enact significant changes to the taxation of business entities including, among others, an increase in the corporate income tax rate, the imposition of minimum taxes or surtaxes on certain types of income, significant changes to the taxation of income derived from international operations, and it may enact further limitations on the deductibility of business interest. For example, on August 16, 2022, the Inflation Reduction Act (the “IRA”) was signed into law in the U.S. Among other changes, the IRA, along with subsequent regulations, imposes a minimum tax on certain corporations with book income of at least $1 billion, subject to certain adjustments, and a 1% excise tax on certain stock buybacks and similar corporate actions. Furthermore, on July 4, 2025, the OBBB Act was enacted, introducing amendments to U.S. tax laws with various effective dates from 2025 to 2027, including changes to the treatment of research and development expenses under Section 174 of the Internal Revenue Code of 1986, as amended, modifications to the global intangible low-taxed income regime, new minimum or book-based taxes, and limitations on interest deductibility.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many countries in the European Union, as well as a number of other countries and organizations, have recently proposed or recommended changes to existing tax laws or have enacted new laws that could impact our tax obligations in the future. We are unable to predict what changes to the tax laws of the U.S. and other jurisdictions may be proposed or enacted in the future or what effect such changes would have on our business. Any of these or similar developments or changes to tax laws or rulings (which changes may have retroactive application) could adversely affect our effective tax rate and our results of operations and financial condition.</w:t>
      </w:r>
    </w:p>
    <w:p>
      <w:pPr>
        <w:pStyle w:val="TextBody"/>
        <w:bidi w:val="0"/>
        <w:spacing w:before="360" w:after="283"/>
        <w:jc w:val="both"/>
        <w:rPr>
          <w:rFonts w:ascii="Times New Roman" w:hAnsi="Times New Roman"/>
          <w:sz w:val="20"/>
        </w:rPr>
      </w:pPr>
      <w:r>
        <w:rPr>
          <w:rFonts w:ascii="Times New Roman" w:hAnsi="Times New Roman"/>
          <w:b/>
          <w:i/>
          <w:color w:val="000000"/>
          <w:sz w:val="20"/>
        </w:rPr>
        <w:t>Our venture loan and security agreement contains restrictions that limit our flexibility in operating our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entered into a venture loan and security agreement, dated as of February 6, 2024, by and among us, Horizon Technology Finance Corporation, as a lender and collateral agent, and Silicon Valley Bank, a division of First-Citizens Bank &amp; Trust Company (“SVB”), as a lender (the “VLSA”). Concurrent with the VLSA, we also entered into a Loan and Security Agreement with SVB for a senior revolving line of credit of up to $10.0 million (the “Revolving Facility”). As of December 31, 2025, $20.0 million in aggregate principal amount was outstanding under the VLSA, and no amount was outstanding under the Revolving Facility. The VLSA and the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Revolving Facility contain various covenants that limit our ability to engage in specified types of transactions. These covenants limit our ability to, among other things: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sell, transfer, lease, or dispose of our assets subject to certain exclusions;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create, incur, assume, guarantee, or assume additional indebtedness, other than certain permitted indebtedness;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encumber or permit liens on any of our assets other than certain permitted liens;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make restricted payments, including paying dividends on, repurchasing, or making distributions with respect to any of our capital stock;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make specified investments;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consolidate, merge with, or acquire any other entity, or sell or otherwise dispose of all or substantially all of our assets;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enter into certain transactions with our affiliates.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See also “Management’s Discussion and Analysis of Financial Condition and Results of Operations”—“Liquidity and Capital Resources” for more information regarding the covenants under the VLSA and the Revolving Facility. The covenants in the VLSA and the Revolving Facility limit our ability to take certain actions and, in the event that we breach one or more covenants, the lenders may choose to declare an event of default and require that we immediately repay all amounts outstanding of the aggregate principal amount, plus accrued interest, and foreclose on the collateral granted to it to secure such indebtedness. Such repayment could have a material adverse effect on our business, financial condition, results of operations, and prospects.</w:t>
      </w:r>
    </w:p>
    <w:p>
      <w:pPr>
        <w:pStyle w:val="TextBody"/>
        <w:bidi w:val="0"/>
        <w:spacing w:before="360" w:after="283"/>
        <w:jc w:val="both"/>
        <w:rPr>
          <w:rFonts w:ascii="Times New Roman" w:hAnsi="Times New Roman"/>
          <w:sz w:val="20"/>
        </w:rPr>
      </w:pPr>
      <w:r>
        <w:rPr>
          <w:rFonts w:ascii="Times New Roman" w:hAnsi="Times New Roman"/>
          <w:b/>
          <w:i/>
          <w:color w:val="000000"/>
          <w:sz w:val="20"/>
        </w:rPr>
        <w:t>Our cash deposits with financial institutions exceed insured limits.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maintain the majority of our cash and cash equivalents in accounts with one or more U.S. financial institutions, and our deposits at these institutions exceed insured limits. Market conditions can impact the viability of financial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condition.</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Risks Relating to Ownership of Our Common Stock</w:t>
      </w:r>
    </w:p>
    <w:p>
      <w:pPr>
        <w:pStyle w:val="TextBody"/>
        <w:bidi w:val="0"/>
        <w:spacing w:before="360" w:after="283"/>
        <w:jc w:val="both"/>
        <w:rPr>
          <w:rFonts w:ascii="Times New Roman" w:hAnsi="Times New Roman"/>
          <w:sz w:val="20"/>
        </w:rPr>
      </w:pPr>
      <w:r>
        <w:rPr>
          <w:rFonts w:ascii="Times New Roman" w:hAnsi="Times New Roman"/>
          <w:b/>
          <w:i/>
          <w:color w:val="000000"/>
          <w:sz w:val="20"/>
        </w:rPr>
        <w:t>We are an emerging growth company and a smaller reporting company, and we cannot be certain if the reduced reporting requirements applicable to emerging growth companies and smaller reporting companies will make our common stock less attractive to investors.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an “emerging growth company” as defined in the JOBS Act. We will remain an “emerging growth company” until the earliest to occur of:</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last day of the fiscal year during which our total annual revenue equals or exceeds $1.235 billion (subject to adjustment for inflation);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last day of the fiscal year following the fifth anniversary of the completion of our initial public offering (“IPO”);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date on which we have, during the previous three-year period, issued more than $1 billion in non-convertible debt;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date on which we are deemed to be a “large accelerated filer” under the Exchange Act.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a result of our “emerging growth company” status, we may take advantage of exemptions from various reporting requirements that would otherwise be applicable to public companies including, but not limited to,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also are a “smaller reporting company” as defined in the Exchange Act.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years of audited financial statements in our Annual Report on Form 10-K and, similar to emerging growth companies, smaller reporting companies have reduced disclosure obligations regarding executive compensation.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Investors may find our common stock less attractive because we may rely on these exemptions. If some investors find our common stock less attractive as a result, there may be a less active trading market for our common stock and the market price of our common stock may be adversely affected and more volatile.</w:t>
      </w:r>
    </w:p>
    <w:p>
      <w:pPr>
        <w:pStyle w:val="TextBody"/>
        <w:bidi w:val="0"/>
        <w:spacing w:before="240" w:after="283"/>
        <w:jc w:val="both"/>
        <w:rPr>
          <w:rFonts w:ascii="Times New Roman" w:hAnsi="Times New Roman"/>
          <w:sz w:val="20"/>
        </w:rPr>
      </w:pPr>
      <w:r>
        <w:rPr>
          <w:rFonts w:ascii="Times New Roman" w:hAnsi="Times New Roman"/>
          <w:b/>
          <w:i/>
          <w:color w:val="000000"/>
          <w:sz w:val="20"/>
        </w:rPr>
        <w:t>We incur significant costs as a result of operating as a public company. We may fail to comply with the rules that apply to public companies, including Section 404 of the Sarbanes-Oxley Act of 2002, which could result in sanctions or other penalties that would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incur significant legal, accounting and other expenses as a public company, including costs resulting from public company reporting obligations under the Exchange Act and regulations regarding corporate governance practices. The listing requirements of the Nasdaq Global Select Market and the rules of the SEC require that we satisfy certain corporate governance requirements relating to director independence, filing annual and interim reports, stockholder meetings, approvals and voting, soliciting proxies, conflicts of interest and a code of conduct. The reporting requirements, rules and regulations have and will likely continue to increase our legal and financial compliance costs and will make some activities more time-consuming and costly.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executive officers, or to obtain certain types of insurance, including directors’ and officers’ insurance, on acceptable terms.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subject to Section 404 of The Sarbanes-Oxley Act of 2002 (“Section 404“) and the related rules of the SEC, which generally require our management to report on the effectiveness of our internal control over financial reporting. Our compliance with Section 404 requires that we incur substantial expense and expend significant management efforts.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course of our review and testing, we may identify deficiencies and be unable to remediate them before we must provide the required reports. Furthermore, if we have a material weakness in our internal controls over financial reporting, we may not detect errors on a timely basis and our financial statements may be materially misstated. We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as a public company we are required to file accurate and timely quarterly and annual reports with the SEC under the Exchange Act. Any failure to report our financial results on an accurate and timely basis could result in sanctions, lawsuits, delisting of our shares from the Nasdaq Global Select Market or other adverse consequences that would materially harm our business.</w:t>
      </w:r>
    </w:p>
    <w:p>
      <w:pPr>
        <w:pStyle w:val="TextBody"/>
        <w:bidi w:val="0"/>
        <w:spacing w:before="360" w:after="283"/>
        <w:jc w:val="both"/>
        <w:rPr>
          <w:rFonts w:ascii="Times New Roman" w:hAnsi="Times New Roman"/>
          <w:sz w:val="20"/>
        </w:rPr>
      </w:pPr>
      <w:r>
        <w:rPr>
          <w:rFonts w:ascii="Times New Roman" w:hAnsi="Times New Roman"/>
          <w:b/>
          <w:i/>
          <w:color w:val="000000"/>
          <w:sz w:val="20"/>
        </w:rPr>
        <w:t>We do not intend to pay dividends in the foreseeable future. As a result, your ability to achieve a return on your investment will depend on appreciation in the market price of our common stock.</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never declared or paid cash dividends on our capital stock, and we do not currently intend to pay any cash dividends on our capital stock in the foreseeable future. We currently intend to retain all available funds and any future earnings to fund the development and expansion of our business. Any future determination related to dividend policy will be made at the discretion of our Board of Directors, subject to applicable laws, and will depend upon, among other factors, our results of operations, prospects, financial condition, contractual restrictions and capital requirements. In addition, our ability to pay cash dividends on our capital stock is limited by the terms of the VLSA, and may be limited by the terms of any future debt or preferred securities we issue or any future credit facilities we enter into. Accordingly, investors must for the foreseeable future rely on sales of their common stock after price appreciation, which may never occur, as the only way to realize any future gains on their investments. </w:t>
      </w:r>
    </w:p>
    <w:p>
      <w:pPr>
        <w:pStyle w:val="TextBody"/>
        <w:bidi w:val="0"/>
        <w:spacing w:before="360" w:after="283"/>
        <w:jc w:val="both"/>
        <w:rPr>
          <w:rFonts w:ascii="Times New Roman" w:hAnsi="Times New Roman"/>
          <w:sz w:val="20"/>
        </w:rPr>
      </w:pPr>
      <w:r>
        <w:rPr>
          <w:rFonts w:ascii="Times New Roman" w:hAnsi="Times New Roman"/>
          <w:b/>
          <w:i/>
          <w:color w:val="000000"/>
          <w:sz w:val="20"/>
        </w:rPr>
        <w:t>If our operating and financial performance in any given period does not meet the guidance provided to the public or the expectations of investment analysts, the market price of our common stock may decline.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but are not obligated to, provide public guidance on our expected operating and financial results for future periods. Any such guidance will be comprised of forward-looking statements subject to the risks and uncertainties described in this Annual Report and in our other public filings and public statements. The ability to provide this public guidance, and the ability to accurately forecast our results of operations, will be impacted by a number of factors, many of which are out of our control. Our actual results may not always be in line with or exceed any guidance we have provided, especially in times of economic or regulatory uncertainty. If, in the future, our operating or financial results for a particular period do not meet any guidance provided or the expectations of investment analysts or investors generally, or if we reduce our guidance for future periods, the market price of our common stock may decline. Even if we do issue public guidance, there can be no assurance that we will continue to do so in the future.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Future securities issuances could result in significant dilution to our stockholders and impair the market price of our common stock.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Future issuances of shares of our common stock, or the perception that these sales may occur, could depress the market price of our common stock and result in dilution to existing holders of our common stock. Also, to the extent outstanding options to purchase shares of our common stock are exercised or options, restricted stock units or other stock-based awards are issued or become vested, there will be further dilution. The amount of dilution could be substantial depending upon the size of the issuances or exercises. Furthermore, we may issue additional equity securities that could have rights senior to those of our common stock. As a result, holders of our common stock bear the risk that future issuances of debt or equity securities may reduce the value of our common stock and further dilute their ownership interest.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We may require additional capital to support business growth, and this capital might not be available on terms favorable to us, or at all, and may dilute existing stockholders’ ownership of our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intend to continue to make investments to support our business growth and may require additional funds to respond to business challenges and opportunities, including the need to develop new products, enhance our existing products, enhance our operating infrastructure, potentially expand internationally, and potentially acquire complementary businesses and technologies. In order to achieve these objectives, we may make future commitments of capital resources. Accordingly, we may need to engage in equity or debt financings to secure additional funds.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In addition, the incurrence of indebtedness would increase our fixed obligations and include covenants or other restrictions that would impede our ability to manage our operations. Further, if additional financing is needed, we may not be able to obtain additional financing on terms favorable to us or at all. Our inability to obtain adequate financing or financing on terms satisfactory to us, when we require it, could significantly limit our ability to continue supporting our business growth and responding to business challenges and opportunities.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principal stockholders and management own a significant percentage of our stock and are able to exert significant control over matters subject to stockholder approval.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April 30, 2025, our executive officers, directors, owners of more than 5% of our capital stock and their respective affiliates beneficially owned approximately 60% of our common stock. Therefore, these stockholders have the ability to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pStyle w:val="TextBody"/>
        <w:bidi w:val="0"/>
        <w:spacing w:before="360" w:after="283"/>
        <w:jc w:val="both"/>
        <w:rPr>
          <w:rFonts w:ascii="Times New Roman" w:hAnsi="Times New Roman"/>
          <w:sz w:val="20"/>
        </w:rPr>
      </w:pPr>
      <w:r>
        <w:rPr>
          <w:rFonts w:ascii="Times New Roman" w:hAnsi="Times New Roman"/>
          <w:b/>
          <w:i/>
          <w:color w:val="000000"/>
          <w:sz w:val="20"/>
        </w:rPr>
        <w:t>Provisions in our charter documents and under Delaware law could discourage a takeover that stockholders may consider favorable and may lead to entrenchment of management.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amended and restated certificate of incorporation and amended and restated bylaws contain provisions that could delay or prevent changes in control or changes in our management without the consent of our Board of Directors. These provisions include the following: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classified Board of Directors with three-year staggered terms, which may delay the ability of stockholders to change the membership of a majority of our Board of Directors;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no cumulative voting in the election of directors, which limits the ability of minority stockholders to elect director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exclusive right of our Board of Directors to elect a director to fill a vacancy created by the expansion of the Board of Directors or the resignation, death, or removal of a director, which prevents stockholders from being able to fill vacancies on our Board of Directors;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ability of our Board of Directors to alter our amended and restated bylaws without obtaining stockholder approval;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required approval of at least 66 2/3% of the shares entitled to vote at an election of directors to adopt, amend or repeal our amended and restated bylaws or to repeal certain provisions of our amended and restated certificate of incorporation;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prohibition on stockholder action by written consent, which forces stockholder action to be taken at an annual or special meeting of our stockholders;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requirement that a special meeting of stockholders may be called only by our Board of Directors, which may delay the ability of our stockholders to force consideration of a proposal or to take action, including the removal of directors;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also subject to the anti-takeover provisions contained in Section 203 of the General Corporation Law of the State of Delaware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pStyle w:val="TextBody"/>
        <w:bidi w:val="0"/>
        <w:spacing w:before="360" w:after="283"/>
        <w:jc w:val="both"/>
        <w:rPr>
          <w:rFonts w:ascii="Times New Roman" w:hAnsi="Times New Roman"/>
          <w:sz w:val="20"/>
        </w:rPr>
      </w:pPr>
      <w:r>
        <w:rPr>
          <w:rFonts w:ascii="Times New Roman" w:hAnsi="Times New Roman"/>
          <w:b/>
          <w:i/>
          <w:color w:val="000000"/>
          <w:sz w:val="20"/>
        </w:rPr>
        <w:t>Claims for indemnification by our directors, officers, and other employees or agents may reduce our available funds to satisfy successful third-party claims against us and may reduce the amount of money available to us.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amended and restated certificate of incorporation and amended and restated bylaws provide that we will indemnify our directors and officers, in each case to the fullest extent permitted by Delaware law.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as permitted by Section 145 of the Delaware General Corporation Law, our amended and restated bylaws and our indemnification agreements that we have entered into with our directors, officers and certain other employees provide that: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in our discretion, indemnify employees and agents in those circumstances where indemnification is permitted by applicable law.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rights conferred in our amended and restated bylaws are not exclusive, and we are authorized to enter into indemnification agreements with our directors, officers, employees, and agents and to obtain insurance to indemnify such persons.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not retroactively amend our amended and restated bylaws provisions to reduce our indemnification obligations to directors, officers, employees, and agents. </w:t>
      </w:r>
    </w:p>
    <w:p>
      <w:pPr>
        <w:pStyle w:val="TextBody"/>
        <w:bidi w:val="0"/>
        <w:spacing w:before="360" w:after="283"/>
        <w:jc w:val="both"/>
        <w:rPr>
          <w:rFonts w:ascii="Times New Roman" w:hAnsi="Times New Roman"/>
          <w:sz w:val="20"/>
        </w:rPr>
      </w:pPr>
      <w:r>
        <w:rPr>
          <w:rFonts w:ascii="Times New Roman" w:hAnsi="Times New Roman"/>
          <w:b/>
          <w:i/>
          <w:color w:val="000000"/>
          <w:sz w:val="20"/>
        </w:rPr>
        <w:t>Our amended and restated certificate of incorporation provides that the Court of Chancery of the State of Delaware is the exclusive forum for certain disputes between us and our stockholders, which could limit our stockholders’ ability to obtain a favorable judicial forum for disputes with us or our directors, officers, or employees.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amended and restated certificate of incorporation provides that, unless we consent in writing to the selection of an alternative forum, the Court of Chancery of the State of Delaware (or, in the event that the Court of Chancery does not have jurisdiction, the federal district court for the District of Delaware or other state courts of the State of Delaware) is the exclusive forum for any derivative action or proceeding brought on our behalf, any action asserting a claim of breach of fiduciary duty owed by any of our directors, officers, or stockholders to us or to our stockholders, any action asserting a claim against us arising pursuant to the Delaware General Corporation Law, our amended and restated certificate of incorporation, or our amended and restated bylaws (as either may be amended from time to time), or any action asserting a claim against us that is governed by the internal affairs doctrine;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dismisses any such action for lack of subject matter jurisdiction, such action may be brought in another state or federal court sitting in the State of Delaware. Our amended and restated certificate of incorporation also provides that the federal district courts of the United States of America is the exclusive forum for the resolution of any complaint asserting a cause of action against us or any of our directors, officers, employees, or agents and arising under the Securities Act. Nothing in our amended and restated certificate of incorporation or amended and restated bylaws precludes stockholders that assert claims under the Exchange Act from bringing such claims in state or federal court, subject to applicable law.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any action the subject matter of which is within the scope described above is filed in a court other than a court located within the State of Delaware (a “Foreign Action”), in the name of any stockholder, such stockholder shall be deemed to have consented to the personal jurisdiction of the state and federal courts located within the State of Delaware in connection with any action brought in any such court to enforce the applicable provisions of our amended and restated certificate of incorporation and having service of process made upon such stockholder in any such action by service upon such stockholder’s counsel in the Foreign Action as agent for such stockholder. Although our amended and restated certificate of incorporation contains the choice of forum provision described above, it is possible that a court could find that such a provision is inapplicable for a particular claim or action or that such provision is unenforceable.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However, this choice of forum provision may limit a stockholder’s ability to bring a claim in a judicial forum that it finds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If a court were to find the choice of forum provision contained in our amended and restated certificate of incorporation to be inapplicable or unenforceable in an action, we may incur additional costs associated with resolving such action in other jurisdictions, which could adversely affect our business, financial condition, results of operations, and prospects. </w:t>
      </w:r>
    </w:p>
    <w:p>
      <w:pPr>
        <w:pStyle w:val="TextBody"/>
        <w:bidi w:val="0"/>
        <w:spacing w:before="360" w:after="283"/>
        <w:jc w:val="both"/>
        <w:rPr>
          <w:rFonts w:ascii="Times New Roman" w:hAnsi="Times New Roman"/>
          <w:sz w:val="20"/>
        </w:rPr>
      </w:pPr>
      <w:r>
        <w:rPr>
          <w:rFonts w:ascii="Times New Roman" w:hAnsi="Times New Roman"/>
          <w:b/>
          <w:i/>
          <w:color w:val="000000"/>
          <w:sz w:val="20"/>
        </w:rPr>
        <w:t>The market price of our common stock may be volatile, which could cause the value of your investment to decline.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market price of our common stock may be highly volatile and could fluctuate or decline significantly in response to numerous factors, many of which are beyond our control, including: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actual or anticipated fluctuations in our financial condition or results of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variance in our financial performance from expectations of securities analysts;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sales of shares of our common stock by us or our stockholders, or the anticipation of such sales;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hedging activities by market participants;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announcements by us or our competitors of significant products or features, technical innovations, acquisitions, strategic partnerships, joint ventures or capital commitments;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operating performance and stock market valuations of companies in our industry, including our competitors;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third-party payor reimbursement policies;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 inability to obtain additional funding;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economic, industry and market conditions, including price and volume fluctuations in the overall stock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lawsuits threatened or filed against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in new legislation and pending lawsuits or regulatory actions, including interim or final rulings by judicial or regulatory bodies;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events or factors, including those resulting from political conditions, election cycles, geopolitical actions, including unexpected changes in tariffs, trade barriers, price and exchange controls, and other regulatory requirements, war or incidents of terrorism, or responses to these events, many of which are outside of our control.</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extreme price and volume fluctuations in the stock markets have affected and continue to affect many medical devices and technology companies’ stock prices. Stock prices often fluctuate in ways unrelated or disproportionate to the companies’ operating performance. In the past, stockholders have filed securities class action litigation following periods of market volatility. This risk is especially relevant for us because medical technology companies have experienced significant stock price volatility in recent years. If we were to become involved in securities litigation, it could subject us to substantial costs, divert resources and the attention of management from our business and seriously harm our business.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Moreover, because of these fluctuations, comparing our operating results on a period-to-period basis may not be meaningful. You should not rely on our past results as an indication of our future performance. This variability and unpredictability could also result in our failure to meet the expectations of industry or financial analysts or investors for any period. If our revenues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forecasts that we may provide.</w:t>
      </w:r>
    </w:p>
    <w:p>
      <w:pPr>
        <w:pStyle w:val="TextBody"/>
        <w:bidi w:val="0"/>
        <w:spacing w:before="360" w:after="283"/>
        <w:jc w:val="both"/>
        <w:rPr>
          <w:rFonts w:ascii="Times New Roman" w:hAnsi="Times New Roman"/>
          <w:sz w:val="20"/>
        </w:rPr>
      </w:pPr>
      <w:r>
        <w:rPr>
          <w:rFonts w:ascii="Times New Roman" w:hAnsi="Times New Roman"/>
          <w:b/>
          <w:i/>
          <w:color w:val="000000"/>
          <w:sz w:val="20"/>
        </w:rPr>
        <w:t>If securities or industry analysts do not continue to publish research or reports about our business, or if they issue an adverse or misleading opinion regarding our stock, our stock price and trading volume could decline.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trading market for our common stock is influenced, in part, by the research and reports that industry or securities analysts publish about us or our business. If any of the analysts who cover us issue an adverse or misleading opinion regarding us, our business model, our intellectual property or our stock performance, or if our results of operations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120" w:after="283"/>
        <w:jc w:val="both"/>
        <w:rPr>
          <w:rFonts w:ascii="Times New Roman" w:hAnsi="Times New Roman"/>
          <w:sz w:val="20"/>
        </w:rPr>
      </w:pPr>
      <w:r>
        <w:rPr>
          <w:rFonts w:ascii="Times New Roman" w:hAnsi="Times New Roman"/>
          <w:b/>
          <w:i/>
          <w:color w:val="000000"/>
          <w:sz w:val="20"/>
        </w:rPr>
        <w:t>If we engage in acquisitions or strategic partnerships, it may increase our capital requirements, dilute our stockholders, cause us to incur debt or assume contingent liabilities, and subject us to other risks.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From time to time, we may evaluate various acquisitions and strategic partnerships, including licensing or acquiring complementary offerings, intellectual property rights, technologies, or businesses. Any acquisition or strategic partnership may entail numerous risks, including: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increased operating expenses and cash requirements;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assumption of additional indebtedness or contingent liabilities;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assimilation of operations, intellectual property, and products of an acquired company, including difficulties associated with integrating new personnel;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diversion of our management’s attention from our existing operations in pursuing such a strategic merger or acquisition;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loss of key personnel and uncertainties in our ability to maintain key business relationships;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uncertainties associated with the other party to such a transaction, including the prospects of that party and their existing products or future products and regulatory approvals;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inability to generate revenue from acquired technology and/or products sufficient to meet our objectives in undertaking the acquisition or even to offset the associated acquisition and maintenance costs.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if we undertake acquisitions or strategic partnerships, we may issue dilutive securities, assume or incur debt obligations, incur large one-time expenses, and acquire intangible assets that could result in significant future amortization expense. Moreover, we may not be able to locate suitable acquisition or partnership opportunities, and even if we do locate such opportunities, we may not be able to successfully bid for or obtain them due to competitive factors or lack of sufficient resources. This inability could impair our ability to grow or obtain access to technology or products that may be important to the development of our business. </w:t>
      </w:r>
    </w:p>
    <w:p>
      <w:pPr>
        <w:pStyle w:val="TextBody"/>
        <w:bidi w:val="0"/>
        <w:spacing w:before="360" w:after="283"/>
        <w:jc w:val="both"/>
        <w:rPr>
          <w:rFonts w:ascii="Times New Roman" w:hAnsi="Times New Roman"/>
          <w:sz w:val="20"/>
        </w:rPr>
      </w:pPr>
      <w:r>
        <w:rPr>
          <w:rFonts w:ascii="Times New Roman" w:hAnsi="Times New Roman"/>
          <w:b/>
          <w:i/>
          <w:color w:val="000000"/>
          <w:sz w:val="20"/>
        </w:rPr>
        <w:t>We or the third parties we depend on may be adversely affected by natural disasters and other catastrophic events, and our business continuity and disaster recovery plans may not adequately protect us from a serious natural disaster or other catastrophic event. Any</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i/>
          <w:color w:val="000000"/>
          <w:sz w:val="20"/>
        </w:rPr>
        <w:t>interruption in our operations or the operations of third parties who supply components or other materials for our products may have a material adverse effect on our business, financial condition, results of operations, and prospects.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Severe weather, natural disasters and other catastrophic events, including pandemics or other public health crises (such as the COVID-19 pandemic), earthquakes, tsunamis, hurricanes, floods, fires, explosions, accidents, power outages, cyber attacks, telecommunications failures, mechanical failures, unscheduled downtimes, civil unrest, strikes, transportation interruptions, unpermitted discharges or releases of toxic or hazardous substances, other environmental risks, wars or other conflicts (including wars in Ukraine and the Middle East), sabotage, terrorist attacks, or other intentional acts of vandalism or misconduct could severely disrupt our operations, or the operations of third parties who manufacture or supply components or other materials for our products, and have a material adverse effect on our business, financial condition, results of operations, and prospects.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a natural disaster or other catastrophic event occurs that prevents us or third-party suppliers or manufacturers from using all or a significant portion of our or their headquarters or other facilities, that damages critical infrastructure or that otherwise disrupts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catastrophic event. The potential impact of any disruption would depend on the nature and extent of the damage caused by a disaster. We may incur substantial expenses as a result of the limited nature of our disaster recovery and business continuity plans, which, particularly when taken together with our lack of earthquake insurance, could have a material adverse effect on our business, financial condition, results of operations, and prospects.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our corporate headquarters and manufacturing facilities are located in Sunnyvale, California, near major earthquake faults and fire zones. We do not carry earthquake insurance. Furthermore, integral parties in our supply chain are similarly vulnerable to natural disasters or other sudden, unforeseen, and severe adverse events. If such an event were to affect our supply chain, it could have a material adverse effect on our business, financial condition, results of operations, and prospects. </w:t>
      </w:r>
    </w:p>
    <w:p>
      <w:pPr>
        <w:pStyle w:val="TextBody"/>
        <w:bidi w:val="0"/>
        <w:spacing w:before="360" w:after="283"/>
        <w:jc w:val="both"/>
        <w:rPr>
          <w:rFonts w:ascii="Times New Roman" w:hAnsi="Times New Roman"/>
          <w:sz w:val="20"/>
        </w:rPr>
      </w:pPr>
      <w:r>
        <w:rPr>
          <w:rFonts w:ascii="Times New Roman" w:hAnsi="Times New Roman"/>
          <w:b/>
          <w:i/>
          <w:color w:val="000000"/>
          <w:sz w:val="20"/>
        </w:rPr>
        <w:t>We are subject to risks from legal and arbitration proceedings that may prevent us from pursuing our business activities or require us to incur additional costs in defending against claims or paying damages.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become subject to legal disputes and regulatory proceedings in connection with our business activities involving, among other things, product liability, product defects, intellectual property infringement, employment matters, and/or alleged violations of other applicable laws in various jurisdictions. We may not be insured against all potential damages that may arise out of any claims to which we may be party in the ordinary course of our business. A negative outcome of these proceedings may prevent us from pursuing certain activities and/or require us to incur additional costs in order to do so and pay damages. In addition,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harm our business, financial condition, results of operations and prospects. Additionally, the significant increase in the cost of directors’ and officers’ liability insurance may cause us to opt for lower overall policy limits or to forgo insurance that we may otherwise rely on to cover significant defense costs, settlements, and damages awarded to plaintiffs.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outcome of pending or potential future legal and arbitration proceedings is difficult to predict with certainty. In the event of a negative outcome of any material legal or arbitration proceeding, whether based on a judgment or a settlement agreement, we could be obligated to make substantial payments, which could have a material adverse effect on our business, financial condition, results of operations, and prospects. In addition, the costs related to litigation and arbitration proceedings may be significant, and any legal or arbitration proceedings could have a material adverse effect on our business, financial condition, results of operations, and prospects.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disclosure controls and procedures may not prevent or detect all errors or acts of fraud.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subject to the periodic reporting requirements of the Exchange Act. We must design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 required related party transaction disclosure.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Our insurance may not cover all potential losses or liabilities that may arise.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not insured against all potential losses or liabilities that may arise, as insurance coverage may be unavailable, not cost-effective, or subject to significant limitations. For example, we are not insured against business interruptions suffered by third parties that we depend on, environmental liabilities or patent infringement, among other types of risks. Furthermore, no assurance can be given that an insurance carrier will not seek to cancel or deny coverage after a claim has occurred. If a loss or liability occurs that is not or not fully covered by insurance, we may be required to pay substantial amounts, which could adversely affect its cash position and results of operations.</w:t>
      </w:r>
    </w:p>
    <w:p>
      <w:pPr>
        <w:pStyle w:val="TextBody"/>
        <w:bidi w:val="0"/>
        <w:jc w:val="left"/>
        <w:rPr/>
      </w:pPr>
      <w:r>
        <w:rPr/>
        <w:t> </w:t>
      </w:r>
    </w:p>
    <w:p>
      <w:pPr>
        <w:pStyle w:val="TextBody"/>
        <w:bidi w:val="0"/>
        <w:spacing w:before="360" w:after="283"/>
        <w:jc w:val="both"/>
        <w:rPr>
          <w:rFonts w:ascii="Times New Roman" w:hAnsi="Times New Roman"/>
          <w:b/>
          <w:color w:val="000000"/>
          <w:sz w:val="20"/>
        </w:rPr>
      </w:pPr>
      <w:bookmarkStart w:id="4" w:name="unresolved_staff_comments"/>
      <w:bookmarkEnd w:id="4"/>
      <w:r>
        <w:rPr>
          <w:rFonts w:ascii="Times New Roman" w:hAnsi="Times New Roman"/>
          <w:b/>
          <w:color w:val="000000"/>
          <w:sz w:val="20"/>
        </w:rPr>
        <w:t>Item 1B. Unresolved Staff Comments.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both"/>
        <w:rPr>
          <w:rFonts w:ascii="Times New Roman" w:hAnsi="Times New Roman"/>
          <w:sz w:val="20"/>
        </w:rPr>
      </w:pPr>
      <w:bookmarkStart w:id="5" w:name="cybersecurity"/>
      <w:bookmarkEnd w:id="5"/>
      <w:r>
        <w:rPr>
          <w:rFonts w:ascii="Times New Roman" w:hAnsi="Times New Roman"/>
          <w:b/>
          <w:color w:val="000000"/>
          <w:sz w:val="20"/>
        </w:rPr>
        <w:t>Item 1C. Cybersecurity.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u w:val="single"/>
        </w:rPr>
      </w:pPr>
      <w:r>
        <w:rPr>
          <w:rFonts w:ascii="Times New Roman" w:hAnsi="Times New Roman"/>
          <w:color w:val="000000"/>
          <w:sz w:val="20"/>
          <w:u w:val="single"/>
        </w:rPr>
        <w:t>Cybersecurity Risk Management and Strategy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developed and implemented a cybersecurity risk management program intended to protect the confidentiality, integrity, and availability of our critical systems and information. As part of our risk management program, we reference various security industry frameworks and other guidance, including the National Institute of Standards and Technology Cybersecurity Framework (NIST CSF), HIPAA, Service Organization Control Type 2 (SOC 2 Type II), and Sarbanes-Oxley IT General Controls (SOX ITGC), to help us assess, identify and manage cybersecurity risks relevant to our business. This does not imply that we meet any particular technical standards, specifications, or requirements, only that we use the NIST CSF, HIPAA, SOC 2 Type II, and SOX ITGC as guides to help us identify, assess, and manage cybersecurity risks relevant to our business.</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Our cybersecurity risk management program is integrated into our overall risk management program, and shares common methodologies, reporting channels and governance processes that apply across the risk management program to other legal, compliance, strategic, operational, and financial risk areas.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Key elements of our cybersecurity risk management program include but are not limited to the following:</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risk assessments are performed and designed to help identify material risks from cybersecurity threats to our critical systems and information;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security team principally responsible for managing (1) our cybersecurity risk assessment processes, (2) our security controls, and (3) our response to cybersecurity incidents;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use of external service providers or third party software, where appropriate, to assess, test or otherwise assist with aspects of our security processes;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cybersecurity awareness training of our employees, including incident response personnel;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 incident response plan that includes procedures for responding to cybersecurity incidents;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third-party vendor risk management process for key service providers based on the security team’s assessment of their criticality to our operations and respective risk profile.</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We have not identified risks from known cybersecurity threats, including as a result of any prior cybersecurity incidents, that have materially affected us, including our operations, business strategy, results of operations, or financial condition. We face risks from cybersecurity threats that, if realized, are reasonably likely to materially affect us, including our operations, business strategy, results of operations, or financial condition. See the risk factor titled, “Our business and operations may suffer in the event of information technology system failures, cyber-attacks, or deficiencies in our cybersecurity” for additional information.</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Cybersecurity Governance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Board of Directors considers cybersecurity risk as part of its risk oversight function and has delegated to the Audit Committee oversight of cybersecurity risks, including oversight of management’s implementation of our cybersecurity risk management program.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Audit Committee receives quarterly reports from management on our cybersecurity risks. In addition, management updates the Committee, where it deems appropriate, regarding cybersecurity incidents it considers to be significant or potentially significant. </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 xml:space="preserve">The Audit Committee reports to the full Board of Directors regarding its activities, including those related to cybersecurity. The full Board of Directors also periodically receives briefings from management on our cybersecurity risk management program. Members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of the Board of Directors receive presentations on cybersecurity topics from our Vice President of Information Security as part of the Board of Directors’ continuing education on topics that impact public companies.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Our Vice President of Information Security and Chief Technology Officer are responsible for assessing and managing our material risks from cybersecurity threats. Our Vice President of Information Security has over a decade of experience leading information security and regulatory compliance programs, including implementing security frameworks aligned with standards such as HIPAA, SOC 2, and ISO 27001, FedRAMP, CCPA, and GDPR, and holds Certified Information Systems Auditor (CISA) and Certified Data Privacy Solutions Engineer (CDPSE) certifications. Our Chief Technology Officer has extensive experience in software engineering and technology leadership and oversees our technology architecture and platform infrastructure, which supports the identification and management of cybersecurity risks.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Our management team and our board take steps to stay informed about and monitor efforts to prevent, detect, mitigate, and remediate cybersecurity risks and incidents through various means, which may include briefings from internal security personnel, threat intelligence, other information obtained from governmental, public or private sources, including external consultants engaged by us, and alerts and reports produced by security tools deployed in our IT environment.</w:t>
      </w:r>
    </w:p>
    <w:p>
      <w:pPr>
        <w:pStyle w:val="TextBody"/>
        <w:bidi w:val="0"/>
        <w:spacing w:before="200" w:after="283"/>
        <w:jc w:val="both"/>
        <w:rPr>
          <w:rFonts w:ascii="Times New Roman" w:hAnsi="Times New Roman"/>
          <w:b/>
          <w:color w:val="000000"/>
          <w:sz w:val="20"/>
        </w:rPr>
      </w:pPr>
      <w:bookmarkStart w:id="6" w:name="properties"/>
      <w:bookmarkEnd w:id="6"/>
      <w:r>
        <w:rPr>
          <w:rFonts w:ascii="Times New Roman" w:hAnsi="Times New Roman"/>
          <w:b/>
          <w:color w:val="000000"/>
          <w:sz w:val="20"/>
        </w:rPr>
        <w:t>Item 2. Properties.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corporate headquarters is in Sunnyvale, California, where we lease a 15,600 square foot facility pursuant to a lease agreement which commenced on November 1, 2021. To support our growth, the Company entered into an operating lease agreement for a 11,600 square foot facility for additional office and warehouse space in Sunnyvale, California in May 2024. The lease commenced when the Company obtained early use of the property beginning on June 1, 2024. On December 11, 2025, the Company amended both leases to extend the terms through January 31, 2028.</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existing facility will continue to support our research and development, finance, marketing, and administrative teams. We believe that our existing and new facilities are adequate to support our expansion through the end of the facilities’ lease periods. We believe that suitable additional or alternative space would be available in the future as required on commercially reasonable terms.</w:t>
      </w:r>
    </w:p>
    <w:p>
      <w:pPr>
        <w:pStyle w:val="TextBody"/>
        <w:bidi w:val="0"/>
        <w:spacing w:before="360" w:after="283"/>
        <w:jc w:val="both"/>
        <w:rPr>
          <w:rFonts w:ascii="Times New Roman" w:hAnsi="Times New Roman"/>
          <w:b/>
          <w:color w:val="000000"/>
          <w:sz w:val="20"/>
        </w:rPr>
      </w:pPr>
      <w:bookmarkStart w:id="7" w:name="legal_proceedings"/>
      <w:bookmarkEnd w:id="7"/>
      <w:r>
        <w:rPr>
          <w:rFonts w:ascii="Times New Roman" w:hAnsi="Times New Roman"/>
          <w:b/>
          <w:color w:val="000000"/>
          <w:sz w:val="20"/>
        </w:rPr>
        <w:t>Item 3. Legal 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July 7, 2025, we filed patent infringement complaints against Natus Medical Incorporated and related subsidiaries (“Natus”) with the U.S. International Trade Commission (“USITC”) and the U.S. District Court for the District of Delaware (the “District Court”), alleging that Natus is infringing on six patents owned by us related to important features of the Ceribell EEG headband and electrode design through Natus’s making, using, selling, offering for sale in the United States, and/or importing into the United States, of rapid point-of-care EEG monitoring products (the “Natus Products”), and that Natus is engaging in unfair competition. We have requested that the USITC investigate these claims and issue an exclusion order to bar the importation of any infringing Natus Products into the United States. We have also requested in the District Court a permanent injunction against the Natus Products and an award of damages sufficient to compensate us for the alleged infringement, as well as other costs and expenses in this action. On August 6, 2025, the USITC instituted an investigation of these claims pursuant to Section 337 of the Tariff Act of 1930 and on August 12, 2025, the District Court stayed the pending patent infringement action until the final determination of the USITC investigation. A federal government shutdown may cause delays in the progress of the USITC investigation and related proceedings until normal operations resume.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become involved in other various legal proceedings arising from the normal course of business activities. We are not presently a party to any litigation the outcome of which, we believe, if determined adversely to us, would individually or taken together, materially and adversely affect our business, financial condition, or results of operations. Involvement in legal proceedings is costly and can impose a significant burden on management and employees. The results of any current or future litigation cannot be predicted with certainty, and regardless of the outcome, litigation can have an adverse impact on us because of legal expenses and settlement costs, diversion of management attention, and resources and other factors.</w:t>
      </w:r>
    </w:p>
    <w:p>
      <w:pPr>
        <w:pStyle w:val="TextBody"/>
        <w:bidi w:val="0"/>
        <w:spacing w:before="360" w:after="283"/>
        <w:jc w:val="both"/>
        <w:rPr>
          <w:rFonts w:ascii="Times New Roman" w:hAnsi="Times New Roman"/>
          <w:b/>
          <w:color w:val="000000"/>
          <w:sz w:val="20"/>
        </w:rPr>
      </w:pPr>
      <w:bookmarkStart w:id="8" w:name="mine_safety_disclosures"/>
      <w:bookmarkEnd w:id="8"/>
      <w:r>
        <w:rPr>
          <w:rFonts w:ascii="Times New Roman" w:hAnsi="Times New Roman"/>
          <w:b/>
          <w:color w:val="000000"/>
          <w:sz w:val="20"/>
        </w:rPr>
        <w:t>Item 4. Mine Safety Disclosures.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II</w:t>
      </w:r>
    </w:p>
    <w:p>
      <w:pPr>
        <w:pStyle w:val="TextBody"/>
        <w:bidi w:val="0"/>
        <w:spacing w:before="240" w:after="283"/>
        <w:jc w:val="left"/>
        <w:rPr>
          <w:rFonts w:ascii="Times New Roman" w:hAnsi="Times New Roman"/>
          <w:b/>
          <w:color w:val="000000"/>
          <w:sz w:val="20"/>
        </w:rPr>
      </w:pPr>
      <w:bookmarkStart w:id="9" w:name="market_for_registrants_common_equity"/>
      <w:bookmarkEnd w:id="9"/>
      <w:r>
        <w:rPr>
          <w:rFonts w:ascii="Times New Roman" w:hAnsi="Times New Roman"/>
          <w:b/>
          <w:color w:val="000000"/>
          <w:sz w:val="20"/>
        </w:rPr>
        <w:t>Item 5. Market for Registrant’s Common Equity, Related Stockholder Matters and Issuer Purchases of Equity Securities.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Market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common stock is traded on the Nasdaq Global Select Market under the symbol “CBLL.”</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Holders of Record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February 20, 2026, there were approximately 69 registered holders of record of our common stock. The actual number of holders is greater than this number and includes stockholders who are beneficial owners but whose shares are held in “street name” by banks, brokers, and other financial institutions. This number of record holders also does not include stockholders whose shares may be held in trust by other entities.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Dividend Policy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never declared or paid cash dividends on our capital stock. We do not expect to pay dividends on our common stock for the foreseeable future. Instead, we anticipate that all of our earnings, if any, will be used for the operation and growth of our business. Any future determination to declare cash dividends would be subject to the discretion of our Board of Directors and would depend upon various factors, including our results of operations, financial condition and capital requirements, restrictions that may be imposed by applicable law and our contracts and other factors deemed relevant by our Board of Directors.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Use of Proceeds from our Initial Public Offering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October 10, 2024, our registration statement on Form S-1 (File No. 333-281784) relating to our initial public offering (the “IPO”) became effective pursuant to which we issued and sold 12,196,969 shares of our common stock at a public offering price of $17.00 per share. We received net proceeds of $187.8 million, after deducting the underwriting discounts, commissions and offering expenses. None of the expenses associated with the IPO were paid to directors, officers, or persons owning 10% or more of any class of equity securities. There has been no material change in the planned use of proceeds from the IPO from that described in our Final Prospectus dated October 10, 2024 and filed with the SEC pursuant to Rule 424(b)(4) on October 11, 2024.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 Sales of Unregistered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Issuer Repurchases of Equity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0" w:name="reserved"/>
      <w:bookmarkEnd w:id="10"/>
      <w:r>
        <w:rPr>
          <w:rFonts w:ascii="Times New Roman" w:hAnsi="Times New Roman"/>
          <w:b/>
          <w:color w:val="000000"/>
          <w:sz w:val="20"/>
        </w:rPr>
        <w:t>Item 6. [Reserved]</w:t>
      </w:r>
    </w:p>
    <w:p>
      <w:pPr>
        <w:pStyle w:val="TextBody"/>
        <w:bidi w:val="0"/>
        <w:spacing w:before="120" w:after="283"/>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11" w:name="managements_discussion_and_analysis"/>
      <w:bookmarkEnd w:id="11"/>
      <w:r>
        <w:rPr>
          <w:rFonts w:ascii="Times New Roman" w:hAnsi="Times New Roman"/>
          <w:b/>
          <w:color w:val="000000"/>
          <w:sz w:val="20"/>
        </w:rPr>
        <w:t>Item 7. Management’s Discussion and Analysis of Financial Condition and Results of Operations.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in conjunction with our financial statements and related notes included elsewhere in this Annual Report. In addition to historical financial information, the following discussion contains forward-looking statements that reflect our plans, estimates, and beliefs that involve significant risks and uncertainties. Our actual results could differ materially from those discussed in the forward-looking statements. Factors that could cause or contribute to those differences include those discussed below and elsewhere in this Annual Report, particularly in “Risk Factors” and “Special Note Regarding Forward-Looking Statements.”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Overview</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a medical technology company focused on transforming the diagnosis and management of patients with serious neurological conditions. We have developed the Ceribell System, a novel, point-of-care EEG platform specifically designed to address the unmet needs of patients in the acute care setting. By combining proprietary, highly portable, and rapidly deployable hardware with sophisticated artificial intelligence (“AI”)-powered algorithms, the Ceribell System enables rapid diagnosis and continuous monitoring of patients with neurological conditions. We initially focused on becoming the standard of care for the detection and management of seizures in the acute care setting, where the technological and operational limitations of conventional EEG systems have contributed to significant delays in seizure and delirium diagnosis and suboptimal patient care and clinical outcomes, as well as a high economic burden for hospitals and the healthcare system. By making EEG more accessible and enabling continuous monitoring through the power of AI, the Ceribell System enables clinicians to more rapidly and accurately diagnose and manage patients at risk of seizure and delirium in the acute care setting, resulting in improved patient outcomes and hospital and payer economics. As of December 31, 2025, the Ceribell System has been adopted by more than 600 hospitals, ranging from top academic centers to small community hospitals. For information regarding how patient care and clinical outcomes are measured, see “Business—Market Overview—Challenges of Managing Seizures in the Acute Care Setting” included elsewhere in this Annual Report on Form 10-K.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specifically designed the Ceribell System to address the limitations of conventional EEG in the acute care setting and dramatically improve clinical outcomes of critically ill patients at high risk of seizures. The Ceribell System integrates proprietary, highly portable hardware with AI-powered algorithms to aid in the detection and management of seizures. Our hardware is composed of disposable, flexible headbands and headcaps (“Wearables”) and a pocket-sized, rechargeable battery-operated recorder used to capture and wirelessly transmit EEG signals. The hardware is simple to use and, after approximately one hour of training, can be applied within minutes by any non-specialized healthcare professional. The recorder is integrated with a proprietary web-based portal that allows neurologists to remotely access EEG data in real time from any web-enabled device. EEG data captured by the recorder is interpreted by our proprietary AI-powered seizure detection algorithms, which continuously monitor the patient’s EEG signal and can support the clinician’s real-time assessment of seizure activity and delirium.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currently focused on becoming the standard of care for the detection and management of seizures in the acute care setting. In May 2023, Clarity® became the first device to receive 510(k) clearance from the U.S. Food and Drug Administration (“FDA”) for diagnosing electrographic status epilepticus. In December 2025, the FDA granted 510(k) clearance for Ceribell’s proprietary delirium monitoring solution, the first and only FDA cleared delirium screening and monitoring device.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are approximately 6,000 acute care facilities in the United States that we believe could benefit from the Ceribell system. We intend to expand the size of our direct sales organization in the United States to support our efforts to drive further adoption and utilization of the Ceribell System. While our current commercial focus is on the United States, we have received a CE Mark for the Ceribell System in Europe, and we intend to pursue additional regulatory clearances in Europe and elsewhere outside of the United States in the future.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manage all aspects of manufacturing, supply chain, and distribution of the Wearables and recorder from our facilities in Sunnyvale, California. Contract manufacturers in China and Vietnam assemble the headbands, with final inspection and labeling completed at our California facilities. We have dual sources for major components of the Wearables. The components for our recorder are procured from various suppliers and shipped to our facilities for final testing and assembly.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Since our inception, we have devoted substantially all of our resources to organizing and staffing our company, research and development activities, obtaining FDA clearances and other regulatory milestones, business planning, raising capital, establishing and maintaining our intellectual property portfolio, conducting direct sales efforts and marketing initiatives, conducting clinical studies, and providing general and administrative support for these operations.</w:t>
      </w:r>
    </w:p>
    <w:p>
      <w:pPr>
        <w:pStyle w:val="TextBody"/>
        <w:bidi w:val="0"/>
        <w:spacing w:before="240" w:after="283"/>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bookmarkStart w:id="12" w:name="page89"/>
      <w:bookmarkEnd w:id="12"/>
      <w:r>
        <w:rPr>
          <w:rFonts w:ascii="Times New Roman" w:hAnsi="Times New Roman"/>
          <w:color w:val="000000"/>
          <w:sz w:val="20"/>
        </w:rPr>
        <w:t xml:space="preserve">As of December 31, 2025, we had an accumulated deficit of $220.4 million. To date, we have funded our operations primarily through proceeds from the sale of shares of our stock, including common stock and redeemable convertible preferred stock, term loan proceeds, and cash generated from the sale of Wearables and subscriptions. As of December 31, 2025, we had $159.3 million in cash and cash equivalents and marketable securities. Based on our current operating plan, we believe that the net proceeds from our IPO, together with the expected cash generated from revenue transactions with customers and our existing cash and cash equivalents, will be sufficient to fund our planned operating expenses and capital expenditure requirements for at least the next 12 months. We have based this estimate on assumptions that may prove to be wrong, and we could deplete our capital resources sooner than we expect. We may experience lower than expected cash generated from operating activities or greater than expected capital expenditures, cost of revenue, or operating expenses, and may need to raise additional capital to fund operations, further research and development activities, or acquire, invest in, or in-license other businesses, assets, or technologies.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incurred operating losses since the commencement of our operations and we expect to continue to incur losses as we grow and continue the transition to operating as a public company.</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Key Factors Affecting Our Results of Operations and Performance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believe there are several important factors that have impacted and that we expect will impact our operating performance and results of operations for the foreseeable future. These factors include:</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 xml:space="preserve">Adoption of the Ceribell System by new accounts. </w:t>
      </w:r>
      <w:r>
        <w:rPr>
          <w:rFonts w:ascii="Times New Roman" w:hAnsi="Times New Roman"/>
          <w:color w:val="000000"/>
          <w:sz w:val="20"/>
        </w:rPr>
        <w:t>There are</w:t>
      </w:r>
      <w:r>
        <w:rPr>
          <w:color w:val="000000"/>
        </w:rPr>
        <w:t xml:space="preserve"> </w:t>
      </w:r>
      <w:r>
        <w:rPr>
          <w:rFonts w:ascii="Times New Roman" w:hAnsi="Times New Roman"/>
          <w:color w:val="000000"/>
          <w:sz w:val="20"/>
        </w:rPr>
        <w:t>approximately 6,000 acute care facilities with an Intensive Care Unit (“ICU”) or Emergency Department (“ED”) or both in the United States that we believe could benefit from the Ceribell System because the patients arriving at such facilities may experience seizures or delirium triggered by the conditions leading them to seek acute medical care. As of December 31, 2025, we have successfully deployed the Ceribell System to more than 600 hospitals, ranging from top academic centers to small community hospitals. We believe that all acute care facilities in the United States can benefit from the Ceribell System, and our goal is to establish the Ceribell System as the standard of care for the detection and management of seizures in critically ill patients. To drive further adoption of the Ceribell System, we leverage our commercial infrastructure including TMs, who focus on new account acquisition and onboarding, and CAMs, who focus on ongoing account coverage to increase utilization and further support hospital onboarding. Our commercial team engages with customers to communicate the value proposition of the Ceribell System, leveraging our large base of clinical evidence.</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Utilization of the Ceribell System within our existing customer base.</w:t>
      </w:r>
      <w:r>
        <w:rPr>
          <w:color w:val="000000"/>
        </w:rPr>
        <w:t xml:space="preserve"> </w:t>
      </w:r>
      <w:r>
        <w:rPr>
          <w:rFonts w:ascii="Times New Roman" w:hAnsi="Times New Roman"/>
          <w:color w:val="000000"/>
          <w:sz w:val="20"/>
        </w:rPr>
        <w:t>We believe there are over three million acute care patients in the United States who should be monitored with EEG each year due to high risk of seizures. Currently, many of these patients are not promptly monitored by EEG, as a physician may not be aware of the risk of seizures in a given patient population. Our CAMs work to educate our customers to raise awareness of our technology, non-convulsive seizures, and the risks of delayed treatment. Even at facilities with access to the Ceribell System, clinicians may not use Ceribell on all eligible patients if they are not fully aware of the risks of seizures and the benefits of our solution. We aim to support hospitals in their efforts to integrate Ceribell into protocols for different patient populations, based on established guidelines. We are also continuing our efforts to expand to new hospital departments and provide training to more providers.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Investment in research and development to drive innovation and expand our addressable market.</w:t>
      </w:r>
      <w:r>
        <w:rPr>
          <w:color w:val="000000"/>
        </w:rPr>
        <w:t xml:space="preserve"> </w:t>
      </w:r>
      <w:r>
        <w:rPr>
          <w:rFonts w:ascii="Times New Roman" w:hAnsi="Times New Roman"/>
          <w:color w:val="000000"/>
          <w:sz w:val="20"/>
        </w:rPr>
        <w:t>Our research and development initiatives are focused on introducing enhancements, features, and improvements aimed at increasing the value provided by the Ceribell System for diagnosing and monitoring seizures and delirium in the acute care setting. We believe the platform nature of the Ceribell System will enable us to efficiently deploy it for use in other serious neurological conditions beyond seizures and delirium to additional indications.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Components of our Results of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generate revenue from two recurring sources. Product revenue is generated by the sale of our disposable Wearables that are intended for single patient use. Subscription revenue is generated by monthly subscription fees charged to our hospital customers for use of Clarity, recorders, and our portal. Revenue from sales of Wearables is recognized at a point in time upon transfer of control of the product. We generally recognize subscription revenue ratably over the related contractual term beginning on the date that the Ceribell System is made available to a customer. Our revenue fluctuates primarily based on the number of active accounts and the volume of Wearable usage.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that our revenue will continue to fluctuate quarter-to-quarter due to a variety of factors, including the potential success of our sales force in extending adoption of the Ceribell System to new accounts and expanding the utilization of the Ceribell System in existing accounts. For purposes of managing our business, we do not separately track increases in revenue solely attributable to new accounts. We may experience fluctuations in the number of headbands used by our customers based on seasonal factors that impact the number of patients in the acute care setting. For example, the number of patients in the intensive care unit is typically lower during the summer months.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Cost of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 of revenue consists primarily of the cost of materials and labor to manufacture Wearables and depreciation of the manufacturing cost of recorders, as well as third-party hosting fees and personnel-related expenses for our subscription cost of revenue. Cost of revenue also includes expenses related to manufacturing overhead comprising compensation for personnel, manufacturing supervision, facilities, utilities, quality assurance, property tax, and certain direct costs such as tariffs and shipping costs. As we acquire new customers and existing customers increase their use of our product and software, we expect that our cost of revenue will continue to increase.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Gross Profit and Gross Margin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Gross profit, or revenue less cost of revenue, and gross margin, or gross profit as a percentage of revenue, have been and will continue to be affected by various factors that may cause gross margins to fluctuate. These include the product mix between product and subscription revenues, potential changes to sales prices, the timing of our acquisition of new customers, renewals of and follow-on sales to existing customers, costs associated with third-party hosting fees, costs associated with third party manufacturing and supply chain purchases of inventory, and other direct costs such as tariffs and shipping. Our gross margin may fluctuate from period to period, based upon the factors described above and in the section titled “Risk Factors” included elsewhere in this Annual Report on Form 10-K.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Research and Development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expenses are incurred in connection with the advancement of the Ceribell System with the goal to improve and expand on the existing Ceribell System and indications. Research and development expenses consist primarily of engineering, product development, regulatory activities, consulting services, materials, depreciation, and other costs associated with products and technologies being developed. These expenses include employee and non-employee compensation, including benefits, stock-based compensation, supplies, materials, consulting, related travel expenses, and facilities expenses. Our research and development team includes clinical study experts as well as hardware and software engineers with deep expertise in mechanical and electrical engineering, data science, AI, embedded software design, and cloud-based data and security architecture. We invest in research and development efforts with the goal of driving continuous improvements in our current system and solutions and expanding the clinical application of the Ceribell System and AI algorithms, in the acute care setting and beyond. Research and development expenses are recognized as incurred and payments made prior to the receipt of goods or services to be used in research and development are capitalized and are recognized as expense as the goods are delivered or as related services are performed.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record research and development expenses in the periods in which they are incurred. Costs for certain activities, such as clinical studies and clinical trials, are generally recognized based on an evaluation of the progress to completion of specific tasks using information and data provided to us by our vendors and collaborators.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our research and development expenses to increase as we continue to improve and optimize our products, leverage our platform to expand indications, and develop products for use beyond the acute care setting.</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Sales and Marketing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Sales and marketing expenses consist primarily of employee-related costs, including salaries, commissions, bonuses, benefits, travel, and stock-based compensation as well as investments in marketing initiatives to increase market awareness of our technology and the prevalence of seizures and delirium in critically ill patient populations, including expenses related to travel, conferences, trade shows, and consulting services.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expect our sales and marketing expenses to increase for the foreseeable future as we continue to increase the size of our sales organization and market penetration in the United States, expand indications, and potentially establish an international presence by pursuing marketing authorizations and engaging in other market access initiatives in international regions in which we see significant potential opportunity.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General and Administrative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and administrative expenses consist primarily of personnel expenses, including salaries, benefits, and stock-based compensation expense for personnel in executive, finance, accounting, commercial operations, legal, human resource, IT, and administrative functions. General and administrative expenses also include direct or allocated expenses for rent and maintenance of facilities and insurance, not otherwise included in research and development expenses, sales and marketing expenses, or cost of revenue, as well as professional fees for legal, patent, and consulting services.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that our general and administrative expenses will increase in the foreseeable future as we increase our headcount to support the continued growth of our business. We also anticipate incurring additional expenses associated with operating as a public company, including increased expenses related to audit, legal, regulatory, compliance, director and officer insurance, investor and public relations, and tax-related services associated with maintaining compliance with the rules and regulations of the SEC and standards applicable to companies listed on a national securities exchange and intellectual property enforcement activities.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Interest and Other Income (Expense),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and other income (expense), net is primarily interest income on our cash and cash equivalents and marketable securities. Interest expense primarily consists of interest on our term loans and a non-cash interest charge related to amortization of debt issuance costs. Gains and losses related to the change in fair value of the redeemable convertible preferred stock warrant liability issued as a part of our term loans were recognized in the income statement each quarter until the warrants were converted to common stock warrants immediately prior to the IPO.</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Provision for Income Taxes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date, we have not recorded any U.S. federal or state income tax expense. We have recorded deferred tax assets for U.S. federal income taxes for which we provide a full valuation allowance. These deferred tax assets primarily include net operating loss carryforwards and we expect to maintain this full valuation allowance for the foreseeable future as it is not more likely than not the deferred tax assets will be realized based on our history of losses.</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Results of Operations for the Years ended December 31, 2025 and 2024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tables set forth our results of operations for the periods presented (in thousands, except percentages) and as a percentage of our revenue for those periods. The period-to-period comparison of financial results is not necessarily indicative of financial results to be achieved in future periods.</w:t>
      </w:r>
    </w:p>
    <w:p>
      <w:pPr>
        <w:pStyle w:val="TextBody"/>
        <w:bidi w:val="0"/>
        <w:jc w:val="both"/>
        <w:rPr/>
      </w:pPr>
      <w:r>
        <w:rPr/>
        <w:t> </w:t>
      </w:r>
    </w:p>
    <w:tbl>
      <w:tblPr>
        <w:tblW w:w="8576" w:type="dxa"/>
        <w:jc w:val="left"/>
        <w:tblInd w:w="0" w:type="dxa"/>
        <w:tblLayout w:type="fixed"/>
        <w:tblCellMar>
          <w:top w:w="28" w:type="dxa"/>
          <w:left w:w="28" w:type="dxa"/>
          <w:bottom w:w="28" w:type="dxa"/>
          <w:right w:w="28" w:type="dxa"/>
        </w:tblCellMar>
      </w:tblPr>
      <w:tblGrid>
        <w:gridCol w:w="3391"/>
        <w:gridCol w:w="146"/>
        <w:gridCol w:w="211"/>
        <w:gridCol w:w="781"/>
        <w:gridCol w:w="166"/>
        <w:gridCol w:w="146"/>
        <w:gridCol w:w="211"/>
        <w:gridCol w:w="736"/>
        <w:gridCol w:w="166"/>
        <w:gridCol w:w="146"/>
        <w:gridCol w:w="211"/>
        <w:gridCol w:w="736"/>
        <w:gridCol w:w="166"/>
        <w:gridCol w:w="146"/>
        <w:gridCol w:w="275"/>
        <w:gridCol w:w="596"/>
        <w:gridCol w:w="346"/>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Subscription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89,063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65,444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cost of goods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Subscription 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10,789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8,694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78,274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136,676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96,459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40,217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(58,402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(39,709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(18,693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(53,412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(40,455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(12,957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(53,412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(40,455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(12,957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 Not Meaningful</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Comparison of the Years ended December 31, 2025 and 2024</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 revenue for the year ended December 31, 2025 (“fiscal year 2025”), increased $17.3 million, or 34%, compared to the year ended December 31, 2024 (“fiscal year 2024”). Product revenue growth was primarily driven by the addition of new customers and an increase in utilization of headbands and resulting headband sales, driven by continued customer education that resulted in increased awareness and adoption of our products.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Subscription revenue for fiscal year 2025 increased $6.4 million, or 41%, compared to fiscal year 2024. Subscription revenue growth was primarily driven by an increase in new customer subscriptions.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Cost of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 cost of revenue for fiscal year 2025 increased $1.9 million, or 23%, compared to fiscal year 2024. The increase in cost of goods sold for products was primarily due to an increase in headband sales to new and existing active accounts.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Subscription cost of revenue for fiscal year 2025 increased $0.2 million, or 36%, compared to fiscal year 2024. The increase in subscription cost of revenue was primarily due to increased hosting costs for new active accounts for subscriptions and incremental recorder depreciation associated with new subscriptions.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Gross Profit and Gross Margin</w:t>
      </w:r>
    </w:p>
    <w:p>
      <w:pPr>
        <w:pStyle w:val="TextBody"/>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sets forth our gross profit and gross margin for the periods presented (in thousands, except percentages).</w:t>
      </w:r>
    </w:p>
    <w:p>
      <w:pPr>
        <w:pStyle w:val="TextBody"/>
        <w:bidi w:val="0"/>
        <w:spacing w:before="120" w:after="283"/>
        <w:jc w:val="both"/>
        <w:rPr/>
      </w:pPr>
      <w:r>
        <w:rPr/>
        <w:t> </w:t>
      </w:r>
    </w:p>
    <w:tbl>
      <w:tblPr>
        <w:tblW w:w="7356" w:type="dxa"/>
        <w:jc w:val="left"/>
        <w:tblInd w:w="0" w:type="dxa"/>
        <w:tblLayout w:type="fixed"/>
        <w:tblCellMar>
          <w:top w:w="28" w:type="dxa"/>
          <w:left w:w="28" w:type="dxa"/>
          <w:bottom w:w="28" w:type="dxa"/>
          <w:right w:w="28" w:type="dxa"/>
        </w:tblCellMar>
      </w:tblPr>
      <w:tblGrid>
        <w:gridCol w:w="2236"/>
        <w:gridCol w:w="146"/>
        <w:gridCol w:w="211"/>
        <w:gridCol w:w="676"/>
        <w:gridCol w:w="271"/>
        <w:gridCol w:w="146"/>
        <w:gridCol w:w="211"/>
        <w:gridCol w:w="676"/>
        <w:gridCol w:w="271"/>
        <w:gridCol w:w="146"/>
        <w:gridCol w:w="211"/>
        <w:gridCol w:w="676"/>
        <w:gridCol w:w="146"/>
        <w:gridCol w:w="146"/>
        <w:gridCol w:w="275"/>
        <w:gridCol w:w="596"/>
        <w:gridCol w:w="316"/>
      </w:tblGrid>
      <w:tr>
        <w:trPr/>
        <w:tc>
          <w:tcPr>
            <w:tcW w:w="2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78,274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56,750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57,207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41,870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Subscription 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21,067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Subscription 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Gross profit increased $21.5 million, or 38%, for fiscal year 2025, compared to fiscal year 2024. The increase was primarily due to increased revenue and decreased cost of goods sold per unit, as non-variable costs are allocated among a larger number of units.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Operating Expenses</w:t>
      </w:r>
    </w:p>
    <w:p>
      <w:pPr>
        <w:pStyle w:val="TextBody"/>
        <w:bidi w:val="0"/>
        <w:spacing w:before="120" w:after="283"/>
        <w:jc w:val="both"/>
        <w:rPr>
          <w:rFonts w:ascii="Times New Roman" w:hAnsi="Times New Roman"/>
          <w:color w:val="000000"/>
          <w:sz w:val="20"/>
          <w:u w:val="single"/>
        </w:rPr>
      </w:pPr>
      <w:r>
        <w:rPr>
          <w:rFonts w:ascii="Times New Roman" w:hAnsi="Times New Roman"/>
          <w:color w:val="000000"/>
          <w:sz w:val="20"/>
          <w:u w:val="single"/>
        </w:rPr>
        <w:t>Research and Development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expenses increased $5.6 million, or 41%, for fiscal year 2025, compared to fiscal year 2024. The increase was primarily due to an increase of $3.7 million in personnel and related expenses directly associated with an increase in headcount and stock-based compensation, as well as an increase of $1.7 million in clinical study and professional expenses.</w:t>
      </w:r>
    </w:p>
    <w:p>
      <w:pPr>
        <w:pStyle w:val="TextBody"/>
        <w:bidi w:val="0"/>
        <w:spacing w:before="360" w:after="283"/>
        <w:jc w:val="both"/>
        <w:rPr>
          <w:rFonts w:ascii="Times New Roman" w:hAnsi="Times New Roman"/>
          <w:color w:val="000000"/>
          <w:sz w:val="20"/>
          <w:u w:val="single"/>
        </w:rPr>
      </w:pPr>
      <w:r>
        <w:rPr>
          <w:rFonts w:ascii="Times New Roman" w:hAnsi="Times New Roman"/>
          <w:color w:val="000000"/>
          <w:sz w:val="20"/>
          <w:u w:val="single"/>
        </w:rPr>
        <w:t>Sales and Marketing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Sales and marketing expenses increased $24.0 million, or 49%, for fiscal year 2025, compared to fiscal year 2024. The increase was primarily due to an increase in personnel and related expenses directly associated with an increase in headcount and commissions.</w:t>
      </w:r>
    </w:p>
    <w:p>
      <w:pPr>
        <w:pStyle w:val="TextBody"/>
        <w:bidi w:val="0"/>
        <w:spacing w:before="360" w:after="283"/>
        <w:jc w:val="both"/>
        <w:rPr>
          <w:rFonts w:ascii="Times New Roman" w:hAnsi="Times New Roman"/>
          <w:color w:val="000000"/>
          <w:sz w:val="20"/>
          <w:u w:val="single"/>
        </w:rPr>
      </w:pPr>
      <w:r>
        <w:rPr>
          <w:rFonts w:ascii="Times New Roman" w:hAnsi="Times New Roman"/>
          <w:color w:val="000000"/>
          <w:sz w:val="20"/>
          <w:u w:val="single"/>
        </w:rPr>
        <w:t>General and Administrative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and administrative expenses increased $10.6 million, or 31%, for fiscal year 2025, compared to fiscal year 2024. The increase was primarily due to an increase of $5.6 million in personnel and related expenses directly associated with an increase in headcount and stock-based compensation, an increase of $4.7 million in legal, accounting, and professional service fees related to our transition to a public company, and costs associated with intellectual property enforcement activities, including a new patent infringement claim initiated in July 2025.</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Interest and Other Income (Expense),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and other income (expense), net increased $5.7 million for fiscal year 2025, compared to fiscal year 2024. The increase in interest income was primarily due to higher balances of cash equivalents and marketable securities, resulting from the investment of IPO proceeds.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Since inception, we have financed operations primarily through the net proceeds we have received from the sales of our preferred stock and common stock as well as net proceeds from our term loans and cash generated from the sale of headbands and Clarity subscriptions. On October 15, 2024, we completed our IPO and received net proceeds of $187.8 million after deducting underwriting discounts, commissions and offering expenses.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losses primarily resulted from the costs incurred in the development and sales and marketing of our products and providing general and administrative support for our operations. We expect to continue to incur losses in the foreseeable future and to expend significant amounts of cash in the foreseeable future as we continue to scale our business, invest in research and development activities, increase sales and marketing expenses to support commercial expansion, and increase general and administrative expenses to support our transition into being a publicly-traded company.</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Sources of Liquidity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December 31, 2025, our principal sources of liquidity consisted of $159.3 million of cash and cash equivalents and marketable securities and $20.0 million of term loans.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February 6, 2024, we entered into the VLSA with SVB and Horizon. The VLSA provides a term loan commitment of $50.0 million. We drew $20.0 million of the $50.0 million term loan commitment at closing (consisting of $6.0 million from SVB and $14.0 million from Horizon), which was used to retire our existing debt with Horizon, pay transaction fees, and for general corporate purposes. The remaining $30.0 million term loan commitment consists of three tranches of $10.0 million commitments. The maturity date of the VLSA is March 1, 2029.</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Concurrent with the VLSA, we also entered into the Revolving Facility for a line of credit of up to $10.0 million. The Revolving Facility matured on February 6, 2026.</w:t>
      </w:r>
    </w:p>
    <w:p>
      <w:pPr>
        <w:pStyle w:val="TextBody"/>
        <w:bidi w:val="0"/>
        <w:jc w:val="both"/>
        <w:rPr>
          <w:rFonts w:ascii="Times New Roman" w:hAnsi="Times New Roman"/>
          <w:i/>
          <w:color w:val="000000"/>
          <w:sz w:val="20"/>
        </w:rPr>
      </w:pPr>
      <w:r>
        <w:rPr>
          <w:rFonts w:ascii="Times New Roman" w:hAnsi="Times New Roman"/>
          <w:i/>
          <w:color w:val="000000"/>
          <w:sz w:val="20"/>
        </w:rPr>
        <w:t>Funding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Based on our current operating plan, we believe that the expected cash generated from revenue transactions with customers and our existing cash and cash equivalents and marketable securities will be sufficient to fund our planned operating expenses and capital expenditure requirements for at least the next 12 months. We have based this estimate on assumptions that may prove to be wrong, and we could deplete our capital resources sooner than we expect. We may experience lower than expected cash generated from operating activities or greater than expected capital expenditures, cost of revenue, or operating expenses, and may need to raise additional capital to fund operations, further research and development activities, or acquire, invest in, or in-license other businesses, assets, or technologies.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order to generate and obtain adequate amounts of cash to meet requirements beyond the next 12 months, we may continue to seek funds through equity or debt financings, or through other sources of financing. Our future capital needs will depend upon many factors, including: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market acceptance of our products;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cost and pace of developing new products and our research and development activities;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scope, timing and costs of supporting sales growth and expansion of our commercial organization;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associated with any product recall that may occur;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associated with the manufacturing of our products at increased production levels or in different countries;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of attaining, defending, and enforcing our intellectual property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whether we acquire third-party products or technologies;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terms and timing of any other collaborative, licensing, and other arrangements that we may establish;</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emergence of competing technologies or other adverse market developments;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raise additional funds to finance our operations should they be needed in the future;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debt service requirements;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associated with being a public company.</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shows a summary of our cash flows for each of the periods presented:</w:t>
      </w:r>
    </w:p>
    <w:p>
      <w:pPr>
        <w:pStyle w:val="TextBody"/>
        <w:bidi w:val="0"/>
        <w:jc w:val="both"/>
        <w:rPr/>
      </w:pPr>
      <w:r>
        <w:rPr/>
        <w:t> </w:t>
      </w:r>
    </w:p>
    <w:tbl>
      <w:tblPr>
        <w:tblW w:w="6179" w:type="dxa"/>
        <w:jc w:val="left"/>
        <w:tblInd w:w="0" w:type="dxa"/>
        <w:tblLayout w:type="fixed"/>
        <w:tblCellMar>
          <w:top w:w="28" w:type="dxa"/>
          <w:left w:w="28" w:type="dxa"/>
          <w:bottom w:w="28" w:type="dxa"/>
          <w:right w:w="28" w:type="dxa"/>
        </w:tblCellMar>
      </w:tblPr>
      <w:tblGrid>
        <w:gridCol w:w="3466"/>
        <w:gridCol w:w="146"/>
        <w:gridCol w:w="211"/>
        <w:gridCol w:w="841"/>
        <w:gridCol w:w="166"/>
        <w:gridCol w:w="146"/>
        <w:gridCol w:w="211"/>
        <w:gridCol w:w="781"/>
        <w:gridCol w:w="21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(35,043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196,516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Operating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used in operating activities during fiscal year 2025 consisted primarily of our net loss of $53.4 million, offset by non-cash charges of stock-based compensation of $12.2 million and depreciation and amortization of $1.3 million. Additionally we had a net increase in operating assets of $5.3 million and a net increase in operating liabilities of $5.9 million. Net operating assets increased due to the timing of inventory purchases and accounts receivable due to the overall increase in sales in fiscal year 2025. Net operating liabilities increased primarily due to timing of payments.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used in operating activities during fiscal year 2024 consisted primarily of our net loss of $40.5 million, offset by non-cash charges of stock-based compensation of $5.4 million, depreciation and amortization of $1.1 million, and the change in fair value of our redeemable convertible preferred stock warrants. Additionally, we had a net increase in operating assets of $5.8 million and a net decrease in operating liabilities of $2.6 million. Net operating assets increased due to the timing of inventory purchases and accounts receivable due to the overall increase in sales in fiscal year 2024. Net operating liabilities decreased primarily due to timing of payments.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Investing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used in investing activities during fiscal years 2025 and 2024 was $118.1 million and $1.6 million, respectively, and consisted of purchases of marketable securities in 2025 and equipment and purchases of components for recorders provided to customers for both periods. This was offset by the maturity of marketable securities in 2025.</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Financing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provided by financing activities during fiscal year 2025 consisted primarily of proceeds from the exercise of options, offset by debt issuance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Net cash provided by financing activities during fiscal year 2024 consisted primarily of $187.8 million in proceeds from the IPO net of issuance costs, $7.6 million in net proceeds from debt issuance, and $1.1 million in proceeds from the exercise of options.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Contractual Obligations and Commitments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contractual obligations as of December 31, 2025 include:</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Debt </w:t>
      </w:r>
      <w:r>
        <w:rPr>
          <w:rFonts w:ascii="Times New Roman" w:hAnsi="Times New Roman"/>
          <w:color w:val="000000"/>
          <w:sz w:val="20"/>
        </w:rPr>
        <w:t>— Principal payments required on long-term debt outstanding as of December 31, 2025, was $20.0 million. Please refer to the section titled “Liquidity” in Note 1 for a discussion of changes in commitments.</w:t>
      </w:r>
    </w:p>
    <w:p>
      <w:pPr>
        <w:pStyle w:val="TextBody"/>
        <w:bidi w:val="0"/>
        <w:spacing w:before="240" w:after="283"/>
        <w:jc w:val="both"/>
        <w:rPr>
          <w:rFonts w:ascii="Times New Roman" w:hAnsi="Times New Roman"/>
          <w:sz w:val="20"/>
        </w:rPr>
      </w:pPr>
      <w:r>
        <w:rPr>
          <w:rFonts w:ascii="Times New Roman" w:hAnsi="Times New Roman"/>
          <w:i/>
          <w:color w:val="000000"/>
          <w:sz w:val="20"/>
        </w:rPr>
        <w:t>Operating leases</w:t>
      </w:r>
      <w:r>
        <w:rPr>
          <w:rFonts w:ascii="Times New Roman" w:hAnsi="Times New Roman"/>
          <w:color w:val="000000"/>
          <w:sz w:val="20"/>
        </w:rPr>
        <w:t xml:space="preserve"> — As of December 31, 2025, estimated contractual obligations for operating lease payments were $2.7 million due within 25 months.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Critical Accounting Policies, Significant Judgments, and Use of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management’s discussion and analysis of our financial condition and results of operations are based on our financial statements, which have been prepared in accordance with GAAP. The preparation of our financial statements and related disclosures requires us to make estimates and judgments that affect the reported amounts of assets, liabilities, expenses and the disclosure of our contingent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See Notes 2 and 3 to our financial statements elsewhere in this Annual Report for information about our significant accounting policies and how estimates are involved in the preparation of our financial statements. We believe the following reflect the critical accounting policies and estimates used in the preparation of our financial statements.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revenue is derived from the sale of its products to medical groups and hospitals through its direct sales force throughout the U.S. Performance obligations in the Company’s contracts that are satisfied at a point in time include Wearables. The Company recognizes revenue for its EEG Wearables upon transfer of control to the customer at a point in time. Performance obligations in the Company’s contracts that are satisfied over time include the EEG portal and Clarity software-as-a-service (SaaS) subscription products. For its Clarity and portal subscription products, the Company recognizes revenue ratably over the period in which the customer has the ability to consume and receive benefit from its access to the subscription, which is generally month to month. The Company’s Clarity subscriptions include the use of EEG recorders by the customer over the subscription term. The Company identifies the EEG recorders used in conjunction with a subscription as an operating lease component in its arrangements with its customers and identifies the subscription as a non-lease component in its arrangements with its customers, which the Company determined to be predominant. The lease and non-lease revenue components have similar patterns of revenue recognition, and as such, allows the Company to elect the practical expedient to not separate the lease and non-lease components. Therefore, the overall arrangement is accounted for under ASC 606.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accordance with ASC Topic 606, Revenue from Contracts with Customers (“ASC 606”), we recognize revenue when control is transferred to the customer, in an amount that reflects the consideration we expect to be entitled to in exchange for the goods or services. To recognize revenue, we apply the following five step approach: (1) identify the contract with a customer, (2) identify the performance obligations in the contract, (3) determine the transaction price, (4) allocate the transaction price to the performance obligations in the contract, and (5) recognize revenue when a performance obligation is satisfied. The Company accounts for a contract when both parties have approved the contract and the Company is committed to perform its obligations, the rights of the parties are identified, payment terms (generally net 30 days) are identified, the contract has commercial substance, and collectability of consideration is probable.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contracts where we have more than one performance obligation to provide our customer with goods or services, each performance obligation is evaluated to determine whether it is distinct. The consideration under the contract is then allocated between the distinct performance obligations based on their respective relative standalone selling prices. The estimated standalone selling price of each deliverable reflects our best estimate of what the selling price would be if the deliverable was regularly sold on a standalone basis and is determined by using an adjusted market assessment approach and residual approach if selling price on a standalone basis is not available.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consideration associated with customer contracts includes both fixed and variable amounts. Variable consideration includes discounts, rebates, credits, incentives, penalties, or other similar items. The amount of consideration that can vary is not material as a percentage of total annual consideration. Variable consideration estimates are reassessed at each reporting period until the contingency is resolved. The changes to the transaction price due to a change in estimated variable consideration are recorded as an adjustment to revenue in the period the estimate is changed. Changes to variable consideration are tracked and material changes are disclosed.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Valuation of Common Stock Options for Stock-Based Compensation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maintain an equity incentive plan to provide long-term incentives for employees, consultants, and members of the Board of Directors. The plan allows for the issuance of non-statutory and incentive stock options to employees and non-statutory stock options to consultants and non-employee directors. We are required to determine the fair value of equity incentive awards and recognize compensation expense for all equity incentive awards granted, including employee stock options.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account for stock-based compensation awards, including stock options to employees and non-employees, based on their estimated grant date fair value. We estimate the fair value of our stock options using the Black-Scholes option-pricing model.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recognize fair value of stock options, which vest based on continued service, on a straight-line basis over the requisite service period, which is generally four years. For performance-based grants, we estimate when and if they will be earned. If we consider such award to be probable, we recognize expense over the estimated service period, which would be the estimated period of performance. If we do not consider such awards probable of achievement, we recognize no amount of stock-based compensation. We account for forfeitures as they occur.</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Determining the grant date fair value of options using the Black-Scholes option pricing model requires management to make assumptions and judgments. Changes in the assumptions can materially affect the fair value and ultimately the amount of stock-based compensation expense recognized. These inputs are subjective and generally require significant analysis and judgment to develop. Changes in the following assumptions and judgments can materially affect the estimate of the fair value of stock-based compensation:</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Expected Term</w:t>
      </w:r>
      <w:r>
        <w:rPr>
          <w:color w:val="000000"/>
        </w:rPr>
        <w:t>—</w:t>
      </w:r>
      <w:r>
        <w:rPr>
          <w:rFonts w:ascii="Times New Roman" w:hAnsi="Times New Roman"/>
          <w:color w:val="000000"/>
          <w:sz w:val="20"/>
        </w:rPr>
        <w:t xml:space="preserve">The expected term represents the period that the stock-based awards are expected to be outstanding. We estimated the expected term based on an average of the midpoint of the requisite service period and the contractual term, and the historical exercise behavior.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Expected Volatility</w:t>
      </w:r>
      <w:r>
        <w:rPr>
          <w:color w:val="000000"/>
        </w:rPr>
        <w:t>—</w:t>
      </w:r>
      <w:r>
        <w:rPr>
          <w:rFonts w:ascii="Times New Roman" w:hAnsi="Times New Roman"/>
          <w:color w:val="000000"/>
          <w:sz w:val="20"/>
        </w:rPr>
        <w:t>Since there is limited company specific historical volatility, we have determined the share price volatility for options granted based on a weighted analysis of the volatility of a peer group of publicly traded companies in addition to the Company's historical volatility. In evaluating similarity of the peer group, we consider factors such as industry, stage of life cycle, and size.</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Risk-Free Interest Rate</w:t>
      </w:r>
      <w:r>
        <w:rPr>
          <w:color w:val="000000"/>
        </w:rPr>
        <w:t>—</w:t>
      </w:r>
      <w:r>
        <w:rPr>
          <w:rFonts w:ascii="Times New Roman" w:hAnsi="Times New Roman"/>
          <w:color w:val="000000"/>
          <w:sz w:val="20"/>
        </w:rPr>
        <w:t>The risk-free interest rate is calculated using the average of the published interest rates of U.S. Treasury zero-coupon issues with maturities that are commensurate with the expected term.</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Dividend Yield</w:t>
      </w:r>
      <w:r>
        <w:rPr>
          <w:color w:val="000000"/>
        </w:rPr>
        <w:t>—</w:t>
      </w:r>
      <w:r>
        <w:rPr>
          <w:rFonts w:ascii="Times New Roman" w:hAnsi="Times New Roman"/>
          <w:color w:val="000000"/>
          <w:sz w:val="20"/>
        </w:rPr>
        <w:t>The dividend yield assumption is zero, as we have no history of, or plans to make, dividend payments.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weighted-average assumptions were used for the Black-Scholes option pricing model:</w:t>
      </w:r>
    </w:p>
    <w:p>
      <w:pPr>
        <w:pStyle w:val="TextBody"/>
        <w:bidi w:val="0"/>
        <w:spacing w:before="240" w:after="283"/>
        <w:jc w:val="both"/>
        <w:rPr/>
      </w:pPr>
      <w:r>
        <w:rPr/>
        <w:t> </w:t>
      </w:r>
    </w:p>
    <w:tbl>
      <w:tblPr>
        <w:tblW w:w="4481" w:type="dxa"/>
        <w:jc w:val="left"/>
        <w:tblInd w:w="0" w:type="dxa"/>
        <w:tblLayout w:type="fixed"/>
        <w:tblCellMar>
          <w:top w:w="28" w:type="dxa"/>
          <w:left w:w="28" w:type="dxa"/>
          <w:bottom w:w="28" w:type="dxa"/>
          <w:right w:w="28" w:type="dxa"/>
        </w:tblCellMar>
      </w:tblPr>
      <w:tblGrid>
        <w:gridCol w:w="2086"/>
        <w:gridCol w:w="146"/>
        <w:gridCol w:w="146"/>
        <w:gridCol w:w="466"/>
        <w:gridCol w:w="271"/>
        <w:gridCol w:w="146"/>
        <w:gridCol w:w="146"/>
        <w:gridCol w:w="146"/>
        <w:gridCol w:w="466"/>
        <w:gridCol w:w="271"/>
        <w:gridCol w:w="19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9" w:type="dxa"/>
            <w:gridSpan w:val="9"/>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Upon the completion of our IPO, our common stock was publicly traded and is therefore subject to potentially significant fluctuations in the market price. Increases and decreases in the market price of our common stock also increase and decrease the fair value of our stock-based awards granted in future periods.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See Note 11 to our financial statements included elsewhere in this Annual Report for further details.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Emerging Growth Company and Smaller Reporting Company Status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an emerging growth company, as defined in the JOBS Act. The JOBS Act permits an “emerging growth company” such as us to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for any other new or revised accounting standards during the period in which we remain an emerging growth company; however, we may adopt certain new or revised accounting standards early. As a result, we will not be subject to the same new or revised accounting standards as other public companies that are not emerging growth companies and our financial statements may not be comparable to other public companies that comply with new or revised accounting pronouncements as of public company effective dates. The JOBS Act also exempts us from having to provide an attestation and report from our independent registered public accounting firm on the assessment of our internal control over financial reporting pursuant to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will remain an emerging growth company until the earliest of: (i) the last day of the fiscal year following the fifth anniversary of the completion of our IPO; (ii) the last day of the fiscal year in which we have total annual gross revenue of at least $1.235 billion; (iii)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 We cannot predict if investors will find our shares of common stock less attractive because we may rely on these exemptions. If some investors find our shares of common stock less attractive as a result, there may be a less active trading market for shares of our common stock and our share price may be more volatile.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Recently Issued Accounting Pronouncements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See Note 2 to our financial statements included elsewhere in this Annual Report for a description of recent accounting pronouncements applicable to our financial statements.</w:t>
      </w:r>
    </w:p>
    <w:p>
      <w:pPr>
        <w:pStyle w:val="TextBody"/>
        <w:bidi w:val="0"/>
        <w:spacing w:before="360" w:after="283"/>
        <w:jc w:val="both"/>
        <w:rPr>
          <w:rFonts w:ascii="Times New Roman" w:hAnsi="Times New Roman"/>
          <w:b/>
          <w:color w:val="000000"/>
          <w:sz w:val="20"/>
        </w:rPr>
      </w:pPr>
      <w:bookmarkStart w:id="13" w:name="quantitative_and_qualitative_disclosures"/>
      <w:bookmarkEnd w:id="13"/>
      <w:r>
        <w:rPr>
          <w:rFonts w:ascii="Times New Roman" w:hAnsi="Times New Roman"/>
          <w:b/>
          <w:color w:val="000000"/>
          <w:sz w:val="20"/>
        </w:rPr>
        <w:t>Item 7A. Quantitative and Qualitative Disclosures About Market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 smaller reporting company, as defined by Rule 12b-2 under the Securities Exchange Act of 1934, as amended, and in Item 10(f)(1) of Regulation S-K, and are not required to provide the information under this item.</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4" w:name="financial_statements_supplementary_data"/>
      <w:bookmarkEnd w:id="14"/>
      <w:r>
        <w:rPr>
          <w:rFonts w:ascii="Times New Roman" w:hAnsi="Times New Roman"/>
          <w:b/>
          <w:color w:val="000000"/>
          <w:sz w:val="20"/>
        </w:rPr>
        <w:t>Item 8. Financial Statements and Supplementary Data.</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INDEX TO FINANCIAL STATEMENTS</w:t>
      </w:r>
    </w:p>
    <w:p>
      <w:pPr>
        <w:pStyle w:val="TextBody"/>
        <w:bidi w:val="0"/>
        <w:jc w:val="left"/>
        <w:rPr/>
      </w:pPr>
      <w:r>
        <w:rPr/>
        <w:t> </w:t>
      </w:r>
    </w:p>
    <w:tbl>
      <w:tblPr>
        <w:tblW w:w="6838" w:type="dxa"/>
        <w:jc w:val="left"/>
        <w:tblInd w:w="0" w:type="dxa"/>
        <w:tblLayout w:type="fixed"/>
        <w:tblCellMar>
          <w:top w:w="28" w:type="dxa"/>
          <w:left w:w="28" w:type="dxa"/>
          <w:bottom w:w="28" w:type="dxa"/>
          <w:right w:w="28" w:type="dxa"/>
        </w:tblCellMar>
      </w:tblPr>
      <w:tblGrid>
        <w:gridCol w:w="6331"/>
        <w:gridCol w:w="146"/>
        <w:gridCol w:w="361"/>
      </w:tblGrid>
      <w:tr>
        <w:trPr/>
        <w:tc>
          <w:tcPr>
            <w:tcW w:w="6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Audited Financial Statements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eport">
              <w:r>
                <w:rPr>
                  <w:rStyle w:val="InternetLink"/>
                  <w:rFonts w:ascii="Times New Roman" w:hAnsi="Times New Roman"/>
                  <w:color w:val="0000FF"/>
                  <w:sz w:val="20"/>
                  <w:u w:val="single"/>
                </w:rPr>
                <w:t>Report of Independent Registered Public Accounting Firm (PCAOB ID: 238)</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s">
              <w:r>
                <w:rPr>
                  <w:rStyle w:val="InternetLink"/>
                  <w:rFonts w:ascii="Times New Roman" w:hAnsi="Times New Roman"/>
                  <w:color w:val="0000FF"/>
                  <w:sz w:val="20"/>
                  <w:u w:val="single"/>
                </w:rPr>
                <w:t>Balance Sheets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mt_of_operations_comp_loss">
              <w:r>
                <w:rPr>
                  <w:rStyle w:val="InternetLink"/>
                  <w:rFonts w:ascii="Times New Roman" w:hAnsi="Times New Roman"/>
                  <w:color w:val="0000FF"/>
                  <w:sz w:val="20"/>
                  <w:u w:val="single"/>
                </w:rPr>
                <w:t>Statements of Operations and Comprehensive Loss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equity">
              <w:r>
                <w:rPr>
                  <w:rStyle w:val="InternetLink"/>
                  <w:rFonts w:ascii="Times New Roman" w:hAnsi="Times New Roman"/>
                  <w:color w:val="0000FF"/>
                  <w:sz w:val="20"/>
                  <w:u w:val="single"/>
                </w:rPr>
                <w:t>Statements of Stockholders’ Equity</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cash_flows">
              <w:r>
                <w:rPr>
                  <w:rStyle w:val="InternetLink"/>
                  <w:rFonts w:ascii="Times New Roman" w:hAnsi="Times New Roman"/>
                  <w:color w:val="0000FF"/>
                  <w:sz w:val="20"/>
                  <w:u w:val="single"/>
                </w:rPr>
                <w:t>Statements of Cash Flows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financial_statements">
              <w:r>
                <w:rPr>
                  <w:rStyle w:val="InternetLink"/>
                  <w:rFonts w:ascii="Times New Roman" w:hAnsi="Times New Roman"/>
                  <w:color w:val="0000FF"/>
                  <w:sz w:val="20"/>
                  <w:u w:val="single"/>
                </w:rPr>
                <w:t>Notes to Financial Statements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5" w:name="report"/>
      <w:bookmarkEnd w:id="15"/>
      <w:r>
        <w:rPr>
          <w:rFonts w:ascii="Times New Roman" w:hAnsi="Times New Roman"/>
          <w:b/>
          <w:i/>
          <w:color w:val="000000"/>
          <w:sz w:val="20"/>
        </w:rPr>
        <w:t>Report of Independent Registered Public Accounting Firm</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the Board of Directors and Stockholders of CeriBell, Inc.</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Opinion on the Financial Statements</w:t>
      </w:r>
    </w:p>
    <w:p>
      <w:pPr>
        <w:pStyle w:val="TextBody"/>
        <w:bidi w:val="0"/>
        <w:jc w:val="left"/>
        <w:rPr>
          <w:rFonts w:ascii="Times New Roman" w:hAnsi="Times New Roman"/>
          <w:color w:val="000000"/>
          <w:sz w:val="20"/>
        </w:rPr>
      </w:pPr>
      <w:r>
        <w:rPr>
          <w:rFonts w:ascii="Times New Roman" w:hAnsi="Times New Roman"/>
          <w:color w:val="000000"/>
          <w:sz w:val="20"/>
        </w:rPr>
        <w:t xml:space="preserve">We have audited the accompanying balance sheets of CeriBell, Inc. (the "Company") as of December 31, 2025 and 2024, and the related statements of operations and comprehensive loss, of stockholders’ equity and of cash flows for the years then ended, including the related notes (collectively referred to as the "financial statements"). In our opinion, the financial statements present fairly, in all material respects, the financial position of the Company as of December 31, 2025 and 2024, and the results of its operations and its cash flows for the years then ended in conformity with accounting principles generally accepted in the United States of America. </w:t>
      </w:r>
    </w:p>
    <w:p>
      <w:pPr>
        <w:pStyle w:val="TextBody"/>
        <w:bidi w:val="0"/>
        <w:jc w:val="left"/>
        <w:rPr>
          <w:rFonts w:ascii="Times New Roman" w:hAnsi="Times New Roman"/>
          <w:b/>
          <w:i/>
          <w:color w:val="000000"/>
          <w:sz w:val="20"/>
        </w:rPr>
      </w:pPr>
      <w:r>
        <w:rPr>
          <w:rFonts w:ascii="Times New Roman" w:hAnsi="Times New Roman"/>
          <w:b/>
          <w:i/>
          <w:color w:val="000000"/>
          <w:sz w:val="20"/>
        </w:rPr>
        <w:t>Basis for Opinion</w:t>
      </w:r>
    </w:p>
    <w:p>
      <w:pPr>
        <w:pStyle w:val="TextBody"/>
        <w:bidi w:val="0"/>
        <w:jc w:val="left"/>
        <w:rPr>
          <w:rFonts w:ascii="Times New Roman" w:hAnsi="Times New Roman"/>
          <w:color w:val="000000"/>
          <w:sz w:val="20"/>
        </w:rPr>
      </w:pPr>
      <w:r>
        <w:rPr>
          <w:rFonts w:ascii="Times New Roman" w:hAnsi="Times New Roman"/>
          <w:color w:val="000000"/>
          <w:sz w:val="20"/>
        </w:rPr>
        <w:t xml:space="preserve">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jc w:val="left"/>
        <w:rPr>
          <w:rFonts w:ascii="Times New Roman" w:hAnsi="Times New Roman"/>
          <w:color w:val="000000"/>
          <w:sz w:val="20"/>
        </w:rPr>
      </w:pPr>
      <w:r>
        <w:rPr>
          <w:rFonts w:ascii="Times New Roman" w:hAnsi="Times New Roman"/>
          <w:color w:val="000000"/>
          <w:sz w:val="20"/>
        </w:rPr>
        <w:t xml:space="preserve">We conducted our audits of these financial statements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jc w:val="left"/>
        <w:rPr>
          <w:rFonts w:ascii="Times New Roman" w:hAnsi="Times New Roman"/>
          <w:color w:val="000000"/>
          <w:sz w:val="20"/>
        </w:rPr>
      </w:pPr>
      <w:r>
        <w:rPr>
          <w:rFonts w:ascii="Times New Roman" w:hAnsi="Times New Roman"/>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jc w:val="left"/>
        <w:rPr>
          <w:rFonts w:ascii="Times New Roman" w:hAnsi="Times New Roman"/>
          <w:color w:val="000000"/>
          <w:sz w:val="20"/>
        </w:rPr>
      </w:pPr>
      <w:r>
        <w:rPr>
          <w:rFonts w:ascii="Times New Roman" w:hAnsi="Times New Roman"/>
          <w:color w:val="000000"/>
          <w:sz w:val="20"/>
        </w:rPr>
        <w:t>/s/PricewaterhouseCoopers LLP</w:t>
      </w:r>
    </w:p>
    <w:p>
      <w:pPr>
        <w:pStyle w:val="TextBody"/>
        <w:bidi w:val="0"/>
        <w:jc w:val="left"/>
        <w:rPr>
          <w:rFonts w:ascii="Times New Roman" w:hAnsi="Times New Roman"/>
          <w:color w:val="000000"/>
          <w:sz w:val="20"/>
        </w:rPr>
      </w:pPr>
      <w:r>
        <w:rPr>
          <w:rFonts w:ascii="Times New Roman" w:hAnsi="Times New Roman"/>
          <w:color w:val="000000"/>
          <w:sz w:val="20"/>
        </w:rPr>
        <w:t>San Jose, California</w:t>
      </w:r>
    </w:p>
    <w:p>
      <w:pPr>
        <w:pStyle w:val="TextBody"/>
        <w:bidi w:val="0"/>
        <w:jc w:val="left"/>
        <w:rPr>
          <w:rFonts w:ascii="Times New Roman" w:hAnsi="Times New Roman"/>
          <w:color w:val="000000"/>
          <w:sz w:val="20"/>
        </w:rPr>
      </w:pPr>
      <w:r>
        <w:rPr>
          <w:rFonts w:ascii="Times New Roman" w:hAnsi="Times New Roman"/>
          <w:color w:val="000000"/>
          <w:sz w:val="20"/>
        </w:rPr>
        <w:t>February 24, 2026</w:t>
      </w:r>
    </w:p>
    <w:p>
      <w:pPr>
        <w:pStyle w:val="TextBody"/>
        <w:bidi w:val="0"/>
        <w:jc w:val="left"/>
        <w:rPr>
          <w:rFonts w:ascii="Times New Roman" w:hAnsi="Times New Roman"/>
          <w:color w:val="000000"/>
          <w:sz w:val="20"/>
        </w:rPr>
      </w:pPr>
      <w:r>
        <w:rPr>
          <w:rFonts w:ascii="Times New Roman" w:hAnsi="Times New Roman"/>
          <w:color w:val="000000"/>
          <w:sz w:val="20"/>
        </w:rPr>
        <w:t>We have served as the Company's auditor since 2022.</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CeriBell, Inc.</w:t>
      </w:r>
    </w:p>
    <w:p>
      <w:pPr>
        <w:pStyle w:val="TextBody"/>
        <w:bidi w:val="0"/>
        <w:jc w:val="center"/>
        <w:rPr>
          <w:rFonts w:ascii="Times New Roman" w:hAnsi="Times New Roman"/>
          <w:b/>
          <w:color w:val="000000"/>
          <w:sz w:val="20"/>
        </w:rPr>
      </w:pPr>
      <w:bookmarkStart w:id="16" w:name="balance_sheets"/>
      <w:bookmarkEnd w:id="16"/>
      <w:r>
        <w:rPr>
          <w:rFonts w:ascii="Times New Roman" w:hAnsi="Times New Roman"/>
          <w:b/>
          <w:color w:val="000000"/>
          <w:sz w:val="20"/>
        </w:rPr>
        <w:t>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34"/>
        <w:gridCol w:w="146"/>
        <w:gridCol w:w="219"/>
        <w:gridCol w:w="841"/>
        <w:gridCol w:w="166"/>
        <w:gridCol w:w="146"/>
        <w:gridCol w:w="219"/>
        <w:gridCol w:w="841"/>
        <w:gridCol w:w="393"/>
      </w:tblGrid>
      <w:tr>
        <w:trPr/>
        <w:tc>
          <w:tcPr>
            <w:tcW w:w="72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7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40,476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194,370</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118,785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10,878</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6,937</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Contract costs,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1,837</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3,250</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186,718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217,272</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2,313</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2,132</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Contract costs, long-term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1,507</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2,188</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195,803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225,412</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1,143</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10,052</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Contract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liability,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1,088</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06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609</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7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19,190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12,989</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Notes payable, long-term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19,558</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Contract liabilities, 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liabilities, long-term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356</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liability, 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1,314</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21,277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21,258</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40,467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34,247</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 xml:space="preserve">Commitments and contingencies </w:t>
            </w:r>
            <w:r>
              <w:rPr>
                <w:rFonts w:ascii="Times New Roman" w:hAnsi="Times New Roman"/>
                <w:color w:val="000000"/>
                <w:sz w:val="18"/>
              </w:rPr>
              <w:t>(Note 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18"/>
              </w:rPr>
              <w:t>Preferred stock, $0.001</w:t>
            </w:r>
            <w:r>
              <w:rPr>
                <w:rFonts w:ascii="Times New Roman" w:hAnsi="Times New Roman"/>
                <w:color w:val="000000"/>
                <w:sz w:val="20"/>
              </w:rPr>
              <w:t> </w:t>
            </w:r>
            <w:r>
              <w:rPr>
                <w:rFonts w:ascii="Times New Roman" w:hAnsi="Times New Roman"/>
                <w:b/>
                <w:color w:val="000000"/>
                <w:sz w:val="18"/>
              </w:rPr>
              <w:t>par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Authorized shares: 10,000,000</w:t>
            </w:r>
            <w:r>
              <w:rPr>
                <w:rFonts w:ascii="Times New Roman" w:hAnsi="Times New Roman"/>
                <w:color w:val="000000"/>
                <w:sz w:val="20"/>
              </w:rPr>
              <w:t> </w:t>
            </w:r>
            <w:r>
              <w:rPr>
                <w:rFonts w:ascii="Times New Roman" w:hAnsi="Times New Roman"/>
                <w:color w:val="000000"/>
                <w:sz w:val="18"/>
              </w:rPr>
              <w:t>as of December 31, 2025 and December 31,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Issued and outstanding shares: none</w:t>
            </w:r>
            <w:r>
              <w:rPr>
                <w:rFonts w:ascii="Times New Roman" w:hAnsi="Times New Roman"/>
                <w:color w:val="000000"/>
                <w:sz w:val="20"/>
              </w:rPr>
              <w:t> </w:t>
            </w:r>
            <w:r>
              <w:rPr>
                <w:rFonts w:ascii="Times New Roman" w:hAnsi="Times New Roman"/>
                <w:color w:val="000000"/>
                <w:sz w:val="18"/>
              </w:rPr>
              <w:t>as of December 31, 2025 and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18"/>
              </w:rPr>
              <w:t>Common stock, $0.001</w:t>
            </w:r>
            <w:r>
              <w:rPr>
                <w:rFonts w:ascii="Times New Roman" w:hAnsi="Times New Roman"/>
                <w:color w:val="000000"/>
                <w:sz w:val="20"/>
              </w:rPr>
              <w:t> </w:t>
            </w:r>
            <w:r>
              <w:rPr>
                <w:rFonts w:ascii="Times New Roman" w:hAnsi="Times New Roman"/>
                <w:b/>
                <w:color w:val="000000"/>
                <w:sz w:val="18"/>
              </w:rPr>
              <w:t>par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Authorized shares: 500,000,000</w:t>
            </w:r>
            <w:r>
              <w:rPr>
                <w:rFonts w:ascii="Times New Roman" w:hAnsi="Times New Roman"/>
                <w:color w:val="000000"/>
                <w:sz w:val="20"/>
              </w:rPr>
              <w:t> </w:t>
            </w:r>
            <w:r>
              <w:rPr>
                <w:rFonts w:ascii="Times New Roman" w:hAnsi="Times New Roman"/>
                <w:color w:val="000000"/>
                <w:sz w:val="18"/>
              </w:rPr>
              <w:t>as of December 31, 2025 and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Issued and outstanding shares: 37,485,124</w:t>
            </w:r>
            <w:r>
              <w:rPr>
                <w:rFonts w:ascii="Times New Roman" w:hAnsi="Times New Roman"/>
                <w:color w:val="000000"/>
                <w:sz w:val="20"/>
              </w:rPr>
              <w:t> </w:t>
            </w:r>
            <w:r>
              <w:rPr>
                <w:rFonts w:ascii="Times New Roman" w:hAnsi="Times New Roman"/>
                <w:color w:val="000000"/>
                <w:sz w:val="18"/>
              </w:rPr>
              <w:t>and 35,850,606</w:t>
            </w:r>
            <w:r>
              <w:rPr>
                <w:rFonts w:ascii="Times New Roman" w:hAnsi="Times New Roman"/>
                <w:color w:val="000000"/>
                <w:sz w:val="20"/>
              </w:rPr>
              <w:t> </w:t>
            </w:r>
            <w:r>
              <w:rPr>
                <w:rFonts w:ascii="Times New Roman" w:hAnsi="Times New Roman"/>
                <w:color w:val="000000"/>
                <w:sz w:val="18"/>
              </w:rPr>
              <w:t>as of December 31, 2025 and December 31,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375,495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358,073</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Accumulated 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(220,356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(166,944</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155,336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191,165</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195,803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225,412</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CeriBell, Inc.</w:t>
      </w:r>
    </w:p>
    <w:p>
      <w:pPr>
        <w:pStyle w:val="TextBody"/>
        <w:bidi w:val="0"/>
        <w:jc w:val="center"/>
        <w:rPr>
          <w:rFonts w:ascii="Times New Roman" w:hAnsi="Times New Roman"/>
          <w:b/>
          <w:color w:val="000000"/>
          <w:sz w:val="20"/>
        </w:rPr>
      </w:pPr>
      <w:bookmarkStart w:id="17" w:name="stmt_of_operations_comp_loss"/>
      <w:bookmarkEnd w:id="17"/>
      <w:r>
        <w:rPr>
          <w:rFonts w:ascii="Times New Roman" w:hAnsi="Times New Roman"/>
          <w:b/>
          <w:color w:val="000000"/>
          <w:sz w:val="20"/>
        </w:rPr>
        <w:t>Statements of Operations and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62"/>
        <w:gridCol w:w="146"/>
        <w:gridCol w:w="211"/>
        <w:gridCol w:w="1036"/>
        <w:gridCol w:w="166"/>
        <w:gridCol w:w="146"/>
        <w:gridCol w:w="211"/>
        <w:gridCol w:w="1036"/>
        <w:gridCol w:w="391"/>
      </w:tblGrid>
      <w:tr>
        <w:trPr/>
        <w:tc>
          <w:tcPr>
            <w:tcW w:w="68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8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50,079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Subscription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89,063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65,444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cost of goods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Subscription 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10,789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8,694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78,274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56,750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49,055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33,842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136,676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96,459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(58,402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(39,709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8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(53,412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(40,455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8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(53,412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(40,455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8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per share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Weighted-average shares used in computing net loss per share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36,542,048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11,949,973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gain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(53,253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(40,455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CeriBell, Inc.</w:t>
      </w:r>
    </w:p>
    <w:p>
      <w:pPr>
        <w:pStyle w:val="TextBody"/>
        <w:bidi w:val="0"/>
        <w:jc w:val="center"/>
        <w:rPr>
          <w:rFonts w:ascii="Times New Roman" w:hAnsi="Times New Roman"/>
          <w:b/>
          <w:color w:val="000000"/>
          <w:sz w:val="20"/>
        </w:rPr>
      </w:pPr>
      <w:bookmarkStart w:id="18" w:name="equity"/>
      <w:bookmarkEnd w:id="18"/>
      <w:r>
        <w:rPr>
          <w:rFonts w:ascii="Times New Roman" w:hAnsi="Times New Roman"/>
          <w:b/>
          <w:color w:val="000000"/>
          <w:sz w:val="20"/>
        </w:rPr>
        <w:t>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both"/>
        <w:rPr/>
      </w:pPr>
      <w:r>
        <w:rPr/>
        <w:t> </w:t>
      </w:r>
    </w:p>
    <w:tbl>
      <w:tblPr>
        <w:tblW w:w="11243" w:type="dxa"/>
        <w:jc w:val="left"/>
        <w:tblInd w:w="0" w:type="dxa"/>
        <w:tblLayout w:type="fixed"/>
        <w:tblCellMar>
          <w:top w:w="28" w:type="dxa"/>
          <w:left w:w="28" w:type="dxa"/>
          <w:bottom w:w="28" w:type="dxa"/>
          <w:right w:w="28" w:type="dxa"/>
        </w:tblCellMar>
      </w:tblPr>
      <w:tblGrid>
        <w:gridCol w:w="1171"/>
        <w:gridCol w:w="146"/>
        <w:gridCol w:w="146"/>
        <w:gridCol w:w="976"/>
        <w:gridCol w:w="166"/>
        <w:gridCol w:w="146"/>
        <w:gridCol w:w="196"/>
        <w:gridCol w:w="751"/>
        <w:gridCol w:w="166"/>
        <w:gridCol w:w="146"/>
        <w:gridCol w:w="146"/>
        <w:gridCol w:w="146"/>
        <w:gridCol w:w="916"/>
        <w:gridCol w:w="166"/>
        <w:gridCol w:w="146"/>
        <w:gridCol w:w="146"/>
        <w:gridCol w:w="346"/>
        <w:gridCol w:w="146"/>
        <w:gridCol w:w="146"/>
        <w:gridCol w:w="196"/>
        <w:gridCol w:w="691"/>
        <w:gridCol w:w="166"/>
        <w:gridCol w:w="146"/>
        <w:gridCol w:w="349"/>
        <w:gridCol w:w="672"/>
        <w:gridCol w:w="146"/>
        <w:gridCol w:w="146"/>
        <w:gridCol w:w="196"/>
        <w:gridCol w:w="751"/>
        <w:gridCol w:w="166"/>
        <w:gridCol w:w="146"/>
        <w:gridCol w:w="196"/>
        <w:gridCol w:w="751"/>
        <w:gridCol w:w="211"/>
      </w:tblGrid>
      <w:tr>
        <w:trPr/>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Redeemable Convertible</w:t>
              <w:br/>
              <w:t>Preferred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Accumulated Other Comprehensive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 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Income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Equity (Deficit)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17,817,643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147,412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5,430,298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14,232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(126,489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(112,252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Conversion of redeemable convertible preferred stock to common stock on IPO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(17,817,643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(147,412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17,817,643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147,394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147,412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Conversion of redeemable convertible preferred stock warrants to common stock warrants on IPO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Issuance of common stock upon IPO, net of offering costs of $5.0</w:t>
            </w:r>
            <w:r>
              <w:rPr>
                <w:rFonts w:ascii="Times New Roman" w:hAnsi="Times New Roman"/>
                <w:color w:val="000000"/>
                <w:sz w:val="20"/>
              </w:rPr>
              <w:t> </w:t>
            </w:r>
            <w:r>
              <w:rPr>
                <w:rFonts w:ascii="Times New Roman" w:hAnsi="Times New Roman"/>
                <w:color w:val="000000"/>
                <w:sz w:val="16"/>
              </w:rPr>
              <w:t>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12,196,969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187,774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187,786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restricted stock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pursuant to stock option exercises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404,457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5,411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(40,455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(40,455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35,850,606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358,073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(166,944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191,165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restricted stock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199,975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Tax withholding related to settlement or vesting of equity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1,449,696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5,437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12,223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(53,412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(53,412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37,485,124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375,495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(220,356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155,336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bookmarkStart w:id="19" w:name="range_a2_q15"/>
      <w:bookmarkEnd w:id="19"/>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financial statements.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CeriBell, Inc.</w:t>
      </w:r>
    </w:p>
    <w:p>
      <w:pPr>
        <w:pStyle w:val="TextBody"/>
        <w:bidi w:val="0"/>
        <w:jc w:val="center"/>
        <w:rPr>
          <w:rFonts w:ascii="Times New Roman" w:hAnsi="Times New Roman"/>
          <w:b/>
          <w:color w:val="000000"/>
          <w:sz w:val="20"/>
        </w:rPr>
      </w:pPr>
      <w:bookmarkStart w:id="20" w:name="statements_of_cash_flows"/>
      <w:bookmarkEnd w:id="20"/>
      <w:r>
        <w:rPr>
          <w:rFonts w:ascii="Times New Roman" w:hAnsi="Times New Roman"/>
          <w:b/>
          <w:color w:val="000000"/>
          <w:sz w:val="20"/>
        </w:rPr>
        <w:t>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92"/>
        <w:gridCol w:w="146"/>
        <w:gridCol w:w="211"/>
        <w:gridCol w:w="841"/>
        <w:gridCol w:w="166"/>
        <w:gridCol w:w="146"/>
        <w:gridCol w:w="211"/>
        <w:gridCol w:w="781"/>
        <w:gridCol w:w="811"/>
      </w:tblGrid>
      <w:tr>
        <w:trPr/>
        <w:tc>
          <w:tcPr>
            <w:tcW w:w="68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8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68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(53,412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(40,455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w:t>
            </w:r>
          </w:p>
        </w:tc>
      </w:tr>
      <w:tr>
        <w:trPr/>
        <w:tc>
          <w:tcPr>
            <w:tcW w:w="68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8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Noncash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Amortization of debt discount and accretion of premium on term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Accretion (amortization) of discount and premium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 in fair value of 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on disposal of property and equipment and recorders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89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89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89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89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Contract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89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Other non-current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89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89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Accrued liabilities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89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(40,808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(35,043</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8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recorder components and recorders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(210,815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maturities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(118,137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(1,598</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8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related to employee stock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Taxes withheld and paid related to settlement or vesting of equity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debt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Debt issuance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deferred IPO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IPO, net of commissions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192,834</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196,516</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increase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(153,894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159,875</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194,370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34,495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40,476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194,370</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1,952</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asset obtained in exchange for operating lease obligation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778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included in accounts payable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Recorder components included in accounts payable and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Conversion of redeemable convertible preferred stock into common stock on completion of IPO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147,412</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Ceribell, Inc.</w:t>
      </w:r>
    </w:p>
    <w:p>
      <w:pPr>
        <w:pStyle w:val="TextBody"/>
        <w:bidi w:val="0"/>
        <w:jc w:val="center"/>
        <w:rPr>
          <w:rFonts w:ascii="Times New Roman" w:hAnsi="Times New Roman"/>
          <w:b/>
          <w:color w:val="000000"/>
          <w:sz w:val="20"/>
        </w:rPr>
      </w:pPr>
      <w:bookmarkStart w:id="21" w:name="notes_to_financial_statements"/>
      <w:bookmarkEnd w:id="21"/>
      <w:r>
        <w:rPr>
          <w:rFonts w:ascii="Times New Roman" w:hAnsi="Times New Roman"/>
          <w:b/>
          <w:color w:val="000000"/>
          <w:sz w:val="20"/>
        </w:rPr>
        <w:t>Notes to Financial Statements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The Company</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Organization and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CeriBell, Inc. (the “Company”) was incorporated in the state of Delaware as Brain Stethoscope, Inc., on August 29, 2014, and changed its name to CeriBell, Inc. on August 11, 2015, and maintains its principal office in Sunnyvale, California. The Company is a medical technology company focused on transforming the diagnosis and management of patients with serious neurological conditions.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has developed the Ceribell System, a novel, point-of-care electroencephalography (“EEG”) platform specifically designed to address the unmet needs of patients in the acute care setting. By combining proprietary, highly portable and rapidly deployable hardware with sophisticated artificial intelligence (“AI”)-powered algorithms, the Ceribell System enables rapid diagnosis and continuous monitoring of patients with neurological conditions.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December 31, 2025, the Company’s principal sources of liquidity consisted of $159.3 million of cash and cash equivalents and marketable securities.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has incurred operating losses and negative cash flows from operations since its inception. On December 31, 2025, the Company had an accumulated deficit of $220.4 million. Such losses primarily resulted from the costs incurred in the development and sales and marketing of the Company’s products and building the Company’s organization. The Company expects to incur losses in the near term as it continues to focus on the development and promotion of new and existing products and expand its corporate infrastructure, including the costs associated with being a public company.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the Company’s current operating plan, the Company believes that its existing cash and cash equivalents will be sufficient to fund the Company’s planned operating expenses and capital expenditure requirements for at least the next 12 months from the date of issuance of these financial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However, the Company may experience lower than expected cash generated from operating activities or greater than expected capital expenditures, cost of revenue, or operating expenses, and may need to raise additional capital to fund operations, further research and development activities, or acquire, invest in, or license other businesses, assets, or technologies. The Company’s future capital needs will depend upon many factors, including the market acceptance of the Company’s products, the cost and pace of developing new products, and the costs of supporting sales growth.</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Risks and Uncertainties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is subject to risks common to companies in the medical device industry, including, but not limited to, new technological innovations, dependence upon third-party payers to provide adequate coverage and reimbursement, dependence on key personnel, dependence on key suppliers, protection of proprietary technology, product liability, and compliance with government regulations. There can be no assurance that the Company’s products or services will be accepted in the marketplace, nor can there be any assurance that any future products or services can be developed or manufactured at an acceptable cost and with appropriate performance characteristics, or that such products or services will be successfully marketed, if at all. These factors could have a material adverse effect on the Company’s future financial results, financial position, and cash flow.</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inflationary and supply chain pressures may adversely impact the Company’s future financial results. The Company’s operating costs have increased and may continue to increase because of these pressures, and the Company may not be able to fully offset these cost increases by raising prices for products or subscription fees, which could result in downward pressure on margins.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Adverse economic conditions in the U.S., including any economic disruptions related to another or worsening global pandemic or a recession, could negatively impact the Company’s revenues and results of operations. The global credit and financial markets continue to experience volatility and disruptions, including diminished liquidity and credit availability, increased concerns about inflation, and uncertainty about economic stability. Events including a potential recession have caused economic, market, and political uncertainty. Volatility and disruption of financial markets could limit the Company's customers’ ability to obtain adequate financing or credit to purchase and pay for products in a timely manner or to maintain operations, which could result in a decrease in sales volume that could harm the Company’s results of operations. General concerns about the fundamental soundness of the U.S. economy may also cause customers to reduce their purchases. Changes in governmental banking, monetary, and fiscal policies to address liquidity and increase credit availability may not be effective. Continuation or further deterioration of these financial and macroeconomic conditions could harm the Company's sales, profitability, and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utilizes contract manufacturers in China and Vietnam to supply key sub-assemblies for its primary products. In addition, political instability or the deterioration of trade relations between the United States and either of these countries could adversely impact the Company’s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minimize supply chain disruptions, the Company continues to maintain sufficient supplies of inventory of manufactured components and parts needed to meet forecast production demand.</w:t>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2.</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Summary of Significant Accounting Policies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accompanying financial statements have been prepared in accordance with accounting principles generally accepted in the United States of America (“GAAP”). </w:t>
      </w:r>
    </w:p>
    <w:p>
      <w:pPr>
        <w:pStyle w:val="TextBody"/>
        <w:bidi w:val="0"/>
        <w:spacing w:before="360" w:after="283"/>
        <w:jc w:val="both"/>
        <w:rPr>
          <w:rFonts w:ascii="Times New Roman" w:hAnsi="Times New Roman"/>
          <w:sz w:val="20"/>
        </w:rPr>
      </w:pPr>
      <w:r>
        <w:rPr>
          <w:rFonts w:ascii="Times New Roman" w:hAnsi="Times New Roman"/>
          <w:b/>
          <w:i/>
          <w:color w:val="000000"/>
          <w:sz w:val="20"/>
        </w:rPr>
        <w:t>Reverse Stock Split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October 4, 2024, the Company amended and restated its amended and restated certificate of incorporation to effect a 1-for-2.57 reverse stock split of the Company’s common stock and redeemable convertible preferred stock (the “Reverse Stock Split”). The par value and authorized shares of the common stock and redeemable convertible preferred stock were not adjusted as a result of the Reverse Stock Split. All issued and outstanding common stock, preferred stock, options to purchase common stock, warrants to purchase redeemable convertible preferred stock and per share amounts contained in the financial statements have been retroactively adjusted to give effect to the Reverse Stock Split for all periods presented.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preparation of financial statements in conformity with GAAP requires management to make estimates and assumptions that affect the reported amounts of assets and liabilities at the date of the financial statements and the reported amounts of expenses during the reporting period. Actual results could differ from those estimates and assumptions, and such differences could be material to the Company’s financial position and results of operations. Significant estimates and assumptions include, but are not limited to, revenue recognition and valuation of the Company’s options to purchase common stock for purposes of accounting for stock-based compensation.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Change in Accounting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Q4 2025, the Company completed a reassessment of the useful and economic life of its recorders based on a comprehensive evaluation of return trends, validation testing, and its estimate on the average life of recorders before loss, normal wear and tear, or damage that requires disposal. As a result of this review, the Company determined that extending the useful and economic life of its recorders would more accurately reflect its anticipated future economic benefits. Effective October 1, 2025, the Company changed its estimates of the useful and economic lives of recorders from three to five years. The effect of this change in estimate to revenue, net loss, and basic and diluted loss per share is not material for the year ended December 31, 2025.</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Cash and Cash Equivalents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considers all highly liquid investments purchased with a maturity of three months or less on the date of acquisition to be cash equivalents. As of December 31, 2025, and December 31, 2024, cash and cash equivalents consist of cash in business checking accounts, demand deposit accounts, and money market funds.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Accounts Receivable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records accounts receivables at the invoiced amount. The Company maintains an allowance for credit losses for any receivables the Company may be unable to collect. The Company estimates uncollectible receivables on an individual basis based on the receivables’ age, customers’ expected ability to pay and collection history, and current economic conditions, among other factors that may affect customers’ ability to pay. The Company uses its judgment, based on the best available facts and circumstances, and records an allowance against amounts due to reduce the receivable to the amount that is expected to be collected. Allowances for credit losses are immaterial and included in accounts receivable, net on the balance sheets.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Inventory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Inventory is recorded at the lower of cost or net realizable value, which approximates actual cost on the first-in, first-out basis. Inventory costs include direct materials, direct labor, and normal manufacturing overhead. The Company uses third party contract manufacturers to complete the manufacturing and assembly of material components on site. Final quality inspection and packaging is performed at the Company’s headquarters. Prior to the quality inspection and packaging, the inventory is considered component material. The Company periodically assesses the recoverability of all inventories to determine whether adjustments for impairment are required. The Company evaluates the related commercial mix of finished goods and other general obsolescence and impairment criteria in assessing the recoverability of the Company’s inventory and records a provision for excess, expired, and obsolete inventory based primarily on estimates of forecasted demand. Judgment is required in determining these provisions, and a change in the timing or level of demand for products, as compared to forecasted amounts, may result in recording additional provisions for excess, expired, and obsolete inventory in the future.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Property and Equipment,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Property and equipment are stated at cost, less accumulated depreciation and amortization. Maintenance and repairs are charged to expense as incurred, and leasehold improvements are capitalized. When assets are retired or otherwise disposed of, the cost and accumulated depreciation and amortization are removed from the balance sheet and any resulting gain or loss is reflected in the statement of operations in the period realized. Depreciation and amortization are computed using the straight-line method over the estimated useful lives of the assets in accordance with the following table: </w:t>
      </w:r>
    </w:p>
    <w:p>
      <w:pPr>
        <w:pStyle w:val="TextBody"/>
        <w:bidi w:val="0"/>
        <w:jc w:val="both"/>
        <w:rPr/>
      </w:pPr>
      <w:r>
        <w:rPr/>
        <w:t> </w:t>
      </w:r>
    </w:p>
    <w:tbl>
      <w:tblPr>
        <w:tblW w:w="6733" w:type="dxa"/>
        <w:jc w:val="left"/>
        <w:tblInd w:w="0" w:type="dxa"/>
        <w:tblLayout w:type="fixed"/>
        <w:tblCellMar>
          <w:top w:w="28" w:type="dxa"/>
          <w:left w:w="28" w:type="dxa"/>
          <w:bottom w:w="28" w:type="dxa"/>
          <w:right w:w="28" w:type="dxa"/>
        </w:tblCellMar>
      </w:tblPr>
      <w:tblGrid>
        <w:gridCol w:w="2911"/>
        <w:gridCol w:w="146"/>
        <w:gridCol w:w="3676"/>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6" w:type="dxa"/>
            <w:tcBorders/>
            <w:vAlign w:val="center"/>
          </w:tcPr>
          <w:p>
            <w:pPr>
              <w:pStyle w:val="TableContents"/>
              <w:bidi w:val="0"/>
              <w:spacing w:before="0" w:after="283"/>
              <w:jc w:val="left"/>
              <w:rPr>
                <w:sz w:val="4"/>
                <w:szCs w:val="4"/>
              </w:rPr>
            </w:pPr>
            <w:r>
              <w:rPr>
                <w:sz w:val="4"/>
                <w:szCs w:val="4"/>
              </w:rPr>
            </w:r>
          </w:p>
        </w:tc>
      </w:tr>
      <w:tr>
        <w:trPr/>
        <w:tc>
          <w:tcPr>
            <w:tcW w:w="2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Fixed asset category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useful life</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36 months</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 and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36 months</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36 months</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Manufacturing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60 months</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Shorter of the useful life or term of the lease</w:t>
            </w:r>
          </w:p>
        </w:tc>
      </w:tr>
    </w:tbl>
    <w:p>
      <w:pPr>
        <w:pStyle w:val="TextBody"/>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December 2025, the Company determined that extending the useful life of its manufacturing equipment from three to five years would more accurately reflect its anticipated future economic benefits. The effect of this change to revenue, net loss, and basic and diluted loss per share is not material for the year ended December 31, 2025.</w:t>
      </w:r>
    </w:p>
    <w:p>
      <w:pPr>
        <w:pStyle w:val="TextBody"/>
        <w:bidi w:val="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Right-of-Use Assets and Lease Liabilities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determines if an arrangement is a lease, or contains a lease, at inception. The Company recognizes on its balance sheets operating lease liabilities representing the present value of future lease payments and an associated operating lease right-of-use (ROU) asset for any operating lease with a term greater than one year. As the Company's leases do not provide an implicit rate, the Company generally uses an incremental borrowing rate based on the estimated rate of interest for collateralized borrowing over a term similar to the lease arrangement. Significant judgment is required in determining the incremental collateralized borrowing rate. Lease expense is recognized on a straight-line basis over the lease term.</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Redeemable Convertible Preferred Stock and Warrants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holders of the outstanding shares of redeemable convertible preferred stock do not have stated redemption rights; however, the holders of the redeemable convertible stock are entitled to preferential payments in the event of a sale, lease, transfer, exclusive license or other disposition of all or substantially all of the Company’s assets or intellectual property, the acquisition of the Company by another entity by means of any reorganization, merger, or consolidation following which the Company’s stockholders as of immediately prior to such acquisition fail to hold at least 50% of the voting power of the resulting entity, or a liquidation, dissolution or winding up of the Company (a “Deemed Liquidation Event”). Immediately prior to the closing of the Company’s IPO on October 15, 2024, all shares of the Company’s redeemable convertible preferred stock converted into shares of the Company’s 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the Company issued freestanding warrants to purchase redeemable convertible preferred stock. The redeemable convertible preferred stock warrants were subject to remeasurement at each balance sheet date, and any change in fair value was recognized as a component of non-operating income or expense in the Statements of Operations and Comprehensive Loss. The Company uses the Black-Scholes option-pricing model to determine the fair value of the warrants. Immediately prior to the closing of the Company’s IPO on October 15, 2024, all warrants exercisable for redeemable convertible preferred stock converted into warrants exercisable for common stock and were reclassified from long-term liabilities to equity. The warrants are currently exercisable and are included in Additional Paid-In Capital as of December 31, 2025 and 2024.</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Concentration of Credit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Financial instruments that potentially subject the Company to concentrations of credit risk consist primarily of cash and cash equivalents and accounts receivable. The Company’s cash and cash equivalents are invested in checking accounts and money market funds. The Company has not experienced any losses to date.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accounts receivables are derived solely from product and subscription sales to customers located in the United States. The Company performs periodic evaluations of its customers’ financial condition and generally requires no collateral from its customers. Credit losses historically have not been significant. No customers constituted 10% of the Company revenue for the years ended December 31, 2025, or 2024. No customers constituted 10% of the Company's accounts receivable balance as of December 31, 2025, or December 31,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Bank failures, events involving limited liquidity, defaults, non-performance, or other adverse developments that affect financial institutions, or concerns or rumors about such events, may lead to liquidity constraints. The failure of a bank, or other adverse conditions in the financial or credit markets impacting financial institutions at which the Company maintains balances, could adversely impact liquidity and financial performance. There can be no assurance that the Company’s deposits in excess of the Federal Deposit Insurance Corporation (“FDIC”) or other comparable insurance limits will be backstopped by the U.S. or applicable foreign governments, or that any bank or financial institution with which the Company does business will be able to obtain needed liquidity from other banks, government institutions, or by acquisition in the event of a failure or liquidity crisis. The Company’s cash and cash equivalents are primarily held in money market funds.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Other Non-Current Assets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non-current assets include recorders, recorder components, and recorders at customer locations, as well as non-current deposits. The estimated useful and economic life of recorders is five years and depreciation commences when recorders are placed into service at customer locations.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Impairment of Long-Lived Assets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reviews its long-lived assets, principally Property and Equipment and Right of Use Assets, for impairment whenever events or changes in circumstances indicate that the carrying amount of an asset may not be recoverable. Recoverability is measured by comparison of the carrying amount to the future cash flows that the assets are expected to generate. If such assets are considered to be impaired, the impairment to be recognized is measured by the amount by which the carrying amount of the assets exceeds the fair value of the assets. There have been no such impairments of long-lived assets recognized to date.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Cost of Revenue</w:t>
      </w:r>
    </w:p>
    <w:p>
      <w:pPr>
        <w:pStyle w:val="TextBody"/>
        <w:bidi w:val="0"/>
        <w:spacing w:before="120" w:after="283"/>
        <w:jc w:val="both"/>
        <w:rPr>
          <w:rFonts w:ascii="Times New Roman" w:hAnsi="Times New Roman"/>
          <w:sz w:val="20"/>
        </w:rPr>
      </w:pPr>
      <w:r>
        <w:rPr>
          <w:rFonts w:ascii="Times New Roman" w:hAnsi="Times New Roman"/>
          <w:color w:val="000000"/>
          <w:sz w:val="20"/>
        </w:rPr>
        <w:t>Cost of revenue consists of direct and indirect costs related to the manufacturing of the Company’s products as well as hosting costs for the Company’s Clarity</w:t>
      </w:r>
      <w:r>
        <w:rPr>
          <w:rFonts w:ascii="Times New Roman" w:hAnsi="Times New Roman"/>
          <w:color w:val="000000"/>
          <w:sz w:val="13"/>
        </w:rPr>
        <w:t>®</w:t>
      </w:r>
      <w:r>
        <w:rPr>
          <w:rFonts w:ascii="Times New Roman" w:hAnsi="Times New Roman"/>
          <w:color w:val="000000"/>
          <w:sz w:val="20"/>
        </w:rPr>
        <w:t xml:space="preserve"> and EEG portal subscription services. Direct costs include headband and headcap (“Wearable”) costs, depreciation of recorders at customer locations, and costs related to assembly and testing performed by the Company’s employees. Indirect costs consist of allocated overhead for employee costs and facility costs. Shipping and handling costs incurred for inventory purchases and product shipments as well as tariffs are recorded in cost of revenue in the statements of operations and comprehensive loss.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Information About Segment and Geographic Areas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operates and manages its business as one reportable and operating segment. The Company generates revenue from two recurring sources. Product revenue is generated by the sale of the Company’s disposable Wearables that are intended for single patient use. Subscription revenue is generated by monthly subscription fees charged to the Company’s hospital customers for use of Clarity, recorders, and its portal. The Company has one reportable segment due to the similar customer base of its products and subscriptions and similarities in: economic characteristics; nature and compatibility of products and subscriptions; and procurement, manufacturing and distribution processes.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accordance with the “Segment Reporting” Topic of the Accounting Standards Codification (“ASC”), the Company’s Chief Executive Officer is the Chief Operating Decision Maker (“CODM”). The Company's measure of segment profit or loss is loss from operations. The CODM utilizes the Company's financial information such as loss from operations derived from revenues and operating expenses included in the Company forecast, performance metrics, and budget versus actual analyses on an aggregate basis for purposes of evaluating financial performance and how to best allocate resources across functions when developing and reviewing the annual budget to achieve the Company's long term objectives. Significant expenses within loss from operations include cost of revenue, research and development, sales and marketing, and general and administrative expenses, which are each separately presented on the Company’s Statements of Operations and Comprehensive Loss. The measure of segment assets is reported on the Balance Sheets as total assets. Since the Company operates in one segment, all accounting policies and financial information required by “Segment Reporting” can be found in the summary of significant accounting policies, the revenue footnote, and the accompanying annual financial statements. All of the Company’s revenue was in the United States for the years ended December 31, 2025, and 2024. Long-lived assets held outside of the United States are $0.9 million as of both December 31, 2025 and December 31, 2024.</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License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an in-license arrangement with Stanford University whereby the Company owes low-single digit royalty percentages related to revenue that is derived pursuant to in-licensed technologies, subject to a minimum payment. Royalty obligations are expensed as cost of revenue in the statements of operations and comprehensive loss, when incurred or over the minimum royalty periods and have not been material. On June 12, 2025, the Company extended the exclusivity of the licensed patents to the date the last licensed patent expires in May 2036 for a term exercise fee of $250,000. As the in-licensed technologies are used to generate revenue, the exercise fee has been deferred in other assets and will be amortized to cost of revenue on a straight line basis through May 2036.</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Related Party Transactions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paid Dr. Parvizi, a Director and Co-Founder of the Company, for consulting services and reimbursement of related expenses and recorded such amounts as general and administrative expenses within the statements of operations and comprehensive loss. Expenses related to Dr. Parvizi were $0.2 million, for both years ended December 31, 2025, and 2024.</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Research and Development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costs are charged to operations in the period incurred. Research and development costs include, but are not limited to, payroll and personnel and stock-based compensation expenses, laboratory supplies, consulting costs, and allocated overhead, including rent, equipment, depreciation, and utilities.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Intellectual Property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Costs to secure, defend, and maintain patents, including those incurred in connection with filing and prosecuting patent applications, are expensed as incurred due to the uncertainty about the recovery of the expenditure. Amounts incurred for patent-related expenditures are classified as general and administrative expenses in the statements of operations and comprehensive loss.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Advertising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charges advertising costs to expense as incurred. Advertising costs were $0.2 million and $0.4 million for the years ended December 31, 2025, and 2024, respectively.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Net Loss per Share Attributable to Common Stockholders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Basic net loss per common share is calculated by dividing the net loss attributable to common stockholders by the weighted-average number of shares of common stock outstanding during the period, without consideration of potentially dilutive securities. Diluted net loss per share is computed by dividing the net loss attributable to common stockholders by the weighted-average number of shares of common stock and potentially dilutive securities outstanding for the period. For purposes of the diluted net loss per share calculation, warrants, stock options outstanding, restricted stock units, and shares committed under the Employee Stock Purchasing Plan (“ESPP”) are considered to be potentially dilutive securities. Because the Company has reported a net loss for all periods presented, diluted net loss per common share is the same as basic net loss per common share for those periods.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Company accounts for stock-based compensation for employee and non-employee awards in accordance with ASC 718, </w:t>
      </w:r>
      <w:r>
        <w:rPr>
          <w:rFonts w:ascii="Times New Roman" w:hAnsi="Times New Roman"/>
          <w:i/>
          <w:color w:val="000000"/>
          <w:sz w:val="20"/>
        </w:rPr>
        <w:t xml:space="preserve">Compensation - Stock Compensation. </w:t>
      </w:r>
      <w:r>
        <w:rPr>
          <w:rFonts w:ascii="Times New Roman" w:hAnsi="Times New Roman"/>
          <w:color w:val="000000"/>
          <w:sz w:val="20"/>
        </w:rPr>
        <w:t>ASC 718 requires the recognition of compensation expense, using a fair value-based method, for costs related to all service-based share-based payments, including stock options.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estimates the fair value of options granted to employees on the grant date using the Black-Scholes option valuation model. This valuation model for stock-based compensation expense requires the Company to make assumptions and judgments about the variables used in the calculation, including the value of the Company’s stock, the expected volatility of the Company’s common stock, the expected term (based on an average of the midpoint of the requisite service period and the contractual term, and the historical exercise behavior), the risk-free interest rate and expected dividends.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Comprehensive Loss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Comprehensive loss includes net loss as well as other changes in stockholders’ equity that result from transactions and economic events other than those with stockholders. Comprehensive loss consists of unrealized net gains (losses) on marketable securities. Accumulated other comprehensive loss is presented in the accompanying balance sheets, when applicable. For the year ended December 31, 2024, there was no difference between net loss and comprehensive loss.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recognizes deferred tax assets and liabilities for the expected future tax consequences of events that have been included in the Company’s balance sheets and income tax returns. Deferred tax assets and liabilities are determined based on the differences between the financial statement carrying amounts and the tax bases of assets and liabilities and for loss and credit carryforwards using the enacted rates expected to be in effect when the differences are expected to reverse. The Company evaluates the realizability of its deferred tax assets and records a valuation allowance if it is more likely than not that some or all of the deferred tax assets may not be realized.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assesses its income tax positions and records tax benefits based upon management’s evaluation of the facts, circumstances, and information available at the reporting date. The Company accounts for uncertainty in income taxes based on the guidance within ASC 740-10, which requires a more-likely-than-not threshold for financial statement recognition and measurement of tax positions taken or expected to be taken in a tax return. For those tax positions where it is more likely than not that a tax benefit will be sustained, the Company records the largest amount of tax benefit with a greater than 50% likelihood of being realized upon ultimate settlement with a taxing authority having full knowledge of all relevant information. For those income tax positions where it is not more likely than not that a tax benefit will be sustained, no tax benefit is recognized in the financial statements. The Company classifies interest and penalties on uncertain tax positions as income tax expense.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Recently Adopted Accounting Pronouncements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December 2023, the FASB issued ASU No. 2023-09 Improvements to Income Tax Disclosures. The amendments expand income tax disclosure requirements by requiring an entity to disclose (i) specific categories in the rate reconciliation, (ii) additional information for reconciling items that meet a quantitative threshold, and (iii) the amount of taxes paid disaggregated by jurisdiction. On December 31, 2025, the Company adopted ASU 2023-09, which had a disclosure only impact on its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Recently Issued Accounting Pronouncements Not Yet Adopted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November 2024, the FASB issued ASU No. 2024-03 Disaggregation of Income Statement Expenses. The amendment requires more detailed information about specified categories of expenses (purchases of inventory, employee compensation, depreciation, amortization, and depletion) included in certain expense captions presented on the face of the income statement. This ASU is effective for fiscal years beginning after December 15, 2026, and for interim periods within fiscal years beginning after December 15, 2027. Early adoption is permitted. The amendments may be applied either (1) prospectively to financial statements issued for reporting periods after the effective date of this ASU or (2) retrospectively to all prior periods presented in the financial statements. The Company is currently evaluating the impact this ASU will have on the Company's disclosures.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3.</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Revenue</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Company recognizes revenue in accordance with ASC 606, </w:t>
      </w:r>
      <w:r>
        <w:rPr>
          <w:rFonts w:ascii="Times New Roman" w:hAnsi="Times New Roman"/>
          <w:i/>
          <w:color w:val="000000"/>
          <w:sz w:val="20"/>
        </w:rPr>
        <w:t>Revenue from Contracts with Customers</w:t>
      </w:r>
      <w:r>
        <w:rPr>
          <w:rFonts w:ascii="Times New Roman" w:hAnsi="Times New Roman"/>
          <w:color w:val="000000"/>
          <w:sz w:val="20"/>
        </w:rPr>
        <w:t xml:space="preserve">. </w:t>
      </w:r>
      <w:r>
        <w:rPr>
          <w:rFonts w:ascii="Times New Roman" w:hAnsi="Times New Roman"/>
          <w:color w:val="212428"/>
          <w:sz w:val="20"/>
        </w:rPr>
        <w:t>ASC 606 established a principle for recognizing revenue upon the transfer of promised goods or services to customers, in an amount that reflects the expected consideration received in exchange for those goods or services. The core principle of ASC 606 is to recognize revenue to depict the transfer of promised goods or services to the Company’s customers.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Topic 606, the Company recognizes revenue through the following steps: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Identification of a contract with a customer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Identification of the performance obligations in the contract, including the evaluation of performance obligations and the distinct goods or services in a contract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Determination of the transaction price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Analysis of the Standalone Selling Price (SSP) and allocation of the transaction price to the performance obligations in the contract, as appropriate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Recognition of revenue when, or as, the performance obligation is satisfied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accounts for a contract when both parties have approved the contract and the Company is committed to perform its obligations, the rights of the parties are identified, payment terms (generally net 30 days) are identified, the contract has commercial substance, and collectability of consideration is probable.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Revenue is recognized upon transfer of control of promised products to the customer in an amount reflecting the consideration that is expected to be received in exchange for those products. In contracts where there are more than one performance obligation to provide the customer with goods or services, each performance obligation is evaluated to determine whether it is distinct. Distinct promises are accounted for as separate performance obligations. The contract consideration is then allocated to the performance obligations based on their relative standalone selling prices. The standalone selling price of each deliverable is determined by using the market selling price or an adjusted market assessment approach and residual approach if selling price on a standalone basis is not available. The Company enters into contracts that include one or more products that are generally capable of being distinct and accounted for as individual performance obligations, in addition to a monthly subscription fee that is generally capable of being distinct and accounted for as an individual performance obligation.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Identification and Satisfaction of Performance Obligations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revenue is derived from the sale of its products to medical groups and hospitals through its direct sales force throughout the U.S. Performance obligations in the Company’s contracts that are satisfied at a point in time include Wearables sold to customers. The Company recognizes revenue for its EEG recorders sold separately from subscriptions and its Wearables upon transfer of control to the customer at a point in time. Performance obligations in the Company’s contracts that are satisfied over time include the EEG portal and Clarity software-as-a-service (SaaS) subscription products. For its Clarity and portal subscription products, the Company recognizes revenue ratably over the period in which the customer has the ability to consume and receive benefit from its access to the subscription, which is generally month to month. The Company also has a subset of customers with a 2-year subscription. The Company’s Clarity subscriptions include the use of EEG recorders by the customer over the subscription term. The Company identifies the EEG recorders component used in conjunction with a subscription as an operating lease, in accordance with ASC 842-10-25-2, in its arrangements with its customers and identifies the subscription as a non-lease component in its arrangements with its customers, which the Company determined to be predominant. The lease and non-lease revenue components have similar patterns of revenue recognition, and as such, allows the Company to elect the practical expedient to not separate the lease and non-lease components. Therefore, the overall arrangement is accounted for under ASC 606.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consideration associated with customer contracts includes both fixed and variable amounts. Variable consideration includes discounts, rebates, credits, incentives, penalties, or other similar items. The amount of consideration that can vary is not material as a percentage of total annual consideration. Variable consideration estimates are reassessed at each reporting period until the contingency is resolved. The changes to the transaction price due to a change in estimated variable consideration are recorded as an adjustment to revenue in the period the estimate is changed. Changes to variable consideration are tracked and material changes are disclosed. Such changes were immaterial for the years ended December 31, 2025, and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excludes sales tax from the transaction price and presents, as an accounting policy election, amounts collected from customers for sales and other taxes net of the related amounts remitted.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performance obligation is a promise in a contract to transfer a distinct good or service to the customer and is the basis of revenue recognition in accordance with GAAP. To determine the proper revenue recognition method for contracts, the Company evaluates whether two or more contracts should be combined and accounted for as one single contract and whether the combined or single contract should be accounted for as more than one performance obligation. This evaluation requires judgment, and the decision to combine a group of contracts or separate the combined or single contract into multiple performance obligations could change the amount of revenue and profit recorded in a given period.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Disaggregation of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provides information about disaggregated revenue from contracts with customers by the nature of products and services provided (in thousands):</w:t>
      </w:r>
    </w:p>
    <w:p>
      <w:pPr>
        <w:pStyle w:val="TextBody"/>
        <w:bidi w:val="0"/>
        <w:jc w:val="both"/>
        <w:rPr/>
      </w:pPr>
      <w:r>
        <w:rPr/>
        <w:t> </w:t>
      </w:r>
    </w:p>
    <w:tbl>
      <w:tblPr>
        <w:tblW w:w="6499" w:type="dxa"/>
        <w:jc w:val="left"/>
        <w:tblInd w:w="0" w:type="dxa"/>
        <w:tblLayout w:type="fixed"/>
        <w:tblCellMar>
          <w:top w:w="28" w:type="dxa"/>
          <w:left w:w="28" w:type="dxa"/>
          <w:bottom w:w="28" w:type="dxa"/>
          <w:right w:w="28" w:type="dxa"/>
        </w:tblCellMar>
      </w:tblPr>
      <w:tblGrid>
        <w:gridCol w:w="4096"/>
        <w:gridCol w:w="146"/>
        <w:gridCol w:w="211"/>
        <w:gridCol w:w="676"/>
        <w:gridCol w:w="146"/>
        <w:gridCol w:w="146"/>
        <w:gridCol w:w="211"/>
        <w:gridCol w:w="676"/>
        <w:gridCol w:w="191"/>
      </w:tblGrid>
      <w:tr>
        <w:trPr/>
        <w:tc>
          <w:tcPr>
            <w:tcW w:w="4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EEG recorders and EEG headbands, point in time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50,079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EEG portal and Clarity subscriptions, over time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89,063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65,444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Currently, the Company’s customers are solely in the United States.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Contract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capitalizes sales commissions that are considered to be incremental to the acquisition of customer contracts and amortizes them over an estimated period of benefit. To determine the period of benefit of its deferred commissions, the Company evaluates the type of commissions, the nature of the related benefit, and the specific facts and circumstances of its arrangements. The Company determines the period of benefit for commissions paid for the acquisition of the initial subscription contract by taking into consideration its average customer life, which is generally assumed to be three years. The Company evaluates these assumptions at least annually and periodically reviews whether events or changes in circumstances have occurred that could impact the period of benefit.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has elected to utilize the practical expedient to expense sales commissions with an amortization period of less than one year and capitalize sales commissions that are considered to be incremental costs of obtaining contracts with an amortization period greater than one year.</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provides the breakdown of capitalized contract costs (in thousands):</w:t>
      </w:r>
    </w:p>
    <w:p>
      <w:pPr>
        <w:pStyle w:val="TextBody"/>
        <w:bidi w:val="0"/>
        <w:jc w:val="both"/>
        <w:rPr/>
      </w:pPr>
      <w:r>
        <w:rPr/>
        <w:t> </w:t>
      </w:r>
    </w:p>
    <w:tbl>
      <w:tblPr>
        <w:tblW w:w="6494" w:type="dxa"/>
        <w:jc w:val="left"/>
        <w:tblInd w:w="0" w:type="dxa"/>
        <w:tblLayout w:type="fixed"/>
        <w:tblCellMar>
          <w:top w:w="28" w:type="dxa"/>
          <w:left w:w="28" w:type="dxa"/>
          <w:bottom w:w="28" w:type="dxa"/>
          <w:right w:w="28" w:type="dxa"/>
        </w:tblCellMar>
      </w:tblPr>
      <w:tblGrid>
        <w:gridCol w:w="3841"/>
        <w:gridCol w:w="246"/>
        <w:gridCol w:w="211"/>
        <w:gridCol w:w="631"/>
        <w:gridCol w:w="266"/>
        <w:gridCol w:w="246"/>
        <w:gridCol w:w="211"/>
        <w:gridCol w:w="631"/>
        <w:gridCol w:w="211"/>
      </w:tblGrid>
      <w:tr>
        <w:trPr/>
        <w:tc>
          <w:tcPr>
            <w:tcW w:w="384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cost balance beginning of the period</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3,344</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Contract costs capitalized during the year</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3,242</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Contract costs amortized during the year</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(2,529</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Contract Costs as of period end</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4,057</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3,344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Contract Liabilities and Performance Obligations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Contract liabilities consist of up-front payments received from customers primarily for the Clarity SaaS subscriptions.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provides the breakdown of contract liabilities (in thousands):</w:t>
      </w:r>
    </w:p>
    <w:p>
      <w:pPr>
        <w:pStyle w:val="TextBody"/>
        <w:bidi w:val="0"/>
        <w:jc w:val="both"/>
        <w:rPr/>
      </w:pPr>
      <w:r>
        <w:rPr/>
        <w:t> </w:t>
      </w:r>
    </w:p>
    <w:tbl>
      <w:tblPr>
        <w:tblW w:w="7106" w:type="dxa"/>
        <w:jc w:val="left"/>
        <w:tblInd w:w="0" w:type="dxa"/>
        <w:tblLayout w:type="fixed"/>
        <w:tblCellMar>
          <w:top w:w="28" w:type="dxa"/>
          <w:left w:w="28" w:type="dxa"/>
          <w:bottom w:w="28" w:type="dxa"/>
          <w:right w:w="28" w:type="dxa"/>
        </w:tblCellMar>
      </w:tblPr>
      <w:tblGrid>
        <w:gridCol w:w="4786"/>
        <w:gridCol w:w="146"/>
        <w:gridCol w:w="224"/>
        <w:gridCol w:w="512"/>
        <w:gridCol w:w="176"/>
        <w:gridCol w:w="155"/>
        <w:gridCol w:w="224"/>
        <w:gridCol w:w="672"/>
        <w:gridCol w:w="211"/>
      </w:tblGrid>
      <w:tr>
        <w:trPr/>
        <w:tc>
          <w:tcPr>
            <w:tcW w:w="4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 balance beginning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Contract Liabilities revenue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 balance recognized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period end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101</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Company has elected not to include in unfulfilled performance obligations for contracts in which the amount of revenue it recognizes is equal to the amount which the Company has a right to invoice. No revenue was recognized in the reporting period from performance obligations satisfied in previous periods. The remaining short-term performance obligations are expected to be recognized within 12 months.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4.</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Fair Value Measurements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ASC 820, </w:t>
      </w:r>
      <w:r>
        <w:rPr>
          <w:rFonts w:ascii="Times New Roman" w:hAnsi="Times New Roman"/>
          <w:i/>
          <w:color w:val="000000"/>
          <w:sz w:val="20"/>
        </w:rPr>
        <w:t>Fair Value Measurements and Disclosures</w:t>
      </w:r>
      <w:r>
        <w:rPr>
          <w:rFonts w:ascii="Times New Roman" w:hAnsi="Times New Roman"/>
          <w:color w:val="000000"/>
          <w:sz w:val="20"/>
        </w:rPr>
        <w:t>, defines fair value as the price that would be received to sell an asset or paid to transfer a liability in an orderly transaction between market participants at the measurement date. ASC 820 establishes a fair value hierarchy that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levels, which gives the highest priority to unadjusted quoted prices in active markets for identical assets or liabilities (Level 1) and the lowest priority to unobservable inputs (Level 3). The three levels of the fair value hierarchy under ASC 820 are described below:</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Level 1 </w:t>
      </w:r>
      <w:r>
        <w:rPr>
          <w:rFonts w:ascii="Times New Roman" w:hAnsi="Times New Roman"/>
          <w:color w:val="000000"/>
          <w:sz w:val="20"/>
        </w:rPr>
        <w:t>– This level consists of quoted prices (unadjusted) in active markets that are accessible at the measurement date for assets or liabilities. The fair value hierarchy gives the highest priority to Level 1 inputs.</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Level 2 </w:t>
      </w:r>
      <w:r>
        <w:rPr>
          <w:rFonts w:ascii="Times New Roman" w:hAnsi="Times New Roman"/>
          <w:color w:val="000000"/>
          <w:sz w:val="20"/>
        </w:rPr>
        <w:t>– This level consists of directly or indirectly observable inputs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from actively quoted markets for substantially the full term of the financial instrument.</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Level 3 </w:t>
      </w:r>
      <w:r>
        <w:rPr>
          <w:rFonts w:ascii="Times New Roman" w:hAnsi="Times New Roman"/>
          <w:color w:val="000000"/>
          <w:sz w:val="20"/>
        </w:rPr>
        <w:t>– This level consists of unobservable inputs that are supported by little or no market activity and reflect the use of significant management judgment. These values are generally determined using pricing models for which the assumptions utilize management’s estimates of market participant assumptions.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determining the fair value, the Company utilizes valuation techniques that maximize the use of observable inputs and minimize the unobservable inputs to the extent possible, as well as considers counterparty credit risk in its assessments of fair value.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Fair Value of Assets and Liabilities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tables represent the Company’s financial assets and liabilities according to the fair value hierarchy, measured at fair value (in thousands):</w:t>
      </w:r>
    </w:p>
    <w:p>
      <w:pPr>
        <w:pStyle w:val="TextBody"/>
        <w:bidi w:val="0"/>
        <w:spacing w:before="120" w:after="283"/>
        <w:jc w:val="both"/>
        <w:rPr/>
      </w:pPr>
      <w:r>
        <w:rPr/>
        <w:t> </w:t>
      </w:r>
    </w:p>
    <w:tbl>
      <w:tblPr>
        <w:tblW w:w="7790" w:type="dxa"/>
        <w:jc w:val="left"/>
        <w:tblInd w:w="0" w:type="dxa"/>
        <w:tblLayout w:type="fixed"/>
        <w:tblCellMar>
          <w:top w:w="28" w:type="dxa"/>
          <w:left w:w="28" w:type="dxa"/>
          <w:bottom w:w="28" w:type="dxa"/>
          <w:right w:w="28" w:type="dxa"/>
        </w:tblCellMar>
      </w:tblPr>
      <w:tblGrid>
        <w:gridCol w:w="2276"/>
        <w:gridCol w:w="546"/>
        <w:gridCol w:w="211"/>
        <w:gridCol w:w="676"/>
        <w:gridCol w:w="146"/>
        <w:gridCol w:w="146"/>
        <w:gridCol w:w="211"/>
        <w:gridCol w:w="781"/>
        <w:gridCol w:w="146"/>
        <w:gridCol w:w="146"/>
        <w:gridCol w:w="239"/>
        <w:gridCol w:w="391"/>
        <w:gridCol w:w="146"/>
        <w:gridCol w:w="146"/>
        <w:gridCol w:w="211"/>
        <w:gridCol w:w="781"/>
        <w:gridCol w:w="591"/>
      </w:tblGrid>
      <w:tr>
        <w:trPr/>
        <w:tc>
          <w:tcPr>
            <w:tcW w:w="227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December 31, 2025</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2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Money market funds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34,918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2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Treasury Bills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61,229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2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Notes and Bonds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57,556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Total assets, </w:t>
            </w:r>
            <w:r>
              <w:rPr>
                <w:rFonts w:ascii="Times New Roman" w:hAnsi="Times New Roman"/>
                <w:color w:val="000000"/>
                <w:sz w:val="20"/>
              </w:rPr>
              <w:t>at fair value</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42,818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110,885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153,703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348" w:type="dxa"/>
        <w:jc w:val="left"/>
        <w:tblInd w:w="0" w:type="dxa"/>
        <w:tblLayout w:type="fixed"/>
        <w:tblCellMar>
          <w:top w:w="28" w:type="dxa"/>
          <w:left w:w="28" w:type="dxa"/>
          <w:bottom w:w="28" w:type="dxa"/>
          <w:right w:w="28" w:type="dxa"/>
        </w:tblCellMar>
      </w:tblPr>
      <w:tblGrid>
        <w:gridCol w:w="2191"/>
        <w:gridCol w:w="446"/>
        <w:gridCol w:w="211"/>
        <w:gridCol w:w="781"/>
        <w:gridCol w:w="146"/>
        <w:gridCol w:w="146"/>
        <w:gridCol w:w="239"/>
        <w:gridCol w:w="391"/>
        <w:gridCol w:w="146"/>
        <w:gridCol w:w="146"/>
        <w:gridCol w:w="239"/>
        <w:gridCol w:w="391"/>
        <w:gridCol w:w="146"/>
        <w:gridCol w:w="146"/>
        <w:gridCol w:w="211"/>
        <w:gridCol w:w="781"/>
        <w:gridCol w:w="591"/>
      </w:tblGrid>
      <w:tr>
        <w:trPr/>
        <w:tc>
          <w:tcPr>
            <w:tcW w:w="219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December 31, 2024</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equivalents: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Money market funds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178,925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178,925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Total Assets,</w:t>
            </w:r>
            <w:r>
              <w:rPr>
                <w:rFonts w:ascii="Times New Roman" w:hAnsi="Times New Roman"/>
                <w:color w:val="000000"/>
                <w:sz w:val="20"/>
              </w:rPr>
              <w:t> at fair value</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178,925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178,925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fair value and amortized cost of Level 2 cash equivalents and available-for-sale marketable securities as of December 31, 2025 are presented in the following table (in thousands):</w:t>
      </w:r>
    </w:p>
    <w:p>
      <w:pPr>
        <w:pStyle w:val="TextBody"/>
        <w:bidi w:val="0"/>
        <w:spacing w:before="40" w:after="283"/>
        <w:jc w:val="left"/>
        <w:rPr/>
      </w:pPr>
      <w:r>
        <w:rPr/>
        <w:t> </w:t>
      </w:r>
    </w:p>
    <w:tbl>
      <w:tblPr>
        <w:tblW w:w="9689" w:type="dxa"/>
        <w:jc w:val="left"/>
        <w:tblInd w:w="0" w:type="dxa"/>
        <w:tblLayout w:type="fixed"/>
        <w:tblCellMar>
          <w:top w:w="28" w:type="dxa"/>
          <w:left w:w="28" w:type="dxa"/>
          <w:bottom w:w="28" w:type="dxa"/>
          <w:right w:w="28" w:type="dxa"/>
        </w:tblCellMar>
      </w:tblPr>
      <w:tblGrid>
        <w:gridCol w:w="2446"/>
        <w:gridCol w:w="146"/>
        <w:gridCol w:w="351"/>
        <w:gridCol w:w="1299"/>
        <w:gridCol w:w="146"/>
        <w:gridCol w:w="146"/>
        <w:gridCol w:w="449"/>
        <w:gridCol w:w="901"/>
        <w:gridCol w:w="146"/>
        <w:gridCol w:w="146"/>
        <w:gridCol w:w="522"/>
        <w:gridCol w:w="858"/>
        <w:gridCol w:w="146"/>
        <w:gridCol w:w="146"/>
        <w:gridCol w:w="351"/>
        <w:gridCol w:w="1299"/>
        <w:gridCol w:w="191"/>
      </w:tblGrid>
      <w:tr>
        <w:trPr/>
        <w:tc>
          <w:tcPr>
            <w:tcW w:w="2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bills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61,229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Notes and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57,556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118,626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118,785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fair value of available-for-sale marketable securities by contractual maturities as of December 31, 2025 are presented in the following table (in thousands):</w:t>
      </w:r>
    </w:p>
    <w:p>
      <w:pPr>
        <w:pStyle w:val="TextBody"/>
        <w:bidi w:val="0"/>
        <w:spacing w:before="40" w:after="283"/>
        <w:jc w:val="left"/>
        <w:rPr/>
      </w:pPr>
      <w:r>
        <w:rPr/>
        <w:t> </w:t>
      </w:r>
    </w:p>
    <w:tbl>
      <w:tblPr>
        <w:tblW w:w="4018" w:type="dxa"/>
        <w:jc w:val="left"/>
        <w:tblInd w:w="0" w:type="dxa"/>
        <w:tblLayout w:type="fixed"/>
        <w:tblCellMar>
          <w:top w:w="28" w:type="dxa"/>
          <w:left w:w="28" w:type="dxa"/>
          <w:bottom w:w="28" w:type="dxa"/>
          <w:right w:w="28" w:type="dxa"/>
        </w:tblCellMar>
      </w:tblPr>
      <w:tblGrid>
        <w:gridCol w:w="2446"/>
        <w:gridCol w:w="146"/>
        <w:gridCol w:w="233"/>
        <w:gridCol w:w="862"/>
        <w:gridCol w:w="331"/>
      </w:tblGrid>
      <w:tr>
        <w:trPr/>
        <w:tc>
          <w:tcPr>
            <w:tcW w:w="2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18" w:space="0" w:color="CCEEFF"/>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in less than one year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113,928</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bottom w:val="single" w:sz="18" w:space="0" w:color="CCEEFF"/>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in one to two years</w:t>
            </w:r>
          </w:p>
        </w:tc>
        <w:tc>
          <w:tcPr>
            <w:tcW w:w="146" w:type="dxa"/>
            <w:tcBorders>
              <w:bottom w:val="single" w:sz="18" w:space="0" w:color="CCEEFF"/>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4,857</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marketable securities</w:t>
            </w:r>
          </w:p>
        </w:tc>
        <w:tc>
          <w:tcPr>
            <w:tcW w:w="146" w:type="dxa"/>
            <w:tcBorders>
              <w:bottom w:val="single" w:sz="18" w:space="0" w:color="CCEEFF"/>
            </w:tcBorders>
            <w:shd w:fill="CAEEFB"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62"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118,785</w:t>
            </w:r>
          </w:p>
        </w:tc>
        <w:tc>
          <w:tcPr>
            <w:tcW w:w="33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Cash and cash equivalents are comprised of Level 1 financial instruments of money market fund investments. Level 2 financial instruments are comprised of U.S. Treasury bills and U.S. Notes and Bonds. The Company's valuation technique used to measure the fair value of money market funds is derived from quoted prices in active markets for identical assets or liabilities, which is categorized as Level 1. </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carrying amount of the Company’s notes payable is carried at amortized cost and approximates its fair value.</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5.</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Balance Sheet Details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Inventory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Inventory consists of the following (in thousands):</w:t>
      </w:r>
    </w:p>
    <w:p>
      <w:pPr>
        <w:pStyle w:val="TextBody"/>
        <w:bidi w:val="0"/>
        <w:jc w:val="both"/>
        <w:rPr/>
      </w:pPr>
      <w:r>
        <w:rPr/>
        <w:t> </w:t>
      </w:r>
    </w:p>
    <w:tbl>
      <w:tblPr>
        <w:tblW w:w="4680" w:type="dxa"/>
        <w:jc w:val="left"/>
        <w:tblInd w:w="0" w:type="dxa"/>
        <w:tblLayout w:type="fixed"/>
        <w:tblCellMar>
          <w:top w:w="28" w:type="dxa"/>
          <w:left w:w="28" w:type="dxa"/>
          <w:bottom w:w="28" w:type="dxa"/>
          <w:right w:w="28" w:type="dxa"/>
        </w:tblCellMar>
      </w:tblPr>
      <w:tblGrid>
        <w:gridCol w:w="1861"/>
        <w:gridCol w:w="146"/>
        <w:gridCol w:w="294"/>
        <w:gridCol w:w="801"/>
        <w:gridCol w:w="146"/>
        <w:gridCol w:w="146"/>
        <w:gridCol w:w="294"/>
        <w:gridCol w:w="801"/>
        <w:gridCol w:w="191"/>
      </w:tblGrid>
      <w:tr>
        <w:trPr/>
        <w:tc>
          <w:tcPr>
            <w:tcW w:w="1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Component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6,937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Property and Equipment,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Property and equipment are comprised of the following (in thousands):</w:t>
      </w:r>
    </w:p>
    <w:p>
      <w:pPr>
        <w:pStyle w:val="TextBody"/>
        <w:bidi w:val="0"/>
        <w:jc w:val="both"/>
        <w:rPr/>
      </w:pPr>
      <w:r>
        <w:rPr/>
        <w:t> </w:t>
      </w:r>
    </w:p>
    <w:tbl>
      <w:tblPr>
        <w:tblW w:w="6930" w:type="dxa"/>
        <w:jc w:val="left"/>
        <w:tblInd w:w="0" w:type="dxa"/>
        <w:tblLayout w:type="fixed"/>
        <w:tblCellMar>
          <w:top w:w="28" w:type="dxa"/>
          <w:left w:w="28" w:type="dxa"/>
          <w:bottom w:w="28" w:type="dxa"/>
          <w:right w:w="28" w:type="dxa"/>
        </w:tblCellMar>
      </w:tblPr>
      <w:tblGrid>
        <w:gridCol w:w="4111"/>
        <w:gridCol w:w="146"/>
        <w:gridCol w:w="294"/>
        <w:gridCol w:w="801"/>
        <w:gridCol w:w="146"/>
        <w:gridCol w:w="146"/>
        <w:gridCol w:w="294"/>
        <w:gridCol w:w="801"/>
        <w:gridCol w:w="19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 and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and manufacturing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2,313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Depreciation and amortization expense was $1.0 million and $0.7 million for the years ended December 31, 2025, and 2024, respectively.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Other Non-Current Assets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non-current assets are comprised of the following (in thousands):</w:t>
      </w:r>
    </w:p>
    <w:p>
      <w:pPr>
        <w:pStyle w:val="TextBody"/>
        <w:bidi w:val="0"/>
        <w:jc w:val="both"/>
        <w:rPr/>
      </w:pPr>
      <w:r>
        <w:rPr/>
        <w:t> </w:t>
      </w:r>
    </w:p>
    <w:tbl>
      <w:tblPr>
        <w:tblW w:w="8305" w:type="dxa"/>
        <w:jc w:val="left"/>
        <w:tblInd w:w="0" w:type="dxa"/>
        <w:tblLayout w:type="fixed"/>
        <w:tblCellMar>
          <w:top w:w="28" w:type="dxa"/>
          <w:left w:w="28" w:type="dxa"/>
          <w:bottom w:w="28" w:type="dxa"/>
          <w:right w:w="28" w:type="dxa"/>
        </w:tblCellMar>
      </w:tblPr>
      <w:tblGrid>
        <w:gridCol w:w="5446"/>
        <w:gridCol w:w="146"/>
        <w:gridCol w:w="274"/>
        <w:gridCol w:w="821"/>
        <w:gridCol w:w="166"/>
        <w:gridCol w:w="146"/>
        <w:gridCol w:w="294"/>
        <w:gridCol w:w="801"/>
        <w:gridCol w:w="211"/>
      </w:tblGrid>
      <w:tr>
        <w:trPr/>
        <w:tc>
          <w:tcPr>
            <w:tcW w:w="5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Recorders at customer locations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of recorders at customer locations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Recorders at customer locations,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Recorders and related components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debt financing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2,188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Recorder depreciation expense was $0.3 million and $0.4 million for the years ended December 31, 2025, and 2024, respectively.</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Accrued Liabilities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Accrued liabilities are comprised of the following (in thousands):</w:t>
      </w:r>
    </w:p>
    <w:p>
      <w:pPr>
        <w:pStyle w:val="TextBody"/>
        <w:bidi w:val="0"/>
        <w:jc w:val="both"/>
        <w:rPr/>
      </w:pPr>
      <w:r>
        <w:rPr/>
        <w:t> </w:t>
      </w:r>
    </w:p>
    <w:tbl>
      <w:tblPr>
        <w:tblW w:w="6120" w:type="dxa"/>
        <w:jc w:val="left"/>
        <w:tblInd w:w="0" w:type="dxa"/>
        <w:tblLayout w:type="fixed"/>
        <w:tblCellMar>
          <w:top w:w="28" w:type="dxa"/>
          <w:left w:w="28" w:type="dxa"/>
          <w:bottom w:w="28" w:type="dxa"/>
          <w:right w:w="28" w:type="dxa"/>
        </w:tblCellMar>
      </w:tblPr>
      <w:tblGrid>
        <w:gridCol w:w="3301"/>
        <w:gridCol w:w="146"/>
        <w:gridCol w:w="260"/>
        <w:gridCol w:w="835"/>
        <w:gridCol w:w="146"/>
        <w:gridCol w:w="146"/>
        <w:gridCol w:w="260"/>
        <w:gridCol w:w="835"/>
        <w:gridCol w:w="191"/>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bonuses and payroll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commissions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 and other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stock purchase plan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09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14,328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10,052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6.</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Employee Benefit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offers its employees a tax-deferred savings plan, commonly referred to as a 401(k) plan. Employee contributions are withheld from payroll checks and are automatically withdrawn from the Company’s checking account and deposited into participants’ retirement accounts a few days following each payroll period. Beginning March 1, 2025, the Company provides a 50% match for employee contributions up to a certain limit. The Company contributed $1.2 million and none during the years ended December 31, 2025 and 2024, respectively, to its 401(k) plan.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7.</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Commitments and Contingencies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Litigation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records a provision for a liability when management believes that it is both probable that a liability has been incurred and the amount of the loss can be reasonably estimated. Legal fees are expensed in the period in which they are incurred. As of December 31, 2025, and December 31, 2024, there were no litigation liabilities recorded.</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8.</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Leases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December 11, 2025, the Company entered into lease amendments for its corporate office and warehouse leases, which amended the previous lease agreements, whereby the Company leases office space from the landlords with lease terms ending January 31, 2027. Pursuant to the lease amendments, the lease term was extended one year, expiring January 31, 2028.</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ROU asset relates to its leased corporate offices and warehouse in Sunnyvale, CA. Supplemental balance sheet information related to leases was as follows (in thousands):</w:t>
      </w:r>
    </w:p>
    <w:p>
      <w:pPr>
        <w:pStyle w:val="TextBody"/>
        <w:bidi w:val="0"/>
        <w:jc w:val="both"/>
        <w:rPr/>
      </w:pPr>
      <w:r>
        <w:rPr/>
        <w:t> </w:t>
      </w:r>
    </w:p>
    <w:tbl>
      <w:tblPr>
        <w:tblW w:w="6970" w:type="dxa"/>
        <w:jc w:val="left"/>
        <w:tblInd w:w="0" w:type="dxa"/>
        <w:tblLayout w:type="fixed"/>
        <w:tblCellMar>
          <w:top w:w="28" w:type="dxa"/>
          <w:left w:w="28" w:type="dxa"/>
          <w:bottom w:w="28" w:type="dxa"/>
          <w:right w:w="28" w:type="dxa"/>
        </w:tblCellMar>
      </w:tblPr>
      <w:tblGrid>
        <w:gridCol w:w="3901"/>
        <w:gridCol w:w="146"/>
        <w:gridCol w:w="294"/>
        <w:gridCol w:w="801"/>
        <w:gridCol w:w="271"/>
        <w:gridCol w:w="146"/>
        <w:gridCol w:w="294"/>
        <w:gridCol w:w="801"/>
        <w:gridCol w:w="316"/>
      </w:tblGrid>
      <w:tr>
        <w:trPr/>
        <w:tc>
          <w:tcPr>
            <w:tcW w:w="3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Lease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lease right-of-use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2,296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2,132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 long-term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2,465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2,402</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lease term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 summary of total lease expense and other information for the periods relating to the Company’s operating leases was as follows: </w:t>
      </w:r>
    </w:p>
    <w:p>
      <w:pPr>
        <w:pStyle w:val="TextBody"/>
        <w:bidi w:val="0"/>
        <w:jc w:val="both"/>
        <w:rPr/>
      </w:pPr>
      <w:r>
        <w:rPr/>
        <w:t> </w:t>
      </w:r>
    </w:p>
    <w:tbl>
      <w:tblPr>
        <w:tblW w:w="9720" w:type="dxa"/>
        <w:jc w:val="left"/>
        <w:tblInd w:w="0" w:type="dxa"/>
        <w:tblLayout w:type="fixed"/>
        <w:tblCellMar>
          <w:top w:w="28" w:type="dxa"/>
          <w:left w:w="28" w:type="dxa"/>
          <w:bottom w:w="28" w:type="dxa"/>
          <w:right w:w="28" w:type="dxa"/>
        </w:tblCellMar>
      </w:tblPr>
      <w:tblGrid>
        <w:gridCol w:w="6901"/>
        <w:gridCol w:w="146"/>
        <w:gridCol w:w="294"/>
        <w:gridCol w:w="801"/>
        <w:gridCol w:w="146"/>
        <w:gridCol w:w="146"/>
        <w:gridCol w:w="294"/>
        <w:gridCol w:w="801"/>
        <w:gridCol w:w="191"/>
      </w:tblGrid>
      <w:tr>
        <w:trPr/>
        <w:tc>
          <w:tcPr>
            <w:tcW w:w="6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0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expense</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w:t>
            </w:r>
          </w:p>
        </w:tc>
        <w:tc>
          <w:tcPr>
            <w:tcW w:w="19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0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lease expense</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1,468</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1,287</w:t>
            </w:r>
          </w:p>
        </w:tc>
        <w:tc>
          <w:tcPr>
            <w:tcW w:w="19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r>
      <w:tr>
        <w:trPr/>
        <w:tc>
          <w:tcPr>
            <w:tcW w:w="6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0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cash payments for amounts included in the measurement of lease liabilities</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1,216</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911</w:t>
            </w:r>
          </w:p>
        </w:tc>
        <w:tc>
          <w:tcPr>
            <w:tcW w:w="19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leases office space and warehouse space under non-cancelable operating leases. As of December 31, 2025, the future minimum lease payments under the non-cancelable operating lease are as follows (in thousands):</w:t>
      </w:r>
    </w:p>
    <w:p>
      <w:pPr>
        <w:pStyle w:val="TextBody"/>
        <w:bidi w:val="0"/>
        <w:jc w:val="both"/>
        <w:rPr/>
      </w:pPr>
      <w:r>
        <w:rPr/>
        <w:t> </w:t>
      </w:r>
    </w:p>
    <w:tbl>
      <w:tblPr>
        <w:tblW w:w="4838" w:type="dxa"/>
        <w:jc w:val="left"/>
        <w:tblInd w:w="0" w:type="dxa"/>
        <w:tblLayout w:type="fixed"/>
        <w:tblCellMar>
          <w:top w:w="28" w:type="dxa"/>
          <w:left w:w="28" w:type="dxa"/>
          <w:bottom w:w="28" w:type="dxa"/>
          <w:right w:w="28" w:type="dxa"/>
        </w:tblCellMar>
      </w:tblPr>
      <w:tblGrid>
        <w:gridCol w:w="2986"/>
        <w:gridCol w:w="546"/>
        <w:gridCol w:w="294"/>
        <w:gridCol w:w="801"/>
        <w:gridCol w:w="211"/>
      </w:tblGrid>
      <w:tr>
        <w:trPr/>
        <w:tc>
          <w:tcPr>
            <w:tcW w:w="298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Operating Leases: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undiscounted lease payments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Imputed interest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Net Lease 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2,465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9.</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Term Loan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2024 Term Loan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consideration of the 2024 principal loan repayment schedule and future operating cash flow requirements, effective February 6, 2024, the Company executed a Venture Loan and Security Agreement (“VLSA”) with Horizon Technology Finance Corporation (“Horizon”) as a lender and the collateral agent and Silicon Valley Bank (“SVB”) as a lender (collectively, “the Lenders”). The Company and the Lenders agreed to refinance the existing Horizon term loan facility which also modified, among other things, the repayment terms of the existing Horizon term loan and the maturity date from October 2024 to March 2029. The amounts borrowed under the VLSA are secured by all of the Company's assets, excluding intellectual property.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Upon execution of the VLSA, the Company drew down the entire first tranche of $20.0 million in principal (“Term Loan”), including $6.0 million from SVB (“SVB Loan”) and $14.0 million from Horizon (“Horizon Loan”) and utilized a portion of the proceeds to repay the remaining principal on the 2020 Loan. Subject to the VLSA terms, the Company is entitled to receive up to $30.0 million (“Outstanding Commitment”) in three additional tranches of $10.0 million each. Each lender’s obligation to lend its undisbursed portion of the Outstanding Commitment to the Company shall terminate if, in such Lender’s sole good faith discretion, there has been a material adverse change in the results of operations or financial condition of the Company, whether or not arising from transactions in the ordinary course of business, or there has been any material adverse deviation by the Company from the business plan of the Company presented to any Lender. No material adverse changes have been identified as of December 31, 2025. In each of the three additional tranches, $3.0 million is allocated to SVB, and $7.0 million is allocated to Horizon. Any amounts drawn under the Outstanding Commitment are subject to the same terms and conditions as the SVB Loan and Horizon Loan.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Term Loan is payable to the Lenders in twelve equal monthly installments between April 1, 2028 (“Amortization Date”) and March 1, 2029 (“Maturity Date”) subject to certain prepayment fees in accordance with the VLSA. The aggregate amount of maturities is $15.0 million in 2028 and $5.0 million in 2029.</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SVB Loan carries a variable per-annum interest rate at the Prime Rate (as published in the Wall Street Journal), subject to the floor of 6.00%. The Horizon Loan carries a variable per-annum interest rate at the Prime Rate plus 2.75%, subject to the floor of 9.25%. The Company is also required to pay end-of-term fees of 4.0% per tranche drawn on the Maturity Date or upon repayment of the amounts due to the Lenders under the VLSA. The Company is required to pay additional commitment fees of $35,000 upon funding of each additional tranche.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Upon execution of the VLSA, the Company paid to the Lenders $0.2 million and issued warrants to purchase 41,345 shares of the Company’s Series C-1 Preferred Stock at a price of $11.49 per share (“Initial Warrants”). The fair value of the Initial Warrants was determined to be approximately $0.3 million. If the Company draws down any amounts of the Outstanding Commitment, it will be required to issue additional warrants exercisable for shares of the Company’s most senior Preferred Stock with the aggregate exercise price of $0.2 million per tranche (“Additional Warrants”). The exercise price of the Additional Warrants will be $11.49 per share, subject to a down-round adjustment. See Note 10 for a discussion of the Initial Warrants.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VLSA was treated as a loan syndication, and the SVB Loan was determined to be a new loan. The issuance of the Horizon Loan was accounted for as a modification of the outstanding term loan. The Company utilized the proceeds from the Horizon Loan to repay the outstanding principal of $11.3 million and end-of-term fees of $0.8 million under the existing term loan due to Horizon.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Senior Revolving Facility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February 2024, the Company also executed a Loan and Security Agreement (“LSA”) with SVB to receive a senior revolving line of credit of up to $10.0 million (“Revolving Facility”). The Revolving Facility is secured by the Company’s accounts receivable, inventory, and other property, excluding intellectual property. The Company may draw up to 85% of the eligible trade receivables and is required to remit the underlying customer proceeds to repay the Revolving Facility.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Revolving Facility carries a variable per-annum interest rate at the Prime Rate plus 0.25%, subject to the floor of 6.00%, and includes additional fees of $0.3 million that are payable regardless of whether any amounts are drawn. The Revolving Facility matured on February 6, 2026. Any borrowings under the Revolving Facility are subordinate to the VLSA.</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allocated the issuance costs under the LSA and VLSA as follows: (1) $0.5 million to the Term Loan liability representing the initial lender fees and the fair value of the Initial Warrants to be recognized as interest expense through the Maturity Date, (2) $0.3 million to the deferred debt financing cost asset to be recognized as interest expense through the Maturity Date and to be reclassified to the Term Loan liability upon draws or expiration of the tranches, and (3) $0.1 million to the Revolving Facility deferred debt financing cost asset to be recognized as interest expense over the availability period of two years. The end-of-term fee is being accreted and the debt issuance costs are being amortized over the term of the notes using the effective interest method. The effective interest rate is 9.5%, inclusive of the end-of-term fee and debt issuance as of December 31, 2025.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LSA and VLSA have interrelated provisions and financial covenants based on net indebtedness and certain revenue-based ratios. Upon an event of default, the interest on the Term Loan and Revolving facility may be increased by 5.0%. The Term Loan also includes a late payment fee of 6.0% of the amount not paid when due.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2025, the Company was in compliance with debt covenants under the LSA and VLSA. No amounts were drawn under the Outstanding Commitment and Revolving Facility through December 31,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Notes payable consists of the following (in thousands):</w:t>
      </w:r>
    </w:p>
    <w:p>
      <w:pPr>
        <w:pStyle w:val="TextBody"/>
        <w:bidi w:val="0"/>
        <w:jc w:val="both"/>
        <w:rPr/>
      </w:pPr>
      <w:r>
        <w:rPr/>
        <w:t> </w:t>
      </w:r>
    </w:p>
    <w:tbl>
      <w:tblPr>
        <w:tblW w:w="5740" w:type="dxa"/>
        <w:jc w:val="left"/>
        <w:tblInd w:w="0" w:type="dxa"/>
        <w:tblLayout w:type="fixed"/>
        <w:tblCellMar>
          <w:top w:w="28" w:type="dxa"/>
          <w:left w:w="28" w:type="dxa"/>
          <w:bottom w:w="28" w:type="dxa"/>
          <w:right w:w="28" w:type="dxa"/>
        </w:tblCellMar>
      </w:tblPr>
      <w:tblGrid>
        <w:gridCol w:w="2881"/>
        <w:gridCol w:w="146"/>
        <w:gridCol w:w="260"/>
        <w:gridCol w:w="835"/>
        <w:gridCol w:w="166"/>
        <w:gridCol w:w="146"/>
        <w:gridCol w:w="260"/>
        <w:gridCol w:w="835"/>
        <w:gridCol w:w="211"/>
      </w:tblGrid>
      <w:tr>
        <w:trPr/>
        <w:tc>
          <w:tcPr>
            <w:tcW w:w="2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of notes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 of term fee accretion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Unamortized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Carrying value of Notes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19,811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19,558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Collateral for the VLSA consists of a security interest in all assets of the Company, excluding intellectual property.</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10.</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Warrants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Effective February 6, 2024, the Company, Horizon, and SVB entered into a $60.0 million financing commitment, consisting of a $50.0 million term loan commitment and a $10.0 million revolving line of credit. Warrants representing the right to purchase 41,345 shares of Series C-1 redeemable convertible preferred stock at a price of $11.49 per share were issued upon closing. See Note 9 for a discussion of the financing commitment. All warrants are currently exercisable, in whole or in part, and expire in 2030, 2032, and 2034. To the extent the warrants are not previously exercised, and if the fair market value of one share is greater than the exercise price under the warrants then in effect, the warrants shall be deemed automatically exercised immediately before expiration. </w:t>
      </w:r>
    </w:p>
    <w:p>
      <w:pPr>
        <w:pStyle w:val="TextBody"/>
        <w:bidi w:val="0"/>
        <w:spacing w:before="120" w:after="283"/>
        <w:jc w:val="both"/>
        <w:rPr/>
      </w:pPr>
      <w:r>
        <w:rPr/>
        <w:t> </w:t>
      </w:r>
    </w:p>
    <w:tbl>
      <w:tblPr>
        <w:tblW w:w="7027" w:type="dxa"/>
        <w:jc w:val="left"/>
        <w:tblInd w:w="0" w:type="dxa"/>
        <w:tblLayout w:type="fixed"/>
        <w:tblCellMar>
          <w:top w:w="28" w:type="dxa"/>
          <w:left w:w="28" w:type="dxa"/>
          <w:bottom w:w="28" w:type="dxa"/>
          <w:right w:w="28" w:type="dxa"/>
        </w:tblCellMar>
      </w:tblPr>
      <w:tblGrid>
        <w:gridCol w:w="2476"/>
        <w:gridCol w:w="146"/>
        <w:gridCol w:w="289"/>
        <w:gridCol w:w="926"/>
        <w:gridCol w:w="146"/>
        <w:gridCol w:w="146"/>
        <w:gridCol w:w="289"/>
        <w:gridCol w:w="926"/>
        <w:gridCol w:w="146"/>
        <w:gridCol w:w="146"/>
        <w:gridCol w:w="189"/>
        <w:gridCol w:w="1011"/>
        <w:gridCol w:w="191"/>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warrants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45,726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56,573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102,299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 per 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 issued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45,726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56,573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102,299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 per 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warrants are included in Additional paid-in capital as of December 31, 2025 and December 31, 2024.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Immediately prior to the closing of the Company’s IPO on October 15, 2024, all warrants exercisable for redeemable convertible preferred stock converted into warrants exercisable for common stock and were reclassified from long-term liabilities to equity. The warrants were subject to remeasurement at each balance sheet date, and any change in fair value was recognized as a component of non-operating income or expense in the Statements of Operations and Comprehensive Loss. The change in the value of the warrant liability for the year ended December 31, 2024, is summarized in the following table (in thousands).</w:t>
      </w:r>
    </w:p>
    <w:p>
      <w:pPr>
        <w:pStyle w:val="TextBody"/>
        <w:bidi w:val="0"/>
        <w:jc w:val="both"/>
        <w:rPr/>
      </w:pPr>
      <w:r>
        <w:rPr/>
        <w:t> </w:t>
      </w:r>
    </w:p>
    <w:tbl>
      <w:tblPr>
        <w:tblW w:w="8550" w:type="dxa"/>
        <w:jc w:val="left"/>
        <w:tblInd w:w="0" w:type="dxa"/>
        <w:tblLayout w:type="fixed"/>
        <w:tblCellMar>
          <w:top w:w="28" w:type="dxa"/>
          <w:left w:w="28" w:type="dxa"/>
          <w:bottom w:w="28" w:type="dxa"/>
          <w:right w:w="28" w:type="dxa"/>
        </w:tblCellMar>
      </w:tblPr>
      <w:tblGrid>
        <w:gridCol w:w="7351"/>
        <w:gridCol w:w="146"/>
        <w:gridCol w:w="211"/>
        <w:gridCol w:w="631"/>
        <w:gridCol w:w="211"/>
      </w:tblGrid>
      <w:tr>
        <w:trPr/>
        <w:tc>
          <w:tcPr>
            <w:tcW w:w="7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7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fair value of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 of redeemable convertible preferred stock warrants to common stock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11.</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Stockholders’ Equity</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is authorized to issue 500,000,000 shares of $0.001 par value common stock as of both December 31, 2025, and December 31, 2024, respectively.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holders of common stock are entitled to receive dividends whenever funds and assets are legally available and when declared by the Board of Directors, subject to the prior rights of holders of redeemable convertible preferred stock outstanding. As of both December 31, 2025 and December 31, 2024, no dividends had been declared.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2025, and December 31, 2024, the Company had reserved common stock for future issuance as follows:</w:t>
      </w:r>
    </w:p>
    <w:p>
      <w:pPr>
        <w:pStyle w:val="TextBody"/>
        <w:bidi w:val="0"/>
        <w:jc w:val="both"/>
        <w:rPr/>
      </w:pPr>
      <w:r>
        <w:rPr/>
        <w:t> </w:t>
      </w:r>
    </w:p>
    <w:tbl>
      <w:tblPr>
        <w:tblW w:w="8694" w:type="dxa"/>
        <w:jc w:val="left"/>
        <w:tblInd w:w="0" w:type="dxa"/>
        <w:tblLayout w:type="fixed"/>
        <w:tblCellMar>
          <w:top w:w="28" w:type="dxa"/>
          <w:left w:w="28" w:type="dxa"/>
          <w:bottom w:w="28" w:type="dxa"/>
          <w:right w:w="28" w:type="dxa"/>
        </w:tblCellMar>
      </w:tblPr>
      <w:tblGrid>
        <w:gridCol w:w="5701"/>
        <w:gridCol w:w="146"/>
        <w:gridCol w:w="146"/>
        <w:gridCol w:w="1036"/>
        <w:gridCol w:w="146"/>
        <w:gridCol w:w="146"/>
        <w:gridCol w:w="146"/>
        <w:gridCol w:w="1036"/>
        <w:gridCol w:w="191"/>
      </w:tblGrid>
      <w:tr>
        <w:trPr/>
        <w:tc>
          <w:tcPr>
            <w:tcW w:w="5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 of outstanding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03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102,299</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03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102,299</w:t>
            </w:r>
          </w:p>
        </w:tc>
        <w:tc>
          <w:tcPr>
            <w:tcW w:w="1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5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4,135,501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5,708,070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1,561,534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335,511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reserved for future issuance under the Company's equity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5,279,680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3,964,620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11,079,014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10,110,500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Stock Incentive Plan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Activity under the 2014 Stock Incentive Plan (the “2014 Plan”), 2024 Equity Incentive Plan (the “2024 EIP”), and 2024 Incentive Award Plan (the “2024 Plan”) is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605"/>
        <w:gridCol w:w="146"/>
        <w:gridCol w:w="146"/>
        <w:gridCol w:w="991"/>
        <w:gridCol w:w="166"/>
        <w:gridCol w:w="146"/>
        <w:gridCol w:w="284"/>
        <w:gridCol w:w="776"/>
        <w:gridCol w:w="146"/>
        <w:gridCol w:w="146"/>
        <w:gridCol w:w="250"/>
        <w:gridCol w:w="806"/>
        <w:gridCol w:w="146"/>
        <w:gridCol w:w="146"/>
        <w:gridCol w:w="174"/>
        <w:gridCol w:w="936"/>
        <w:gridCol w:w="195"/>
      </w:tblGrid>
      <w:tr>
        <w:trPr/>
        <w:tc>
          <w:tcPr>
            <w:tcW w:w="46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46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w:t>
              <w:br/>
              <w:t>contractual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intrinsic</w:t>
              <w:br/>
              <w:t>value</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life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5,708,070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0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7.71</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7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3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110,063</w:t>
            </w:r>
          </w:p>
        </w:tc>
        <w:tc>
          <w:tcPr>
            <w:tcW w:w="19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46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596,484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(1,451,944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(717,109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4,135,501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54,842</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vested and expected to vest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4,135,501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54,842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2,495,376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39,301</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weighted-average grant-date fair value of options granted during the years ended December 31, 2025 and 2024 was $10.12 and $7.46 per share, respectively. The aggregate intrinsic value of options exercised during the years ended December 31, 2025 and 2024 was $17.4 million and $4.0 million, respectively.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Restricted Stock Unit activity under the plans is as follows:</w:t>
      </w:r>
    </w:p>
    <w:p>
      <w:pPr>
        <w:pStyle w:val="TextBody"/>
        <w:bidi w:val="0"/>
        <w:jc w:val="both"/>
        <w:rPr/>
      </w:pPr>
      <w:r>
        <w:rPr/>
        <w:t> </w:t>
      </w:r>
    </w:p>
    <w:tbl>
      <w:tblPr>
        <w:tblW w:w="6107" w:type="dxa"/>
        <w:jc w:val="left"/>
        <w:tblInd w:w="0" w:type="dxa"/>
        <w:tblLayout w:type="fixed"/>
        <w:tblCellMar>
          <w:top w:w="28" w:type="dxa"/>
          <w:left w:w="28" w:type="dxa"/>
          <w:bottom w:w="28" w:type="dxa"/>
          <w:right w:w="28" w:type="dxa"/>
        </w:tblCellMar>
      </w:tblPr>
      <w:tblGrid>
        <w:gridCol w:w="2761"/>
        <w:gridCol w:w="146"/>
        <w:gridCol w:w="146"/>
        <w:gridCol w:w="931"/>
        <w:gridCol w:w="166"/>
        <w:gridCol w:w="146"/>
        <w:gridCol w:w="435"/>
        <w:gridCol w:w="1185"/>
        <w:gridCol w:w="191"/>
      </w:tblGrid>
      <w:tr>
        <w:trPr/>
        <w:tc>
          <w:tcPr>
            <w:tcW w:w="2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 date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Unvested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335,511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23.53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1,719,176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(199,975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(293,178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Unvested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1,561,534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17.94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total fair value of shares vested during the years ended December 31, 2025 and 2024 was $4.3 million and $0.02 million, respectively.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December 31, 2025, the aggregate unrecognized compensation costs related to outstanding unvested options and RSUs under the 2014 Plan, 2024 EIP, and 2024 Plan was $36.6 million. The Company expects to recognize those costs over a weighted average period of 3.0 years.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Prior to the completion of the Company's IPO, the fair value of the common stock underlying our stock awards was determined by the Company's Board of Directors. The valuations of the Company's common stock prior to the completion of the IPO were determined in accordance with the guidelines outlined in the American Institute of Certified Public Accountants Practice Aid, Valuation of Privately-Held-Company Equity Securities Issued as Compensation. The fair value of RSUs post-IPO is based on the Company’s closing stock price on the date of grant. The fair value of service-based stock options and RSUs are amortized on a straight-line basis over the requisite service period of the awards.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fair value of employee stock options granted was estimated using the following weighted-average assumptions:</w:t>
      </w:r>
    </w:p>
    <w:p>
      <w:pPr>
        <w:pStyle w:val="TextBody"/>
        <w:bidi w:val="0"/>
        <w:jc w:val="both"/>
        <w:rPr/>
      </w:pPr>
      <w:r>
        <w:rPr/>
        <w:t> </w:t>
      </w:r>
    </w:p>
    <w:tbl>
      <w:tblPr>
        <w:tblW w:w="4481" w:type="dxa"/>
        <w:jc w:val="left"/>
        <w:tblInd w:w="0" w:type="dxa"/>
        <w:tblLayout w:type="fixed"/>
        <w:tblCellMar>
          <w:top w:w="28" w:type="dxa"/>
          <w:left w:w="28" w:type="dxa"/>
          <w:bottom w:w="28" w:type="dxa"/>
          <w:right w:w="28" w:type="dxa"/>
        </w:tblCellMar>
      </w:tblPr>
      <w:tblGrid>
        <w:gridCol w:w="2086"/>
        <w:gridCol w:w="146"/>
        <w:gridCol w:w="146"/>
        <w:gridCol w:w="466"/>
        <w:gridCol w:w="271"/>
        <w:gridCol w:w="146"/>
        <w:gridCol w:w="146"/>
        <w:gridCol w:w="146"/>
        <w:gridCol w:w="466"/>
        <w:gridCol w:w="271"/>
        <w:gridCol w:w="19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9" w:type="dxa"/>
            <w:gridSpan w:val="9"/>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expected term is based on an average of the midpoint of the requisite service period and the contractual term, and the historical exercise behavior. The expected stock price volatility assumption was determined by examining the historical volatilities for industry peers, as well as the Company's historical volatility. The Company will continue to analyze the historical stock price volatility and expected term assumptions as more historical data for the Company’s common stock becomes available. The risk-free interest rate assumption is based on the U.S. Treasury instruments whose term was consistent with the expected term of the Company’s stock options. The expected dividend assumption is based on the Company’s history and expectation of no dividend payouts.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total stock-based compensation expense was as follows (in thousands):</w:t>
      </w:r>
    </w:p>
    <w:p>
      <w:pPr>
        <w:pStyle w:val="TextBody"/>
        <w:bidi w:val="0"/>
        <w:jc w:val="both"/>
        <w:rPr/>
      </w:pPr>
      <w:r>
        <w:rPr/>
        <w:t> </w:t>
      </w:r>
    </w:p>
    <w:tbl>
      <w:tblPr>
        <w:tblW w:w="6116" w:type="dxa"/>
        <w:jc w:val="left"/>
        <w:tblInd w:w="0" w:type="dxa"/>
        <w:tblLayout w:type="fixed"/>
        <w:tblCellMar>
          <w:top w:w="28" w:type="dxa"/>
          <w:left w:w="28" w:type="dxa"/>
          <w:bottom w:w="28" w:type="dxa"/>
          <w:right w:w="28" w:type="dxa"/>
        </w:tblCellMar>
      </w:tblPr>
      <w:tblGrid>
        <w:gridCol w:w="3526"/>
        <w:gridCol w:w="146"/>
        <w:gridCol w:w="211"/>
        <w:gridCol w:w="676"/>
        <w:gridCol w:w="146"/>
        <w:gridCol w:w="146"/>
        <w:gridCol w:w="146"/>
        <w:gridCol w:w="211"/>
        <w:gridCol w:w="571"/>
        <w:gridCol w:w="146"/>
        <w:gridCol w:w="191"/>
      </w:tblGrid>
      <w:tr>
        <w:trPr/>
        <w:tc>
          <w:tcPr>
            <w:tcW w:w="3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4" w:type="dxa"/>
            <w:gridSpan w:val="9"/>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12,223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Stock-based compensation expense does not include the impact of estimated forfeitures. Forfeitures are taken as a reduction in expense in the period in which they occur. No compensation cost is recorded for awards that do not vest. Option awards included performance-based awards which are subject to the achievement of performance goals. For options subject to performance goals, the Company recognizes expense when it is probable that the performance condition will be achieved. These performance-based awards represent 40,854 and 118,999 of option awards outstanding as of December 31, 2025, and December 31, 2024, respectively and stock-based compensation related to performance-based awards was not material. Total stock-based compensation expense includes non-employee stock-based compensation of $1.1 million and $0.3 million for the years ended December 31, 2025, and 2024, respectively.</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Employee Stock Purchase Plan</w:t>
      </w:r>
    </w:p>
    <w:p>
      <w:pPr>
        <w:pStyle w:val="TextBody"/>
        <w:bidi w:val="0"/>
        <w:spacing w:before="40" w:after="283"/>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In February 2025, the Company adopted the Employee Stock Purchase Plan (the “ESPP”). The Company allows eligible employees to purchase shares of the Company's common stock through payroll deductions at a price equal to 85% of the lesser of the fair market value of the stock as of the first date or the ending date of each offering period, which is typically six months. There were 451,689 shares of common stock initially reserved for issuance under the ESPP. In January 2025, the number of shares of common stock available for issuance under the ESPP was increased by 358,506 shares as a result of the automatic increase provision in the ESPP.</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As of December 31, 2025, 772,526 shares under the ESPP remain available for purchase. The offering period and purchase period is determined by the board of directors.</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12.</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Net loss attributable to common stockholders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Basic net loss per share attributable to the Company’s common stockholders is computed by dividing the net loss attributable to the Company’s common stockholders by the weighted-average number of shares of common stock outstanding during the period. Diluted net loss per share is the same as basic net loss per share for all years presented because the effects of potentially dilutive items were anti-dilutive given the Company’s net loss position in each period presented.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presents the calculation of basic and diluted net loss per share (in thousands, except per share data):</w:t>
      </w:r>
    </w:p>
    <w:p>
      <w:pPr>
        <w:pStyle w:val="TextBody"/>
        <w:bidi w:val="0"/>
        <w:jc w:val="both"/>
        <w:rPr/>
      </w:pPr>
      <w:r>
        <w:rPr/>
        <w:t> </w:t>
      </w:r>
    </w:p>
    <w:tbl>
      <w:tblPr>
        <w:tblW w:w="7214" w:type="dxa"/>
        <w:jc w:val="left"/>
        <w:tblInd w:w="0" w:type="dxa"/>
        <w:tblLayout w:type="fixed"/>
        <w:tblCellMar>
          <w:top w:w="28" w:type="dxa"/>
          <w:left w:w="28" w:type="dxa"/>
          <w:bottom w:w="28" w:type="dxa"/>
          <w:right w:w="28" w:type="dxa"/>
        </w:tblCellMar>
      </w:tblPr>
      <w:tblGrid>
        <w:gridCol w:w="4651"/>
        <w:gridCol w:w="146"/>
        <w:gridCol w:w="211"/>
        <w:gridCol w:w="736"/>
        <w:gridCol w:w="166"/>
        <w:gridCol w:w="146"/>
        <w:gridCol w:w="211"/>
        <w:gridCol w:w="736"/>
        <w:gridCol w:w="211"/>
      </w:tblGrid>
      <w:tr>
        <w:trPr/>
        <w:tc>
          <w:tcPr>
            <w:tcW w:w="4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(40,455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potentially dilutive securities outstanding have been excluded from the computations of weighted-average shares outstanding because such securities have an antidilutive impact due to losses reported (in common stock equivalent shares, in thousands):</w:t>
      </w:r>
    </w:p>
    <w:p>
      <w:pPr>
        <w:pStyle w:val="TextBody"/>
        <w:bidi w:val="0"/>
        <w:jc w:val="both"/>
        <w:rPr/>
      </w:pPr>
      <w:r>
        <w:rPr/>
        <w:t> </w:t>
      </w:r>
    </w:p>
    <w:tbl>
      <w:tblPr>
        <w:tblW w:w="5542" w:type="dxa"/>
        <w:jc w:val="left"/>
        <w:tblInd w:w="0" w:type="dxa"/>
        <w:tblLayout w:type="fixed"/>
        <w:tblCellMar>
          <w:top w:w="28" w:type="dxa"/>
          <w:left w:w="28" w:type="dxa"/>
          <w:bottom w:w="28" w:type="dxa"/>
          <w:right w:w="28" w:type="dxa"/>
        </w:tblCellMar>
      </w:tblPr>
      <w:tblGrid>
        <w:gridCol w:w="3241"/>
        <w:gridCol w:w="146"/>
        <w:gridCol w:w="166"/>
        <w:gridCol w:w="650"/>
        <w:gridCol w:w="166"/>
        <w:gridCol w:w="166"/>
        <w:gridCol w:w="166"/>
        <w:gridCol w:w="650"/>
        <w:gridCol w:w="191"/>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plan stock options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committed under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6,146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13.</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Income Taxes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recorded no income tax expense for the years ended December 31, 2025 and 2024.</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As further described in Note 2, Summary of Significant Accounting Policies, the Company has elected to retrospectively adopt the guidance in ASU No. 2023-09, </w:t>
      </w:r>
      <w:r>
        <w:rPr>
          <w:rFonts w:ascii="Times New Roman" w:hAnsi="Times New Roman"/>
          <w:i/>
          <w:color w:val="000000"/>
          <w:sz w:val="20"/>
        </w:rPr>
        <w:t>Income Taxes (Topic 740): Improvements to Income Taxes Disclosures</w:t>
      </w:r>
      <w:r>
        <w:rPr>
          <w:rFonts w:ascii="Times New Roman" w:hAnsi="Times New Roman"/>
          <w:color w:val="000000"/>
          <w:sz w:val="20"/>
        </w:rPr>
        <w:t>, or ASU 2023-09. The following table is a reconciliation of the U.S. federal statutory rate to the Company’s effective rate for the years ended December 31, 2025 and 2024 in accordance with the guidance in ASU No. 2023-09 (in thousands, except percentages):</w:t>
      </w:r>
    </w:p>
    <w:p>
      <w:pPr>
        <w:pStyle w:val="TextBody"/>
        <w:bidi w:val="0"/>
        <w:jc w:val="both"/>
        <w:rPr/>
      </w:pPr>
      <w:r>
        <w:rPr/>
        <w:t> </w:t>
      </w:r>
    </w:p>
    <w:tbl>
      <w:tblPr>
        <w:tblW w:w="8652" w:type="dxa"/>
        <w:jc w:val="left"/>
        <w:tblInd w:w="0" w:type="dxa"/>
        <w:tblLayout w:type="fixed"/>
        <w:tblCellMar>
          <w:top w:w="28" w:type="dxa"/>
          <w:left w:w="28" w:type="dxa"/>
          <w:bottom w:w="28" w:type="dxa"/>
          <w:right w:w="28" w:type="dxa"/>
        </w:tblCellMar>
      </w:tblPr>
      <w:tblGrid>
        <w:gridCol w:w="3666"/>
        <w:gridCol w:w="146"/>
        <w:gridCol w:w="226"/>
        <w:gridCol w:w="736"/>
        <w:gridCol w:w="166"/>
        <w:gridCol w:w="146"/>
        <w:gridCol w:w="146"/>
        <w:gridCol w:w="526"/>
        <w:gridCol w:w="331"/>
        <w:gridCol w:w="146"/>
        <w:gridCol w:w="226"/>
        <w:gridCol w:w="631"/>
        <w:gridCol w:w="166"/>
        <w:gridCol w:w="146"/>
        <w:gridCol w:w="146"/>
        <w:gridCol w:w="526"/>
        <w:gridCol w:w="576"/>
      </w:tblGrid>
      <w:tr>
        <w:trPr/>
        <w:tc>
          <w:tcPr>
            <w:tcW w:w="3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3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Rate reconciliation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federal statutory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Nondeductible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Executive compensation (162(m))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AEE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AEE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6" w:type="dxa"/>
            <w:tcBorders/>
            <w:shd w:fill="CAEEFB"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Non-qualified stock option windfall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Incentive stock option, net of disposition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Effective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73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0.0</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63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0.0</w:t>
            </w:r>
          </w:p>
        </w:tc>
        <w:tc>
          <w:tcPr>
            <w:tcW w:w="5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significant components of the net deferred tax assets are as follows (in thousands):</w:t>
      </w:r>
    </w:p>
    <w:p>
      <w:pPr>
        <w:pStyle w:val="TextBody"/>
        <w:bidi w:val="0"/>
        <w:jc w:val="both"/>
        <w:rPr/>
      </w:pPr>
      <w:r>
        <w:rPr/>
        <w:t> </w:t>
      </w:r>
    </w:p>
    <w:tbl>
      <w:tblPr>
        <w:tblW w:w="6389" w:type="dxa"/>
        <w:jc w:val="left"/>
        <w:tblInd w:w="0" w:type="dxa"/>
        <w:tblLayout w:type="fixed"/>
        <w:tblCellMar>
          <w:top w:w="28" w:type="dxa"/>
          <w:left w:w="28" w:type="dxa"/>
          <w:bottom w:w="28" w:type="dxa"/>
          <w:right w:w="28" w:type="dxa"/>
        </w:tblCellMar>
      </w:tblPr>
      <w:tblGrid>
        <w:gridCol w:w="3426"/>
        <w:gridCol w:w="146"/>
        <w:gridCol w:w="211"/>
        <w:gridCol w:w="736"/>
        <w:gridCol w:w="166"/>
        <w:gridCol w:w="146"/>
        <w:gridCol w:w="211"/>
        <w:gridCol w:w="736"/>
        <w:gridCol w:w="611"/>
      </w:tblGrid>
      <w:tr>
        <w:trPr/>
        <w:tc>
          <w:tcPr>
            <w:tcW w:w="3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operating loss carryforward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34,766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Capitalized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Accruals and reserves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Fixed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59,998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45,109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ROU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commission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Bonus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(2,291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(57,419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(42,818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deferred tax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No tax benefit has been recorded through December 31, 2025, because, given the history of operating losses, the Company believes it is more likely than not that the deferred tax asset will not be realized, and a full valuation allowance has been provided. The change in the valuation allowance for the years ended December 31, 2025, and 2024 was $14.6 million and $9.6 million, respectively.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December 31, 2025, the Company had federal and state net operating loss carryforwards of $165.6 million and $157.6 million, respectively, available to reduce future taxable income, if any. As of December 31, 2024, the Company had federal and state net operating loss carryforwards of $127.1 million and $126.9 million, respectively, available to reduce future taxable income, if any. The federal net operating loss carryforwards generated prior to January 1, 2018, of $5.0 million and state net operating losses will begin to expire in 2035. The remaining federal net operating loss carryforwards of $160.6 million and $122.1 million as of December 31, 2025 and 2024, respectively, will not expire. Net federal operating losses generated after December 31, 2017 are not limited as they can be carried forward indefinitely, subject to an 80% income limitation. As of December 31, 2025, the Company had federal and state research and development credits of $2.2 million and $2.1 million, respectively. As of December 31, 2024, the Company had federal and state research and development credits of $1.4 million and $1.5 million, respectively. The federal research and development credits will begin to expire in 2035. The state research and development credit will not expire.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Utilization of some of the federal and state net operating losses and credit carryforwards may be subject to annual limitations due to the change in ownership provisions of the Internal Revenue Code of 1986 (“Internal Revenue Code”) and similar state provisions. The Tax Reform Act of 1986 limits the use of net operating loss and tax credit carryforwards in certain situations where changes occur in the stock ownership of a company. Due to ownership changes since inception, the Company’s net operating losses may be limited as to their usage. In the event the Company has additional changes in ownership, utilization of the carryforwards could be further restricted. The Company performed an Internal Revenue Code Section 382 study for 2024 and there was no change in ownership identified. A study has not yet been performed for 2025. If there was an ownership change, there could be an annual limitation that may result in the expiration of net operating losses and credits before utilization.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Beginning in 2022 through 2024, additional changes under the U.S. Tax Cuts and Jobs Act came into effect, including the mandatory capitalization and amortization of research and development expenses. These provisions require the Company to capitalize research and experimental expenditures and amortize them on the U.S. tax return over five or fifteen years, depending on where research is conducted.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July 4, 2025, the One Big Beautiful Bill Act (the “OBBB Act”) was enacted, introducing amendments to U.S. tax laws with various effective dates from 2025 to 2027. The OBBB Act allows for immediate expensing of domestic research and experimentation costs, accelerated depreciation on eligible capital expenditure. The changes are reflected in the results for 2025. The OBBB Act does not have a material impact on the Company's annual effective tax rate in 2025.</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accounts for uncertainty in income taxes under ASC topic 740. ASC 740 requires companies to determine whether it is more likely than not that a tax position will be sustained upon examination by the appropriate taxing authorities before any tax benefit can be recorded in the financial statements. It also provides guidance on the recognition, measurement, classification, and interest and penalties related to uncertain tax positions. The Company has netted its current gross unrecognized tax benefits against its deferred tax assets. If recognized, none of the unrecognized tax benefits would impact income tax expense to the extent that the Company continues to maintain a full valuation allowance against its deferred tax assets.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summarizes the activity related to the Company’s gross unrecognized tax benefits (in thousands):</w:t>
      </w:r>
    </w:p>
    <w:p>
      <w:pPr>
        <w:pStyle w:val="TextBody"/>
        <w:bidi w:val="0"/>
        <w:jc w:val="both"/>
        <w:rPr/>
      </w:pPr>
      <w:r>
        <w:rPr/>
        <w:t> </w:t>
      </w:r>
    </w:p>
    <w:tbl>
      <w:tblPr>
        <w:tblW w:w="4365" w:type="dxa"/>
        <w:jc w:val="left"/>
        <w:tblInd w:w="0" w:type="dxa"/>
        <w:tblLayout w:type="fixed"/>
        <w:tblCellMar>
          <w:top w:w="28" w:type="dxa"/>
          <w:left w:w="28" w:type="dxa"/>
          <w:bottom w:w="28" w:type="dxa"/>
          <w:right w:w="28" w:type="dxa"/>
        </w:tblCellMar>
      </w:tblPr>
      <w:tblGrid>
        <w:gridCol w:w="3376"/>
        <w:gridCol w:w="146"/>
        <w:gridCol w:w="211"/>
        <w:gridCol w:w="421"/>
        <w:gridCol w:w="211"/>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January 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Increases related to current tax positions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related to prior tax positions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Increases related to current tax positions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related to prior tax positions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U.S. federal and state income tax returns are generally subject to tax examinations for the tax years ended December 31, 2019 through December 31, 2024. There are currently no pending income tax examinations. To the extent the Company has tax attribute carryforwards, the tax years in which the attribute was generated may still be adjusted upon examination by the Internal Revenue Service and state tax authorities to the extent utilized in a future period.</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22" w:name="changes_disagreements_with_accountants"/>
      <w:bookmarkEnd w:id="22"/>
      <w:r>
        <w:rPr>
          <w:rFonts w:ascii="Times New Roman" w:hAnsi="Times New Roman"/>
          <w:b/>
          <w:color w:val="000000"/>
          <w:sz w:val="20"/>
        </w:rPr>
        <w:t>Item 9. Changes in and Disagreements with Accountants on Accounting and Financial Disclosure.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both"/>
        <w:rPr>
          <w:rFonts w:ascii="Times New Roman" w:hAnsi="Times New Roman"/>
          <w:b/>
          <w:color w:val="000000"/>
          <w:sz w:val="20"/>
        </w:rPr>
      </w:pPr>
      <w:bookmarkStart w:id="23" w:name="controls_and_procedures"/>
      <w:bookmarkEnd w:id="23"/>
      <w:r>
        <w:rPr>
          <w:rFonts w:ascii="Times New Roman" w:hAnsi="Times New Roman"/>
          <w:b/>
          <w:color w:val="000000"/>
          <w:sz w:val="20"/>
        </w:rPr>
        <w:t>Item 9A. Controls and Procedures.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maintain “disclosure controls and procedures,” as defined in Rules 13a-15(e) and 15d-15(e) under the Exchange Act, that are designed to ensure that information required to be disclosed in the reports that we file or submit under the Exchange Act is (1) recorded, processed, summarized and reported within the time periods specified in the Securities and Exchange Commission’s rules and forms and (2) accumulated and communicated to our management, including our Chief Executive Officer and Chief Financial Officer,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management, with the participation of our Chief Executive Officer and Chief Financial Officer, has evaluated the effectiveness of our disclosure controls and procedures, as of the end of the period covered by this Annual Report. Based on such evaluation, our Chief Executive Officer and Chief Financial Officer have concluded that these disclosure controls and procedures were effective at a reasonable assurance level as of December 31, 2025.</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Management’s Annual Report on Internal Control Over Financial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Management is responsible for establishing and maintaining adequate internal control over financial reporting, as such term is defined in Exchange Act Rule 13a-15(f). Our internal control over financial reporting is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Management has assessed the effectiveness of our internal control over financial reporting based on the framework set forth by the Committee of Sponsoring Organizations of the Treadway Commission (COSO) in Internal Control-Integrated Framework (2013 framework). Based on our evaluation, management has concluded that our internal control over financial reporting was effective as of December 31,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This Annual Report does not include an attestation report of the Company's registered public accounting firm due to the exemption provided to emerging growth companies under the JOBS Act.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were no changes in our internal control over financial reporting (as defined in Rules 13a-15(d) and 15d-15(d) of the Exchange Act) during the quarter ended December 31, 2025, that have materially affected, or are reasonably likely to materially affect, our internal control over financial reporting.</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Limitations on Effectiveness of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management team, including our Chief Executive Officer and Chief Financial Officer, believes that our disclosure controls and procedures and internal controls over financial reporting are designed to provide reasonable assurance of achieving their objectives and are effective at the reasonable assurance level. However, the effectiveness of any internal control over financial reporting is subject to inherent limitations, including the exercise of judgment in designing, implementing, operating, and evaluating the controls and procedures, and the inability to completely eliminate all potential for misconduct. Because of the inherent limitations in all control systems, no evaluation of controls can provide absolute assurance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any cost-effective control system, misstatements due to error or fraud may occur and not be detected.</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bookmarkStart w:id="24" w:name="other_information"/>
      <w:bookmarkEnd w:id="24"/>
      <w:r>
        <w:rPr>
          <w:rFonts w:ascii="Times New Roman" w:hAnsi="Times New Roman"/>
          <w:b/>
          <w:color w:val="000000"/>
          <w:sz w:val="20"/>
        </w:rPr>
        <w:t>Item 9B. Other Information.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Rule 10b5-1 Trading Plans</w:t>
      </w:r>
    </w:p>
    <w:p>
      <w:pPr>
        <w:pStyle w:val="TextBody"/>
        <w:bidi w:val="0"/>
        <w:spacing w:before="120" w:after="283"/>
        <w:jc w:val="both"/>
        <w:rPr/>
      </w:pPr>
      <w:r>
        <w:rPr/>
        <w:t> </w:t>
      </w:r>
    </w:p>
    <w:tbl>
      <w:tblPr>
        <w:tblW w:w="10205" w:type="dxa"/>
        <w:jc w:val="left"/>
        <w:tblInd w:w="0" w:type="dxa"/>
        <w:tblLayout w:type="fixed"/>
        <w:tblCellMar>
          <w:top w:w="28" w:type="dxa"/>
          <w:left w:w="28" w:type="dxa"/>
          <w:bottom w:w="28" w:type="dxa"/>
          <w:right w:w="28" w:type="dxa"/>
        </w:tblCellMar>
      </w:tblPr>
      <w:tblGrid>
        <w:gridCol w:w="1904"/>
        <w:gridCol w:w="661"/>
        <w:gridCol w:w="1587"/>
        <w:gridCol w:w="1151"/>
        <w:gridCol w:w="1638"/>
        <w:gridCol w:w="1820"/>
        <w:gridCol w:w="1444"/>
      </w:tblGrid>
      <w:tr>
        <w:trPr/>
        <w:tc>
          <w:tcPr>
            <w:tcW w:w="1904"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r>
      <w:tr>
        <w:trPr/>
        <w:tc>
          <w:tcPr>
            <w:tcW w:w="1904" w:type="dxa"/>
            <w:vMerge w:val="restart"/>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661" w:type="dxa"/>
            <w:vMerge w:val="restart"/>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Action</w:t>
            </w:r>
          </w:p>
        </w:tc>
        <w:tc>
          <w:tcPr>
            <w:tcW w:w="1587" w:type="dxa"/>
            <w:vMerge w:val="restart"/>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2789" w:type="dxa"/>
            <w:gridSpan w:val="2"/>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Trading Arrangement</w:t>
            </w:r>
          </w:p>
        </w:tc>
        <w:tc>
          <w:tcPr>
            <w:tcW w:w="1820" w:type="dxa"/>
            <w:vMerge w:val="restart"/>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Total Shares to be Sold</w:t>
            </w:r>
          </w:p>
        </w:tc>
        <w:tc>
          <w:tcPr>
            <w:tcW w:w="1444" w:type="dxa"/>
            <w:vMerge w:val="restart"/>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Expiration Date</w:t>
            </w:r>
          </w:p>
        </w:tc>
      </w:tr>
      <w:tr>
        <w:trPr/>
        <w:tc>
          <w:tcPr>
            <w:tcW w:w="190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61" w:type="dxa"/>
            <w:vMerge w:val="continue"/>
            <w:tcBorders>
              <w:top w:val="single" w:sz="4" w:space="0" w:color="000000"/>
              <w:bottom w:val="single" w:sz="4" w:space="0" w:color="000000"/>
              <w:right w:val="single" w:sz="4" w:space="0" w:color="000000"/>
            </w:tcBorders>
            <w:tcMar>
              <w:left w:w="0" w:type="dxa"/>
            </w:tcMar>
            <w:vAlign w:val="center"/>
          </w:tcPr>
          <w:p>
            <w:pPr>
              <w:pStyle w:val="Normal"/>
              <w:bidi w:val="0"/>
              <w:jc w:val="left"/>
              <w:rPr/>
            </w:pPr>
            <w:r>
              <w:rPr/>
            </w:r>
          </w:p>
        </w:tc>
        <w:tc>
          <w:tcPr>
            <w:tcW w:w="1587" w:type="dxa"/>
            <w:vMerge w:val="continue"/>
            <w:tcBorders>
              <w:top w:val="single" w:sz="4" w:space="0" w:color="000000"/>
              <w:bottom w:val="single" w:sz="4" w:space="0" w:color="000000"/>
              <w:right w:val="single" w:sz="4" w:space="0" w:color="000000"/>
            </w:tcBorders>
            <w:tcMar>
              <w:left w:w="0" w:type="dxa"/>
            </w:tcMar>
            <w:vAlign w:val="center"/>
          </w:tcPr>
          <w:p>
            <w:pPr>
              <w:pStyle w:val="Normal"/>
              <w:bidi w:val="0"/>
              <w:jc w:val="left"/>
              <w:rPr/>
            </w:pPr>
            <w:r>
              <w:rPr/>
            </w:r>
          </w:p>
        </w:tc>
        <w:tc>
          <w:tcPr>
            <w:tcW w:w="115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Rule 10b5-1*</w:t>
            </w:r>
          </w:p>
        </w:tc>
        <w:tc>
          <w:tcPr>
            <w:tcW w:w="163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Non-Rule 10b5-1**</w:t>
            </w:r>
          </w:p>
        </w:tc>
        <w:tc>
          <w:tcPr>
            <w:tcW w:w="1820" w:type="dxa"/>
            <w:vMerge w:val="continue"/>
            <w:tcBorders>
              <w:top w:val="single" w:sz="4" w:space="0" w:color="000000"/>
              <w:bottom w:val="single" w:sz="4" w:space="0" w:color="000000"/>
              <w:right w:val="single" w:sz="4" w:space="0" w:color="000000"/>
            </w:tcBorders>
            <w:tcMar>
              <w:left w:w="0" w:type="dxa"/>
            </w:tcMar>
            <w:vAlign w:val="center"/>
          </w:tcPr>
          <w:p>
            <w:pPr>
              <w:pStyle w:val="Normal"/>
              <w:bidi w:val="0"/>
              <w:jc w:val="left"/>
              <w:rPr/>
            </w:pPr>
            <w:r>
              <w:rPr/>
            </w:r>
          </w:p>
        </w:tc>
        <w:tc>
          <w:tcPr>
            <w:tcW w:w="1444" w:type="dxa"/>
            <w:vMerge w:val="continue"/>
            <w:tcBorders>
              <w:top w:val="single" w:sz="4" w:space="0" w:color="000000"/>
              <w:bottom w:val="single" w:sz="4" w:space="0" w:color="000000"/>
              <w:right w:val="single" w:sz="4" w:space="0" w:color="000000"/>
            </w:tcBorders>
            <w:tcMar>
              <w:left w:w="0" w:type="dxa"/>
            </w:tcMar>
            <w:vAlign w:val="center"/>
          </w:tcPr>
          <w:p>
            <w:pPr>
              <w:pStyle w:val="Normal"/>
              <w:bidi w:val="0"/>
              <w:jc w:val="left"/>
              <w:rPr/>
            </w:pPr>
            <w:r>
              <w:rPr/>
            </w:r>
          </w:p>
        </w:tc>
      </w:tr>
      <w:tr>
        <w:trPr/>
        <w:tc>
          <w:tcPr>
            <w:tcW w:w="1904" w:type="dxa"/>
            <w:tcBorders>
              <w:left w:val="single" w:sz="4" w:space="0" w:color="000000"/>
              <w:bottom w:val="single" w:sz="4" w:space="0" w:color="000000"/>
              <w:right w:val="single" w:sz="4" w:space="0" w:color="000000"/>
            </w:tcBorders>
            <w:tcMar>
              <w:top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Scott Blumberg</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Financial Officer</w:t>
            </w:r>
          </w:p>
        </w:tc>
        <w:tc>
          <w:tcPr>
            <w:tcW w:w="66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Adopt</w:t>
            </w:r>
          </w:p>
        </w:tc>
        <w:tc>
          <w:tcPr>
            <w:tcW w:w="1587" w:type="dxa"/>
            <w:tcBorders>
              <w:bottom w:val="single" w:sz="4" w:space="0" w:color="000000"/>
              <w:right w:val="single" w:sz="4" w:space="0" w:color="000000"/>
            </w:tcBorders>
            <w:tcMar>
              <w:top w:w="0" w:type="dxa"/>
              <w:lef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December 12, 2025</w:t>
            </w:r>
          </w:p>
          <w:p>
            <w:pPr>
              <w:pStyle w:val="TableContents"/>
              <w:bidi w:val="0"/>
              <w:spacing w:before="0" w:after="283"/>
              <w:jc w:val="left"/>
              <w:rPr/>
            </w:pPr>
            <w:r>
              <w:rPr/>
              <w:t> </w:t>
            </w:r>
          </w:p>
        </w:tc>
        <w:tc>
          <w:tcPr>
            <w:tcW w:w="115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63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820" w:type="dxa"/>
            <w:tcBorders>
              <w:bottom w:val="single" w:sz="4" w:space="0" w:color="000000"/>
              <w:right w:val="single" w:sz="4" w:space="0" w:color="000000"/>
            </w:tcBorders>
            <w:tcMar>
              <w:top w:w="0" w:type="dxa"/>
              <w:lef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92,000</w:t>
            </w:r>
          </w:p>
          <w:p>
            <w:pPr>
              <w:pStyle w:val="TableContents"/>
              <w:bidi w:val="0"/>
              <w:spacing w:before="0" w:after="283"/>
              <w:jc w:val="left"/>
              <w:rPr/>
            </w:pPr>
            <w:r>
              <w:rPr/>
              <w:t> </w:t>
            </w:r>
          </w:p>
        </w:tc>
        <w:tc>
          <w:tcPr>
            <w:tcW w:w="1444" w:type="dxa"/>
            <w:tcBorders>
              <w:bottom w:val="single" w:sz="4" w:space="0" w:color="000000"/>
              <w:right w:val="single" w:sz="4" w:space="0" w:color="000000"/>
            </w:tcBorders>
            <w:tcMar>
              <w:top w:w="0" w:type="dxa"/>
              <w:lef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March 17, 2027</w:t>
            </w:r>
          </w:p>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 Intended to satisfy the affirmative defense of Rule 10b5-1(c).</w:t>
      </w:r>
    </w:p>
    <w:p>
      <w:pPr>
        <w:pStyle w:val="TextBody"/>
        <w:bidi w:val="0"/>
        <w:jc w:val="left"/>
        <w:rPr>
          <w:rFonts w:ascii="Times New Roman" w:hAnsi="Times New Roman"/>
          <w:color w:val="000000"/>
          <w:sz w:val="20"/>
        </w:rPr>
      </w:pPr>
      <w:r>
        <w:rPr>
          <w:rFonts w:ascii="Times New Roman" w:hAnsi="Times New Roman"/>
          <w:color w:val="000000"/>
          <w:sz w:val="20"/>
        </w:rPr>
        <w:t>** Not intended to satisfy the affirmative defense of Rule 10b5-1(c).</w:t>
      </w:r>
    </w:p>
    <w:p>
      <w:pPr>
        <w:pStyle w:val="TextBody"/>
        <w:bidi w:val="0"/>
        <w:spacing w:before="120" w:after="283"/>
        <w:jc w:val="both"/>
        <w:rPr>
          <w:rFonts w:ascii="Times New Roman" w:hAnsi="Times New Roman"/>
          <w:sz w:val="20"/>
        </w:rPr>
      </w:pPr>
      <w:bookmarkStart w:id="25" w:name="disclosure_regarding_foreign_jurisdicti"/>
      <w:bookmarkEnd w:id="25"/>
      <w:r>
        <w:rPr>
          <w:rFonts w:ascii="Times New Roman" w:hAnsi="Times New Roman"/>
          <w:color w:val="000000"/>
          <w:sz w:val="20"/>
        </w:rPr>
        <w:br/>
      </w:r>
      <w:r>
        <w:rPr>
          <w:rFonts w:ascii="Times New Roman" w:hAnsi="Times New Roman"/>
          <w:b/>
          <w:color w:val="000000"/>
          <w:sz w:val="20"/>
        </w:rPr>
        <w:t>Item 9C. Disclosure Regarding Foreign Jurisdictions that Prevent Inspections.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III</w:t>
      </w:r>
    </w:p>
    <w:p>
      <w:pPr>
        <w:pStyle w:val="TextBody"/>
        <w:bidi w:val="0"/>
        <w:spacing w:before="240" w:after="283"/>
        <w:jc w:val="left"/>
        <w:rPr>
          <w:rFonts w:ascii="Times New Roman" w:hAnsi="Times New Roman"/>
          <w:b/>
          <w:color w:val="000000"/>
          <w:sz w:val="20"/>
        </w:rPr>
      </w:pPr>
      <w:bookmarkStart w:id="26" w:name="directors_executive_officers_and_corpor"/>
      <w:bookmarkEnd w:id="26"/>
      <w:r>
        <w:rPr>
          <w:rFonts w:ascii="Times New Roman" w:hAnsi="Times New Roman"/>
          <w:b/>
          <w:color w:val="000000"/>
          <w:sz w:val="20"/>
        </w:rPr>
        <w:t>Item 10. Directors, Executive Officers and Corporate Governance.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Except as set forth below, the information required by this item is incorporated by reference to our definitive Proxy Statement to be filed with the SEC in connection with our 2026 Annual Meeting of Stockholders within 120 days after the end of the fiscal year ended December 31,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adopted a Code of Business Conduct and Ethics that applies to all of our directors, officers and employees, including our principal executive officer and principal financial officer. A current copy of the code is posted on the Investors—Corporate Governance section of our website, which is located at www.ceribell.com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intend to satisfy the disclosure requirement under Item 5.05 of Form 8-K regarding an amendment to, or waiver from, a provision of this Code of Business Conduct and Ethics by posting such information on our website, at the address and location specified above and, to the extent required by the listing standards of the Nasdaq Global Select Market, by filing a Current Report on Form 8-K with the SEC, disclosing such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adopted insider trading policies and procedures governing the purchase, sale, and other dispositions of our securities by directors, officers, and employees that are designed to promote compliance with insider trading laws, rules, and regulations, and applicable Nasdaq listing standards, as well as procedures designed to further the foregoing purposes. A copy of our insider trading policy was filed with our Annual Report for the fiscal year ended December 31, 2024 as Exhibit 19.1, which is incorporated herein by reference.</w:t>
      </w:r>
    </w:p>
    <w:p>
      <w:pPr>
        <w:pStyle w:val="TextBody"/>
        <w:bidi w:val="0"/>
        <w:spacing w:before="360" w:after="283"/>
        <w:jc w:val="left"/>
        <w:rPr>
          <w:rFonts w:ascii="Times New Roman" w:hAnsi="Times New Roman"/>
          <w:b/>
          <w:color w:val="000000"/>
          <w:sz w:val="20"/>
        </w:rPr>
      </w:pPr>
      <w:bookmarkStart w:id="27" w:name="executive_compensation"/>
      <w:bookmarkEnd w:id="27"/>
      <w:r>
        <w:rPr>
          <w:rFonts w:ascii="Times New Roman" w:hAnsi="Times New Roman"/>
          <w:b/>
          <w:color w:val="000000"/>
          <w:sz w:val="20"/>
        </w:rPr>
        <w:t>Item 11. Executive Compensation.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required by this item is incorporated by reference to our definitive Proxy Statement to be filed with the SEC in connection with our 2026 Annual Meeting of Stockholders within 120 days after the end of the fiscal year ended December 31, 2025.</w:t>
      </w:r>
    </w:p>
    <w:p>
      <w:pPr>
        <w:pStyle w:val="TextBody"/>
        <w:bidi w:val="0"/>
        <w:spacing w:before="360" w:after="283"/>
        <w:jc w:val="left"/>
        <w:rPr>
          <w:rFonts w:ascii="Times New Roman" w:hAnsi="Times New Roman"/>
          <w:b/>
          <w:color w:val="000000"/>
          <w:sz w:val="20"/>
        </w:rPr>
      </w:pPr>
      <w:bookmarkStart w:id="28" w:name="security_ownership_of_certain_beneficial"/>
      <w:bookmarkEnd w:id="28"/>
      <w:r>
        <w:rPr>
          <w:rFonts w:ascii="Times New Roman" w:hAnsi="Times New Roman"/>
          <w:b/>
          <w:color w:val="000000"/>
          <w:sz w:val="20"/>
        </w:rPr>
        <w:t>Item 12. Security Ownership of Certain Beneficial Owners and Management and Related Stockholder Matters.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required by this item is incorporated by reference to our definitive Proxy Statement to be filed with the SEC in connection with our 2026 Annual Meeting of Stockholders within 120 days after the end of the fiscal year ended December 31, 2025.</w:t>
      </w:r>
    </w:p>
    <w:p>
      <w:pPr>
        <w:pStyle w:val="TextBody"/>
        <w:bidi w:val="0"/>
        <w:spacing w:before="360" w:after="283"/>
        <w:jc w:val="left"/>
        <w:rPr>
          <w:rFonts w:ascii="Times New Roman" w:hAnsi="Times New Roman"/>
          <w:b/>
          <w:color w:val="000000"/>
          <w:sz w:val="20"/>
        </w:rPr>
      </w:pPr>
      <w:bookmarkStart w:id="29" w:name="certain_relationships_and_related"/>
      <w:bookmarkEnd w:id="29"/>
      <w:r>
        <w:rPr>
          <w:rFonts w:ascii="Times New Roman" w:hAnsi="Times New Roman"/>
          <w:b/>
          <w:color w:val="000000"/>
          <w:sz w:val="20"/>
        </w:rPr>
        <w:t>Item 13. Certain Relationships and Related Transactions, and Director Independence.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required by this item is incorporated by reference to our definitive Proxy Statement to be filed with the SEC in connection with our 2026 Annual Meeting of Stockholders within 120 days after the end of the fiscal year ended December 31, 2025.</w:t>
      </w:r>
    </w:p>
    <w:p>
      <w:pPr>
        <w:pStyle w:val="TextBody"/>
        <w:bidi w:val="0"/>
        <w:spacing w:before="360" w:after="283"/>
        <w:jc w:val="left"/>
        <w:rPr>
          <w:rFonts w:ascii="Times New Roman" w:hAnsi="Times New Roman"/>
          <w:b/>
          <w:color w:val="000000"/>
          <w:sz w:val="20"/>
        </w:rPr>
      </w:pPr>
      <w:bookmarkStart w:id="30" w:name="principal_accounting_fees_and_services"/>
      <w:bookmarkEnd w:id="30"/>
      <w:r>
        <w:rPr>
          <w:rFonts w:ascii="Times New Roman" w:hAnsi="Times New Roman"/>
          <w:b/>
          <w:color w:val="000000"/>
          <w:sz w:val="20"/>
        </w:rPr>
        <w:t>Item 14. Principal Accounting Fees and Services.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required by this item is incorporated by reference to our definitive Proxy Statement to be filed with the SEC in connection with our 2026 Annual Meeting of Stockholders within 120 days after the end of the fiscal year ended December 31, 2025.</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IV</w:t>
      </w:r>
    </w:p>
    <w:p>
      <w:pPr>
        <w:pStyle w:val="TextBody"/>
        <w:bidi w:val="0"/>
        <w:spacing w:before="240" w:after="283"/>
        <w:jc w:val="both"/>
        <w:rPr>
          <w:rFonts w:ascii="Times New Roman" w:hAnsi="Times New Roman"/>
          <w:b/>
          <w:color w:val="000000"/>
          <w:sz w:val="20"/>
        </w:rPr>
      </w:pPr>
      <w:bookmarkStart w:id="31" w:name="exhibits_financial_statement_schedules"/>
      <w:bookmarkEnd w:id="31"/>
      <w:r>
        <w:rPr>
          <w:rFonts w:ascii="Times New Roman" w:hAnsi="Times New Roman"/>
          <w:b/>
          <w:color w:val="000000"/>
          <w:sz w:val="20"/>
        </w:rPr>
        <w:t>Item 15. Exhibits, Financial Statement Schedules.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documents are filed as part of this Annual Report: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Financial Statements. See Index to Financial Statements included in the financial statements in this Annual Report.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Financial Statement Schedules. All financial statement schedules are omitted because they are not applicable or required, or the information required to be set forth therein is included in the financial statements or notes thereto included in the Index to Financial Statements of this Annual Report.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Exhibits. The exhibits required to be filed as part of this Annual Report are listed in the Exhibit List attached hereto and are incorporated herein by reference.</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706"/>
        <w:gridCol w:w="146"/>
        <w:gridCol w:w="6566"/>
        <w:gridCol w:w="533"/>
        <w:gridCol w:w="735"/>
        <w:gridCol w:w="691"/>
        <w:gridCol w:w="828"/>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6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53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735"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Dated</w:t>
            </w:r>
          </w:p>
        </w:tc>
        <w:tc>
          <w:tcPr>
            <w:tcW w:w="6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828"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Provided</w:t>
              <w:br/>
              <w:t>Herewith</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Amended and Restated Certificate of Incorporation.</w:t>
              </w:r>
            </w:hyperlink>
          </w:p>
        </w:tc>
        <w:tc>
          <w:tcPr>
            <w:tcW w:w="5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10/15/2024</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20"/>
                  <w:u w:val="single"/>
                </w:rPr>
                <w:t>Amended and Restated Bylaws.</w:t>
              </w:r>
            </w:hyperlink>
          </w:p>
        </w:tc>
        <w:tc>
          <w:tcPr>
            <w:tcW w:w="5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10/15/2024</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FF"/>
                  <w:sz w:val="20"/>
                  <w:u w:val="single"/>
                </w:rPr>
                <w:t>Form of Common Stock Certificate.</w:t>
              </w:r>
            </w:hyperlink>
          </w:p>
        </w:tc>
        <w:tc>
          <w:tcPr>
            <w:tcW w:w="5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9/19/2024</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4.01</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4.02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FF"/>
                  <w:sz w:val="20"/>
                  <w:u w:val="single"/>
                </w:rPr>
                <w:t>Description of the Registrant’s Securities Registered Pursuant to Section 12 of the Securities Exchange Act of 1934.</w:t>
              </w:r>
            </w:hyperlink>
          </w:p>
        </w:tc>
        <w:tc>
          <w:tcPr>
            <w:tcW w:w="5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10-K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2/25/2025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color w:val="000000"/>
              </w:rPr>
              <w:t> </w:t>
            </w:r>
            <w:r>
              <w:rPr>
                <w:rFonts w:ascii="Times New Roman" w:hAnsi="Times New Roman"/>
                <w:color w:val="000000"/>
                <w:sz w:val="20"/>
              </w:rPr>
              <w:t xml:space="preserve">4.02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Times New Roman" w:hAnsi="Times New Roman"/>
                  <w:color w:val="0000FF"/>
                  <w:sz w:val="20"/>
                  <w:u w:val="single"/>
                </w:rPr>
                <w:t>Warrant to Purchase Shares of Series Preferred Stock, dated May 1, 2020, issued to Horizon Technology Finance Corporation (Loan A).</w:t>
              </w:r>
            </w:hyperlink>
          </w:p>
        </w:tc>
        <w:tc>
          <w:tcPr>
            <w:tcW w:w="5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8/26/24</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4.03</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FF"/>
                  <w:sz w:val="20"/>
                  <w:u w:val="single"/>
                </w:rPr>
                <w:t>Warrant to Purchase Shares of Series Preferred Stock, dated May 1, 2020, issued to Horizon Technology Finance Corporation (Loan B).</w:t>
              </w:r>
            </w:hyperlink>
          </w:p>
        </w:tc>
        <w:tc>
          <w:tcPr>
            <w:tcW w:w="5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8/26/24</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4.04</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Times New Roman" w:hAnsi="Times New Roman"/>
                  <w:color w:val="0000FF"/>
                  <w:sz w:val="20"/>
                  <w:u w:val="single"/>
                </w:rPr>
                <w:t>Amended and Restated Warrant to Purchase Shares of Series Preferred Stock, dated May 1, 2020, issued to Horizon Technology Finance Corporation (Loan C), as amended on March 10, 2022.</w:t>
              </w:r>
            </w:hyperlink>
          </w:p>
        </w:tc>
        <w:tc>
          <w:tcPr>
            <w:tcW w:w="5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8/26/24</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4.05</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Times New Roman" w:hAnsi="Times New Roman"/>
                  <w:color w:val="0000FF"/>
                  <w:sz w:val="20"/>
                  <w:u w:val="single"/>
                </w:rPr>
                <w:t>Amended and Restated Warrant to Purchase Shares of Series Preferred Stock, dated May 1, 2020, issued to Horizon Technology Finance Corporation (Loan D), as amended on March 10, 2022.</w:t>
              </w:r>
            </w:hyperlink>
          </w:p>
        </w:tc>
        <w:tc>
          <w:tcPr>
            <w:tcW w:w="5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8/26/24</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4.06</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7">
              <w:r>
                <w:rPr>
                  <w:rStyle w:val="InternetLink"/>
                  <w:rFonts w:ascii="Times New Roman" w:hAnsi="Times New Roman"/>
                  <w:color w:val="0000FF"/>
                  <w:sz w:val="20"/>
                  <w:u w:val="single"/>
                </w:rPr>
                <w:t>Warrant to Purchase Shares of Series Preferred Stock, dated May 1, 2020, issued to Horizon Technology Finance Corporation (Loan E).</w:t>
              </w:r>
            </w:hyperlink>
          </w:p>
        </w:tc>
        <w:tc>
          <w:tcPr>
            <w:tcW w:w="5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8/26/24</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4.07</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Times New Roman" w:hAnsi="Times New Roman"/>
                  <w:color w:val="0000FF"/>
                  <w:sz w:val="20"/>
                  <w:u w:val="single"/>
                </w:rPr>
                <w:t>Warrant to Purchase Shares of Series Preferred Stock, dated May 1, 2020, issued to Horizon Technology Finance Corporation (Loan F).</w:t>
              </w:r>
            </w:hyperlink>
          </w:p>
        </w:tc>
        <w:tc>
          <w:tcPr>
            <w:tcW w:w="5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8/26/24</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4.08</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9">
              <w:r>
                <w:rPr>
                  <w:rStyle w:val="InternetLink"/>
                  <w:rFonts w:ascii="Times New Roman" w:hAnsi="Times New Roman"/>
                  <w:color w:val="0000FF"/>
                  <w:sz w:val="20"/>
                  <w:u w:val="single"/>
                </w:rPr>
                <w:t>Warrant to Purchase Shares of Series C-1 Preferred Stock, dated March 10, 2022, issued to Horizon Technology Finance Corporation (Loan C).</w:t>
              </w:r>
            </w:hyperlink>
          </w:p>
        </w:tc>
        <w:tc>
          <w:tcPr>
            <w:tcW w:w="5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8/26/24</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4.09</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0">
              <w:r>
                <w:rPr>
                  <w:rStyle w:val="InternetLink"/>
                  <w:rFonts w:ascii="Times New Roman" w:hAnsi="Times New Roman"/>
                  <w:color w:val="0000FF"/>
                  <w:sz w:val="20"/>
                  <w:u w:val="single"/>
                </w:rPr>
                <w:t>Warrant to Purchase Shares of Series C-1 Preferred Stock, dated March 10, 2022, issued to Horizon Technology Finance Corporation (Loan D).</w:t>
              </w:r>
            </w:hyperlink>
          </w:p>
        </w:tc>
        <w:tc>
          <w:tcPr>
            <w:tcW w:w="5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8/26/24</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4.10</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1">
              <w:r>
                <w:rPr>
                  <w:rStyle w:val="InternetLink"/>
                  <w:rFonts w:ascii="Times New Roman" w:hAnsi="Times New Roman"/>
                  <w:color w:val="0000FF"/>
                  <w:sz w:val="20"/>
                  <w:u w:val="single"/>
                </w:rPr>
                <w:t>Warrant to Purchase Shares of Series C-1 Preferred Stock, dated March 10, 2022, issued to Horizon Technology Finance Corporation (Loan G).</w:t>
              </w:r>
            </w:hyperlink>
          </w:p>
        </w:tc>
        <w:tc>
          <w:tcPr>
            <w:tcW w:w="5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8/26/24</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4.11</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2">
              <w:r>
                <w:rPr>
                  <w:rStyle w:val="InternetLink"/>
                  <w:rFonts w:ascii="Times New Roman" w:hAnsi="Times New Roman"/>
                  <w:color w:val="0000FF"/>
                  <w:sz w:val="20"/>
                  <w:u w:val="single"/>
                </w:rPr>
                <w:t>Warrant to Purchase Shares of Series C-1 Preferred Stock, dated March 10, 2022, issued to Horizon Technology Finance Corporation (Loan H).</w:t>
              </w:r>
            </w:hyperlink>
          </w:p>
        </w:tc>
        <w:tc>
          <w:tcPr>
            <w:tcW w:w="5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8/26/24</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4.12</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3">
              <w:r>
                <w:rPr>
                  <w:rStyle w:val="InternetLink"/>
                  <w:rFonts w:ascii="Times New Roman" w:hAnsi="Times New Roman"/>
                  <w:color w:val="0000FF"/>
                  <w:sz w:val="20"/>
                  <w:u w:val="single"/>
                </w:rPr>
                <w:t>Warrant to Purchase Shares of Series C-1 Preferred Stock, dated March 10, 2022, issued to Horizon Technology Finance Corporation (Loan I).</w:t>
              </w:r>
            </w:hyperlink>
          </w:p>
        </w:tc>
        <w:tc>
          <w:tcPr>
            <w:tcW w:w="5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8/26/24</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4.13</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4">
              <w:r>
                <w:rPr>
                  <w:rStyle w:val="InternetLink"/>
                  <w:rFonts w:ascii="Times New Roman" w:hAnsi="Times New Roman"/>
                  <w:color w:val="0000FF"/>
                  <w:sz w:val="20"/>
                  <w:u w:val="single"/>
                </w:rPr>
                <w:t>Warrant to Purchase Shares of Series C-1 Preferred Stock, dated March 10, 2022, issued to Horizon Technology Finance Corporation (Loan J).</w:t>
              </w:r>
            </w:hyperlink>
          </w:p>
        </w:tc>
        <w:tc>
          <w:tcPr>
            <w:tcW w:w="5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8/26/24</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4.14</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5">
              <w:r>
                <w:rPr>
                  <w:rStyle w:val="InternetLink"/>
                  <w:rFonts w:ascii="Times New Roman" w:hAnsi="Times New Roman"/>
                  <w:color w:val="0000FF"/>
                  <w:sz w:val="20"/>
                  <w:u w:val="single"/>
                </w:rPr>
                <w:t>Warrant to Purchase Shares of Series C-1 Preferred Stock, dated February 6, 2024, issued to Silicon Valley Bank, a Division of First-Citizens Bank &amp; Trust Company. (Closing Warrant).</w:t>
              </w:r>
            </w:hyperlink>
          </w:p>
        </w:tc>
        <w:tc>
          <w:tcPr>
            <w:tcW w:w="5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8/26/24</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4.15</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6">
              <w:r>
                <w:rPr>
                  <w:rStyle w:val="InternetLink"/>
                  <w:rFonts w:ascii="Times New Roman" w:hAnsi="Times New Roman"/>
                  <w:color w:val="0000FF"/>
                  <w:sz w:val="20"/>
                  <w:u w:val="single"/>
                </w:rPr>
                <w:t>Warrant to Purchase Shares of Series C-1 Preferred Stock, dated February 6, 2024, issued to Horizon Technology Finance Corporation. (Loan B).</w:t>
              </w:r>
            </w:hyperlink>
          </w:p>
        </w:tc>
        <w:tc>
          <w:tcPr>
            <w:tcW w:w="5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8/26/24</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4.16</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7">
              <w:r>
                <w:rPr>
                  <w:rStyle w:val="InternetLink"/>
                  <w:rFonts w:ascii="Times New Roman" w:hAnsi="Times New Roman"/>
                  <w:color w:val="0000FF"/>
                  <w:sz w:val="20"/>
                  <w:u w:val="single"/>
                </w:rPr>
                <w:t>Warrant to Purchase Shares of Series C-1 Preferred Stock, dated February 6, 2024, issued to Horizon Technology Finance Corporation. (Loan C).</w:t>
              </w:r>
            </w:hyperlink>
          </w:p>
        </w:tc>
        <w:tc>
          <w:tcPr>
            <w:tcW w:w="5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8/26/24</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4.17</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86"/>
        <w:gridCol w:w="146"/>
        <w:gridCol w:w="7582"/>
        <w:gridCol w:w="421"/>
        <w:gridCol w:w="707"/>
        <w:gridCol w:w="571"/>
        <w:gridCol w:w="192"/>
      </w:tblGrid>
      <w:tr>
        <w:trPr/>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82"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8">
              <w:r>
                <w:rPr>
                  <w:rStyle w:val="InternetLink"/>
                  <w:rFonts w:ascii="Times New Roman" w:hAnsi="Times New Roman"/>
                  <w:color w:val="0000FF"/>
                  <w:sz w:val="20"/>
                  <w:u w:val="single"/>
                </w:rPr>
                <w:t>Warrant to Purchase Shares of Series C-1 Preferred Stock, dated February 6, 2024, issued to Horizon Technology Finance Corporation. (Loan D).</w:t>
              </w:r>
            </w:hyperlink>
          </w:p>
        </w:tc>
        <w:tc>
          <w:tcPr>
            <w:tcW w:w="4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8/26/24</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4.18</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9">
              <w:r>
                <w:rPr>
                  <w:rStyle w:val="InternetLink"/>
                  <w:rFonts w:ascii="Times New Roman" w:hAnsi="Times New Roman"/>
                  <w:color w:val="0000FF"/>
                  <w:sz w:val="20"/>
                  <w:u w:val="single"/>
                </w:rPr>
                <w:t>Warrant to Purchase Shares of Series C-1 Preferred Stock, dated February 6, 2024, issued to Horizon Technology Finance Corporation. (Loan F Commitment).</w:t>
              </w:r>
            </w:hyperlink>
          </w:p>
        </w:tc>
        <w:tc>
          <w:tcPr>
            <w:tcW w:w="4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8/26/24</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4.19</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0">
              <w:r>
                <w:rPr>
                  <w:rStyle w:val="InternetLink"/>
                  <w:rFonts w:ascii="Times New Roman" w:hAnsi="Times New Roman"/>
                  <w:color w:val="0000FF"/>
                  <w:sz w:val="20"/>
                  <w:u w:val="single"/>
                </w:rPr>
                <w:t>Warrant to Purchase Shares of Series C-1 Preferred Stock, dated February 6, 2024, issued to Horizon Technology Finance Corporation. (Loan G Commitment).</w:t>
              </w:r>
            </w:hyperlink>
          </w:p>
        </w:tc>
        <w:tc>
          <w:tcPr>
            <w:tcW w:w="4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8/26/24</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4.20</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1">
              <w:r>
                <w:rPr>
                  <w:rStyle w:val="InternetLink"/>
                  <w:rFonts w:ascii="Times New Roman" w:hAnsi="Times New Roman"/>
                  <w:color w:val="0000FF"/>
                  <w:sz w:val="20"/>
                  <w:u w:val="single"/>
                </w:rPr>
                <w:t>Warrant to Purchase Shares of Series C-1 Preferred Stock, dated February 6, 2024, issued to Horizon Technology Finance Corporation. (Loan I Commitment).</w:t>
              </w:r>
            </w:hyperlink>
          </w:p>
        </w:tc>
        <w:tc>
          <w:tcPr>
            <w:tcW w:w="4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8/26/24</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4.21</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2">
              <w:r>
                <w:rPr>
                  <w:rStyle w:val="InternetLink"/>
                  <w:rFonts w:ascii="Times New Roman" w:hAnsi="Times New Roman"/>
                  <w:color w:val="0000FF"/>
                  <w:sz w:val="20"/>
                  <w:u w:val="single"/>
                </w:rPr>
                <w:t>Warrant to Purchase Shares of Series C-1 Preferred Stock, dated February 6, 2024, issued to Horizon Technology Finance Corporation. (Loan J Commitment).</w:t>
              </w:r>
            </w:hyperlink>
          </w:p>
        </w:tc>
        <w:tc>
          <w:tcPr>
            <w:tcW w:w="4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8/26/24</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4.22</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3">
              <w:r>
                <w:rPr>
                  <w:rStyle w:val="InternetLink"/>
                  <w:rFonts w:ascii="Times New Roman" w:hAnsi="Times New Roman"/>
                  <w:color w:val="0000FF"/>
                  <w:sz w:val="20"/>
                  <w:u w:val="single"/>
                </w:rPr>
                <w:t>Warrant to Purchase Shares of Series C-1 Preferred Stock, dated February 6, 2024, issued to Horizon Technology Finance Corporation. (Loan L Commitment).</w:t>
              </w:r>
            </w:hyperlink>
          </w:p>
        </w:tc>
        <w:tc>
          <w:tcPr>
            <w:tcW w:w="4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8/26/24</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4.23</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4">
              <w:r>
                <w:rPr>
                  <w:rStyle w:val="InternetLink"/>
                  <w:rFonts w:ascii="Times New Roman" w:hAnsi="Times New Roman"/>
                  <w:color w:val="0000FF"/>
                  <w:sz w:val="20"/>
                  <w:u w:val="single"/>
                </w:rPr>
                <w:t>Warrant to Purchase Shares of Series C-1 Preferred Stock, dated February 6, 2024, issued to Horizon Technology Finance Corporation. (Loan M Commitment).</w:t>
              </w:r>
            </w:hyperlink>
          </w:p>
        </w:tc>
        <w:tc>
          <w:tcPr>
            <w:tcW w:w="4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8/26/24</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4.24</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5">
              <w:r>
                <w:rPr>
                  <w:rStyle w:val="InternetLink"/>
                  <w:rFonts w:ascii="Times New Roman" w:hAnsi="Times New Roman"/>
                  <w:color w:val="0000FF"/>
                  <w:sz w:val="20"/>
                  <w:u w:val="single"/>
                </w:rPr>
                <w:t>Lease Agreement dated July 2021, by and between WTA Pastoria II LLC and CeriBell, Inc.</w:t>
              </w:r>
            </w:hyperlink>
          </w:p>
        </w:tc>
        <w:tc>
          <w:tcPr>
            <w:tcW w:w="4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8/26/2024</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10.01</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6">
              <w:r>
                <w:rPr>
                  <w:rStyle w:val="InternetLink"/>
                  <w:rFonts w:ascii="Times New Roman" w:hAnsi="Times New Roman"/>
                  <w:color w:val="0000FF"/>
                  <w:sz w:val="20"/>
                  <w:u w:val="single"/>
                </w:rPr>
                <w:t>Letter Agreement dated October 5, 2021, by and between WTA Pastoria II LLC and CeriBell, Inc.</w:t>
              </w:r>
            </w:hyperlink>
          </w:p>
        </w:tc>
        <w:tc>
          <w:tcPr>
            <w:tcW w:w="4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8/26/2024</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10.02</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7">
              <w:r>
                <w:rPr>
                  <w:rStyle w:val="InternetLink"/>
                  <w:rFonts w:ascii="Times New Roman" w:hAnsi="Times New Roman"/>
                  <w:color w:val="0000FF"/>
                  <w:sz w:val="20"/>
                  <w:u w:val="single"/>
                </w:rPr>
                <w:t>First Amendment to Lease, effective December 8, 2025, by and between CeriBell, Inc. and WTA Pastoria II LLC.</w:t>
              </w:r>
            </w:hyperlink>
          </w:p>
        </w:tc>
        <w:tc>
          <w:tcPr>
            <w:tcW w:w="4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12/12/2025</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8">
              <w:r>
                <w:rPr>
                  <w:rStyle w:val="InternetLink"/>
                  <w:rFonts w:ascii="Times New Roman" w:hAnsi="Times New Roman"/>
                  <w:color w:val="0000FF"/>
                  <w:sz w:val="20"/>
                  <w:u w:val="single"/>
                </w:rPr>
                <w:t>Standard Industrial/Commercial Multi-Tenant Lease, dated May 17, 2024, by and between George Yagmourian and Josefa Yagmourian, Trustees of the Yagmourian 1984 Living Trust dated October 10, 1984 and CeriBell, Inc.</w:t>
              </w:r>
            </w:hyperlink>
          </w:p>
        </w:tc>
        <w:tc>
          <w:tcPr>
            <w:tcW w:w="4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8/26/2024</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10.03</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9">
              <w:r>
                <w:rPr>
                  <w:rStyle w:val="InternetLink"/>
                  <w:rFonts w:ascii="Times New Roman" w:hAnsi="Times New Roman"/>
                  <w:color w:val="0000FF"/>
                  <w:sz w:val="20"/>
                  <w:u w:val="single"/>
                </w:rPr>
                <w:t>Second Amendment to Standard Industrial/Commercial Multi-Tenant Lease, effective December 4, 2025, by and between CeriBell, Inc. and George Yagmourian and Josefa Yagmourian, Trustees of the Yagmourian 1984 Living Trust.</w:t>
              </w:r>
            </w:hyperlink>
          </w:p>
        </w:tc>
        <w:tc>
          <w:tcPr>
            <w:tcW w:w="4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12/12/2025</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0">
              <w:r>
                <w:rPr>
                  <w:rStyle w:val="InternetLink"/>
                  <w:rFonts w:ascii="Times New Roman" w:hAnsi="Times New Roman"/>
                  <w:color w:val="0000FF"/>
                  <w:sz w:val="20"/>
                  <w:u w:val="single"/>
                </w:rPr>
                <w:t>Loan and Security Agreement, dated February 6, 2024, by and between CeriBell, Inc. and Silicon Valley Bank.</w:t>
              </w:r>
            </w:hyperlink>
          </w:p>
        </w:tc>
        <w:tc>
          <w:tcPr>
            <w:tcW w:w="4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8/26/2024</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10.04</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1">
              <w:r>
                <w:rPr>
                  <w:rStyle w:val="InternetLink"/>
                  <w:rFonts w:ascii="Times New Roman" w:hAnsi="Times New Roman"/>
                  <w:color w:val="0000FF"/>
                  <w:sz w:val="20"/>
                  <w:u w:val="single"/>
                </w:rPr>
                <w:t>Venture Loan and Security Agreement, dated February 6, 2024, by and among CeriBell, Inc., Horizon Technology Finance Corporation and Silicon Valley Bank.</w:t>
              </w:r>
            </w:hyperlink>
          </w:p>
        </w:tc>
        <w:tc>
          <w:tcPr>
            <w:tcW w:w="4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8/26/2024</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10.05</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2">
              <w:r>
                <w:rPr>
                  <w:rStyle w:val="InternetLink"/>
                  <w:rFonts w:ascii="Times New Roman" w:hAnsi="Times New Roman"/>
                  <w:color w:val="0000FF"/>
                  <w:sz w:val="20"/>
                  <w:u w:val="single"/>
                </w:rPr>
                <w:t>First Amendment to Venture Loan and Security Agreement, dated February 14, 2025, by and among CeriBell, Inc., Horizon Technology Finance Corporation and Silicon Valley Bank.</w:t>
              </w:r>
            </w:hyperlink>
          </w:p>
        </w:tc>
        <w:tc>
          <w:tcPr>
            <w:tcW w:w="4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2/25/2025</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10.06</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3">
              <w:r>
                <w:rPr>
                  <w:rStyle w:val="InternetLink"/>
                  <w:rFonts w:ascii="Times New Roman" w:hAnsi="Times New Roman"/>
                  <w:color w:val="0000FF"/>
                  <w:sz w:val="20"/>
                  <w:u w:val="single"/>
                </w:rPr>
                <w:t>Exclusive (Equity) Agreement, dated June 15, 2015, by and between the Board of Trustees of the Leland Stanford Junior University and CeriBell, Inc.</w:t>
              </w:r>
            </w:hyperlink>
          </w:p>
        </w:tc>
        <w:tc>
          <w:tcPr>
            <w:tcW w:w="4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8/26/2024</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10.06</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4">
              <w:r>
                <w:rPr>
                  <w:rStyle w:val="InternetLink"/>
                  <w:rFonts w:ascii="Times New Roman" w:hAnsi="Times New Roman"/>
                  <w:color w:val="0000FF"/>
                  <w:sz w:val="20"/>
                  <w:u w:val="single"/>
                </w:rPr>
                <w:t>Amendment No. 1 to the License Agreement effective the 15th Day of June 2015 by and between the Board of Trustees of the Leland Stanford Junior University and CeriBell, Inc., dated September 14, 2015.</w:t>
              </w:r>
            </w:hyperlink>
          </w:p>
        </w:tc>
        <w:tc>
          <w:tcPr>
            <w:tcW w:w="4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8/26/2024</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10.07</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5">
              <w:r>
                <w:rPr>
                  <w:rStyle w:val="InternetLink"/>
                  <w:rFonts w:ascii="Times New Roman" w:hAnsi="Times New Roman"/>
                  <w:color w:val="0000FF"/>
                  <w:sz w:val="20"/>
                  <w:u w:val="single"/>
                </w:rPr>
                <w:t>Amendment No. 2 to the License Agreement effective the 15th Day of June 2015 and amended the 14th Day of September 2015, by and between the Board of Trustees of the Leland Stanford Junior University and CeriBell, Inc., dated April 1, 2017.</w:t>
              </w:r>
            </w:hyperlink>
          </w:p>
        </w:tc>
        <w:tc>
          <w:tcPr>
            <w:tcW w:w="4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8/26/2024</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10.08</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6">
              <w:r>
                <w:rPr>
                  <w:rStyle w:val="InternetLink"/>
                  <w:rFonts w:ascii="Times New Roman" w:hAnsi="Times New Roman"/>
                  <w:color w:val="0000FF"/>
                  <w:sz w:val="20"/>
                  <w:u w:val="single"/>
                </w:rPr>
                <w:t>Amendment No. 3 to the License Agreement effective the 15th Day of June 2015, by and between the Board of Trustees of the Leland Stanford Junior University and CeriBell, Inc., dated March 8, 2022.</w:t>
              </w:r>
            </w:hyperlink>
          </w:p>
        </w:tc>
        <w:tc>
          <w:tcPr>
            <w:tcW w:w="4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8/26/2024</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10.09</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21"/>
        <w:gridCol w:w="146"/>
        <w:gridCol w:w="7464"/>
        <w:gridCol w:w="442"/>
        <w:gridCol w:w="673"/>
        <w:gridCol w:w="571"/>
        <w:gridCol w:w="288"/>
      </w:tblGrid>
      <w:tr>
        <w:trPr/>
        <w:tc>
          <w:tcPr>
            <w:tcW w:w="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64"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7">
              <w:r>
                <w:rPr>
                  <w:rStyle w:val="InternetLink"/>
                  <w:rFonts w:ascii="Times New Roman" w:hAnsi="Times New Roman"/>
                  <w:color w:val="0000FF"/>
                  <w:sz w:val="20"/>
                  <w:u w:val="single"/>
                </w:rPr>
                <w:t>Amendment No. 4 to the License Agreement effective the 15th Day of June 2015, by and between the Board of Trustees of the Leland Stanford Junior University and CeriBell, Inc., dated June 12, 2025.</w:t>
              </w:r>
            </w:hyperlink>
          </w:p>
        </w:tc>
        <w:tc>
          <w:tcPr>
            <w:tcW w:w="44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6/20/2025</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10.01</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8">
              <w:r>
                <w:rPr>
                  <w:rStyle w:val="InternetLink"/>
                  <w:rFonts w:ascii="Times New Roman" w:hAnsi="Times New Roman"/>
                  <w:color w:val="0000FF"/>
                  <w:sz w:val="20"/>
                  <w:u w:val="single"/>
                </w:rPr>
                <w:t>2024 Incentive Award Plan.</w:t>
              </w:r>
            </w:hyperlink>
          </w:p>
        </w:tc>
        <w:tc>
          <w:tcPr>
            <w:tcW w:w="44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10/7/2024</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10.14</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9">
              <w:r>
                <w:rPr>
                  <w:rStyle w:val="InternetLink"/>
                  <w:rFonts w:ascii="Times New Roman" w:hAnsi="Times New Roman"/>
                  <w:color w:val="0000FF"/>
                  <w:sz w:val="20"/>
                  <w:u w:val="single"/>
                </w:rPr>
                <w:t>Form Agreements under 2024 Incentive Award Plan.</w:t>
              </w:r>
            </w:hyperlink>
          </w:p>
        </w:tc>
        <w:tc>
          <w:tcPr>
            <w:tcW w:w="44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10/7/2024</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10.15</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0">
              <w:r>
                <w:rPr>
                  <w:rStyle w:val="InternetLink"/>
                  <w:rFonts w:ascii="Times New Roman" w:hAnsi="Times New Roman"/>
                  <w:color w:val="0000FF"/>
                  <w:sz w:val="20"/>
                  <w:u w:val="single"/>
                </w:rPr>
                <w:t>2024 Employee Stock Purchase Plan.</w:t>
              </w:r>
            </w:hyperlink>
          </w:p>
        </w:tc>
        <w:tc>
          <w:tcPr>
            <w:tcW w:w="44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10/7/2024</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10.16</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1">
              <w:r>
                <w:rPr>
                  <w:rStyle w:val="InternetLink"/>
                  <w:rFonts w:ascii="Times New Roman" w:hAnsi="Times New Roman"/>
                  <w:color w:val="0000FF"/>
                  <w:sz w:val="20"/>
                  <w:u w:val="single"/>
                </w:rPr>
                <w:t>Non-Employee Director Compensation Program.</w:t>
              </w:r>
            </w:hyperlink>
          </w:p>
        </w:tc>
        <w:tc>
          <w:tcPr>
            <w:tcW w:w="44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5/8/2025</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2">
              <w:r>
                <w:rPr>
                  <w:rStyle w:val="InternetLink"/>
                  <w:rFonts w:ascii="Times New Roman" w:hAnsi="Times New Roman"/>
                  <w:color w:val="0000FF"/>
                  <w:sz w:val="20"/>
                  <w:u w:val="single"/>
                </w:rPr>
                <w:t>Form of Indemnification Agreement for Directors and Officers.</w:t>
              </w:r>
            </w:hyperlink>
          </w:p>
        </w:tc>
        <w:tc>
          <w:tcPr>
            <w:tcW w:w="44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9/19/2024</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10.18</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3">
              <w:r>
                <w:rPr>
                  <w:rStyle w:val="InternetLink"/>
                  <w:rFonts w:ascii="Times New Roman" w:hAnsi="Times New Roman"/>
                  <w:color w:val="0000FF"/>
                  <w:sz w:val="20"/>
                  <w:u w:val="single"/>
                </w:rPr>
                <w:t>Employment Agreement, by and between CeriBell, Inc. and Xingjuan (Jane) Chao, Ph.D.</w:t>
              </w:r>
            </w:hyperlink>
          </w:p>
        </w:tc>
        <w:tc>
          <w:tcPr>
            <w:tcW w:w="44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8/26/2024</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10.19</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4">
              <w:r>
                <w:rPr>
                  <w:rStyle w:val="InternetLink"/>
                  <w:rFonts w:ascii="Times New Roman" w:hAnsi="Times New Roman"/>
                  <w:color w:val="0000FF"/>
                  <w:sz w:val="20"/>
                  <w:u w:val="single"/>
                </w:rPr>
                <w:t>Employment Agreement, by and between CeriBell, Inc. and Scott Blumberg.</w:t>
              </w:r>
            </w:hyperlink>
          </w:p>
        </w:tc>
        <w:tc>
          <w:tcPr>
            <w:tcW w:w="44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8/26/2024</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10.20</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5">
              <w:r>
                <w:rPr>
                  <w:rStyle w:val="InternetLink"/>
                  <w:rFonts w:ascii="Times New Roman" w:hAnsi="Times New Roman"/>
                  <w:color w:val="0000FF"/>
                  <w:sz w:val="20"/>
                  <w:u w:val="single"/>
                </w:rPr>
                <w:t>Employment Agreement, by and between CeriBell, Inc. and Joshua Copp.</w:t>
              </w:r>
            </w:hyperlink>
          </w:p>
        </w:tc>
        <w:tc>
          <w:tcPr>
            <w:tcW w:w="44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8/26/2024</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10.21</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6">
              <w:r>
                <w:rPr>
                  <w:rStyle w:val="InternetLink"/>
                  <w:rFonts w:ascii="Times New Roman" w:hAnsi="Times New Roman"/>
                  <w:color w:val="0000FF"/>
                  <w:sz w:val="20"/>
                  <w:u w:val="single"/>
                </w:rPr>
                <w:t>Separation Agreement, dated March 28, 2025, by and between CeriBell, Inc. and Joshua Copp.</w:t>
              </w:r>
            </w:hyperlink>
          </w:p>
        </w:tc>
        <w:tc>
          <w:tcPr>
            <w:tcW w:w="44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5/8/2025</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7">
              <w:r>
                <w:rPr>
                  <w:rStyle w:val="InternetLink"/>
                  <w:rFonts w:ascii="Times New Roman" w:hAnsi="Times New Roman"/>
                  <w:color w:val="0000FF"/>
                  <w:sz w:val="20"/>
                  <w:u w:val="single"/>
                </w:rPr>
                <w:t>Employment Agreement, by and between CeriBell, Inc. and Raymond Woo, Ph.D., as amended.</w:t>
              </w:r>
            </w:hyperlink>
          </w:p>
        </w:tc>
        <w:tc>
          <w:tcPr>
            <w:tcW w:w="44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10/7/2024</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10.22</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8">
              <w:r>
                <w:rPr>
                  <w:rStyle w:val="InternetLink"/>
                  <w:rFonts w:ascii="Times New Roman" w:hAnsi="Times New Roman"/>
                  <w:color w:val="0000FF"/>
                  <w:sz w:val="20"/>
                  <w:u w:val="single"/>
                </w:rPr>
                <w:t>Form of Executive Change in Control and Severance Agreement.</w:t>
              </w:r>
            </w:hyperlink>
          </w:p>
        </w:tc>
        <w:tc>
          <w:tcPr>
            <w:tcW w:w="44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9/19/2024</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10.23</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9">
              <w:r>
                <w:rPr>
                  <w:rStyle w:val="InternetLink"/>
                  <w:rFonts w:ascii="Times New Roman" w:hAnsi="Times New Roman"/>
                  <w:color w:val="0000FF"/>
                  <w:sz w:val="20"/>
                  <w:u w:val="single"/>
                </w:rPr>
                <w:t>Consulting Agreement, dated May 7, 2018, and Amendment No.1 to Consulting Agreement, dated October 2, 2024, by and between CeriBell, Inc. and Josef Parvizi.</w:t>
              </w:r>
            </w:hyperlink>
          </w:p>
        </w:tc>
        <w:tc>
          <w:tcPr>
            <w:tcW w:w="44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10/7/2024</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10.28</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0">
              <w:r>
                <w:rPr>
                  <w:rStyle w:val="InternetLink"/>
                  <w:rFonts w:ascii="Times New Roman" w:hAnsi="Times New Roman"/>
                  <w:color w:val="0000FF"/>
                  <w:sz w:val="20"/>
                  <w:u w:val="single"/>
                </w:rPr>
                <w:t>Corporate Supply Agreement, dated January 10, 2022, by and between CeriBell, Inc. and Shenzhen Everwin Precision Technology Co., Ltd.</w:t>
              </w:r>
            </w:hyperlink>
          </w:p>
        </w:tc>
        <w:tc>
          <w:tcPr>
            <w:tcW w:w="44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8/26/2024</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10.24</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1">
              <w:r>
                <w:rPr>
                  <w:rStyle w:val="InternetLink"/>
                  <w:rFonts w:ascii="Times New Roman" w:hAnsi="Times New Roman"/>
                  <w:color w:val="0000FF"/>
                  <w:sz w:val="20"/>
                  <w:u w:val="single"/>
                </w:rPr>
                <w:t>Corporate Supply Agreement Amendment, dated March 7, 2023, by and between CeriBell, Inc. and Shenzhen Everwin Precision Technology Co., Ltd.</w:t>
              </w:r>
            </w:hyperlink>
          </w:p>
        </w:tc>
        <w:tc>
          <w:tcPr>
            <w:tcW w:w="44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8/26/2024</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10.25</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2">
              <w:r>
                <w:rPr>
                  <w:rStyle w:val="InternetLink"/>
                  <w:rFonts w:ascii="Times New Roman" w:hAnsi="Times New Roman"/>
                  <w:color w:val="0000FF"/>
                  <w:sz w:val="20"/>
                  <w:u w:val="single"/>
                </w:rPr>
                <w:t>Amendment No. 2 to the Corporate Supply Agreement, dated November 28, 2023, by and between CeriBell, Inc. and Shenzhen Everwin Precision Technology Co., Ltd.</w:t>
              </w:r>
            </w:hyperlink>
          </w:p>
        </w:tc>
        <w:tc>
          <w:tcPr>
            <w:tcW w:w="44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9/24/2025</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3">
              <w:r>
                <w:rPr>
                  <w:rStyle w:val="InternetLink"/>
                  <w:rFonts w:ascii="Times New Roman" w:hAnsi="Times New Roman"/>
                  <w:color w:val="0000FF"/>
                  <w:sz w:val="20"/>
                  <w:u w:val="single"/>
                </w:rPr>
                <w:t>Amendment No. 3 to the Corporate Supply Agreement, dated September 22, 2025, by and among CeriBell, Inc., Shenzhen Everwin Precision Technology Co., Ltd., and Everwin Precision (Viet Nam) Technology Co., Ltd.</w:t>
              </w:r>
            </w:hyperlink>
          </w:p>
        </w:tc>
        <w:tc>
          <w:tcPr>
            <w:tcW w:w="44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9/24/2025</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4">
              <w:r>
                <w:rPr>
                  <w:rStyle w:val="InternetLink"/>
                  <w:rFonts w:ascii="Times New Roman" w:hAnsi="Times New Roman"/>
                  <w:color w:val="0000FF"/>
                  <w:sz w:val="20"/>
                  <w:u w:val="single"/>
                </w:rPr>
                <w:t>Corporate Supply Agreement, dated February 1, 2024, by and between CeriBell, Inc. and Ease Care under the management of Luxen and Kersen.</w:t>
              </w:r>
            </w:hyperlink>
          </w:p>
        </w:tc>
        <w:tc>
          <w:tcPr>
            <w:tcW w:w="44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8/26/2024</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10.26</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5">
              <w:r>
                <w:rPr>
                  <w:rStyle w:val="InternetLink"/>
                  <w:rFonts w:ascii="Times New Roman" w:hAnsi="Times New Roman"/>
                  <w:color w:val="0000FF"/>
                  <w:sz w:val="20"/>
                  <w:u w:val="single"/>
                </w:rPr>
                <w:t>Insider Trading Compliance Policy and Procedures.</w:t>
              </w:r>
            </w:hyperlink>
          </w:p>
        </w:tc>
        <w:tc>
          <w:tcPr>
            <w:tcW w:w="44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2/25/2025</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19.1</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bll-ex23_1.htm">
              <w:r>
                <w:rPr>
                  <w:rStyle w:val="InternetLink"/>
                  <w:rFonts w:ascii="Times New Roman" w:hAnsi="Times New Roman"/>
                  <w:color w:val="0000FF"/>
                  <w:sz w:val="20"/>
                  <w:u w:val="single"/>
                </w:rPr>
                <w:t>Consent of PricewaterhouseCoopers LLP, independent registered public accounting firm.</w:t>
              </w:r>
            </w:hyperlink>
          </w:p>
        </w:tc>
        <w:tc>
          <w:tcPr>
            <w:tcW w:w="4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Power of Attorney (included on signature page to this Annual Report on Form 10-K).</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bll-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4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bll-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4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bll-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c>
          <w:tcPr>
            <w:tcW w:w="4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bll-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c>
          <w:tcPr>
            <w:tcW w:w="4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6">
              <w:r>
                <w:rPr>
                  <w:rStyle w:val="InternetLink"/>
                  <w:rFonts w:ascii="Times New Roman" w:hAnsi="Times New Roman"/>
                  <w:color w:val="0000FF"/>
                  <w:sz w:val="20"/>
                  <w:u w:val="single"/>
                </w:rPr>
                <w:t>Policy Relating to Recovery of Erroneously Awarded Compensation.</w:t>
              </w:r>
            </w:hyperlink>
          </w:p>
        </w:tc>
        <w:tc>
          <w:tcPr>
            <w:tcW w:w="44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2/25/2025</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97</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8628"/>
        <w:gridCol w:w="146"/>
        <w:gridCol w:w="146"/>
        <w:gridCol w:w="146"/>
        <w:gridCol w:w="287"/>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6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 Indicates management contract or compensatory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Portions of the exhibit, marked by brackets, have been omitted because the omitted information is (i) not material and (ii) the type of information that the registrant customarily and actually treats as private or confidential.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The certification attached as Exhibit 32.1 and Exhibit 32.2 that accompanies this Annual Report pursuant to 18 U.S.C. Section 1350, as adopted pursuant to Section 906 of the Sarbanes-Oxley Act of 2002, is not deemed “filed” by the Registrant for purposes of Section 18 of the Securities Exchange Act of 1934, as amended.</w:t>
      </w:r>
    </w:p>
    <w:p>
      <w:pPr>
        <w:pStyle w:val="TextBody"/>
        <w:bidi w:val="0"/>
        <w:spacing w:before="360" w:after="283"/>
        <w:jc w:val="both"/>
        <w:rPr>
          <w:rFonts w:ascii="Times New Roman" w:hAnsi="Times New Roman"/>
          <w:b/>
          <w:color w:val="000000"/>
          <w:sz w:val="20"/>
        </w:rPr>
      </w:pPr>
      <w:bookmarkStart w:id="32" w:name="form_10k_summary"/>
      <w:bookmarkEnd w:id="32"/>
      <w:r>
        <w:rPr>
          <w:rFonts w:ascii="Times New Roman" w:hAnsi="Times New Roman"/>
          <w:b/>
          <w:color w:val="000000"/>
          <w:sz w:val="20"/>
        </w:rPr>
        <w:t>Item 16. Form 10-K Summary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requirements of Section 13 or 15(d) of the Securities Exchange Act of 1934, as amended, the Registrant has duly caused this Report to be signed on its behalf by the undersigned, thereunto duly authorized.</w:t>
      </w:r>
    </w:p>
    <w:p>
      <w:pPr>
        <w:pStyle w:val="TextBody"/>
        <w:bidi w:val="0"/>
        <w:jc w:val="left"/>
        <w:rPr/>
      </w:pPr>
      <w:r>
        <w:rPr/>
        <w:t> </w:t>
      </w:r>
    </w:p>
    <w:tbl>
      <w:tblPr>
        <w:tblW w:w="5879" w:type="dxa"/>
        <w:jc w:val="left"/>
        <w:tblInd w:w="0" w:type="dxa"/>
        <w:tblLayout w:type="fixed"/>
        <w:tblCellMar>
          <w:top w:w="28" w:type="dxa"/>
          <w:left w:w="28" w:type="dxa"/>
          <w:bottom w:w="28" w:type="dxa"/>
          <w:right w:w="28" w:type="dxa"/>
        </w:tblCellMar>
      </w:tblPr>
      <w:tblGrid>
        <w:gridCol w:w="2086"/>
        <w:gridCol w:w="146"/>
        <w:gridCol w:w="406"/>
        <w:gridCol w:w="324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4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CeriBell, Inc.</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24,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4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Xingjuan (Jane) Chao, Ph.D.</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Xingjuan (Jane) Chao, Ph.D.</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President and Chief Executive Officer</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POWER OF ATTORNEY</w:t>
      </w:r>
    </w:p>
    <w:p>
      <w:pPr>
        <w:pStyle w:val="TextBody"/>
        <w:bidi w:val="0"/>
        <w:jc w:val="center"/>
        <w:rPr/>
      </w:pPr>
      <w:r>
        <w:rPr/>
        <w:t> </w:t>
      </w:r>
    </w:p>
    <w:p>
      <w:pPr>
        <w:pStyle w:val="TextBody"/>
        <w:bidi w:val="0"/>
        <w:spacing w:before="0" w:after="180"/>
        <w:jc w:val="both"/>
        <w:rPr>
          <w:rFonts w:ascii="Times New Roman" w:hAnsi="Times New Roman"/>
          <w:sz w:val="20"/>
        </w:rPr>
      </w:pPr>
      <w:r>
        <w:rPr>
          <w:rFonts w:ascii="Times New Roman" w:hAnsi="Times New Roman"/>
          <w:color w:val="231F20"/>
          <w:sz w:val="20"/>
        </w:rPr>
        <w:t xml:space="preserve">KNOW ALL PERSONS BY THESE PRESENTS, that each person whose signature appears below constitutes and appoints </w:t>
      </w:r>
      <w:r>
        <w:rPr>
          <w:rFonts w:ascii="Times New Roman" w:hAnsi="Times New Roman"/>
          <w:color w:val="000000"/>
          <w:sz w:val="20"/>
        </w:rPr>
        <w:t>Xingjuan (Jane) Chao, Ph.D., Scott Blumberg</w:t>
      </w:r>
      <w:r>
        <w:rPr>
          <w:rFonts w:ascii="Times New Roman" w:hAnsi="Times New Roman"/>
          <w:color w:val="231F20"/>
          <w:sz w:val="20"/>
        </w:rPr>
        <w:t xml:space="preserve">, and Louisa Daniels and each of them, his or her true and lawful attorneys-in-fact and agents, with full power of substitution and resubstitution, for him or her and in his or her name, place, and stead, in any and all capacities, to sign any and all amendments to this </w:t>
      </w:r>
      <w:r>
        <w:rPr>
          <w:rFonts w:ascii="Times New Roman" w:hAnsi="Times New Roman"/>
          <w:color w:val="000000"/>
          <w:sz w:val="20"/>
        </w:rPr>
        <w:t>Annual Report on Form 10-K, and to file the same, with all exhibits thereto</w:t>
      </w:r>
      <w:r>
        <w:rPr>
          <w:rFonts w:ascii="Times New Roman" w:hAnsi="Times New Roman"/>
          <w:color w:val="231F20"/>
          <w:sz w:val="20"/>
        </w:rPr>
        <w:t>, and all other documents in connection therewith, with the Securities and Exchange Commission, granting unto each said attorney-in-fact and agents full power and authority to do and perform each and every act in person, hereby ratifying and confirming all that said attorneys-in-fact and agents or either of them or their or his or her substitute or substitutes may lawfully do or cause to be done by virtue hereof.</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this Report has been signed below by the following persons on behalf of the Registrant in the capacities and on the dates indicated.</w:t>
      </w:r>
    </w:p>
    <w:p>
      <w:pPr>
        <w:pStyle w:val="TextBody"/>
        <w:bidi w:val="0"/>
        <w:jc w:val="left"/>
        <w:rPr/>
      </w:pPr>
      <w:r>
        <w:rPr/>
        <w:t> </w:t>
      </w:r>
    </w:p>
    <w:tbl>
      <w:tblPr>
        <w:tblW w:w="8531" w:type="dxa"/>
        <w:jc w:val="left"/>
        <w:tblInd w:w="0" w:type="dxa"/>
        <w:tblLayout w:type="fixed"/>
        <w:tblCellMar>
          <w:top w:w="28" w:type="dxa"/>
          <w:left w:w="28" w:type="dxa"/>
          <w:bottom w:w="28" w:type="dxa"/>
          <w:right w:w="28" w:type="dxa"/>
        </w:tblCellMar>
      </w:tblPr>
      <w:tblGrid>
        <w:gridCol w:w="2656"/>
        <w:gridCol w:w="109"/>
        <w:gridCol w:w="3961"/>
        <w:gridCol w:w="109"/>
        <w:gridCol w:w="1696"/>
      </w:tblGrid>
      <w:tr>
        <w:trPr/>
        <w:tc>
          <w:tcPr>
            <w:tcW w:w="2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r>
      <w:tr>
        <w:trPr/>
        <w:tc>
          <w:tcPr>
            <w:tcW w:w="26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6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Xingjuan (Jane) Chao, Ph.D.</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President, Chief Executive Officer, and Director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24, 2026</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Xingjuan (Jane) Chao, Ph.D.</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i/>
                <w:color w:val="000000"/>
                <w:sz w:val="20"/>
              </w:rPr>
              <w:t>(Principal Executive Officer)</w:t>
            </w:r>
            <w:r>
              <w:rPr>
                <w:rFonts w:ascii="Times New Roman" w:hAnsi="Times New Roman"/>
                <w:color w:val="000000"/>
                <w:sz w:val="20"/>
              </w:rPr>
              <w:t xml:space="preserve">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Scott Blumberg</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Chief Financial Officer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February 24, 2026</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Scott Blumberg</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i/>
                <w:color w:val="000000"/>
                <w:sz w:val="20"/>
              </w:rPr>
              <w:t>(Principal Financial Officer)</w:t>
            </w:r>
            <w:r>
              <w:rPr>
                <w:rFonts w:ascii="Times New Roman" w:hAnsi="Times New Roman"/>
                <w:color w:val="000000"/>
                <w:sz w:val="20"/>
              </w:rPr>
              <w:t xml:space="preserve">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David Foehr</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Senior Vice President, Finance</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February 24, 2026</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David Foehr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i/>
                <w:color w:val="000000"/>
                <w:sz w:val="20"/>
              </w:rPr>
              <w:t>(Principal Accounting Officer)</w:t>
            </w:r>
            <w:r>
              <w:rPr>
                <w:rFonts w:ascii="Times New Roman" w:hAnsi="Times New Roman"/>
                <w:color w:val="000000"/>
                <w:sz w:val="20"/>
              </w:rPr>
              <w:t xml:space="preserve">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Rebecca Robertson</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Chair of the Board of Directors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February 24, 2026</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Rebecca Robertson</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Juliet Tammenoms Bakker</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Director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February 24, 2026</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Juliet Tammenoms Bakker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William W. Burke</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Director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February 24, 2026</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William W. Burke</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Josef Parvizi, M.D., Ph.D.</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Director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February 24, 2026</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Josef Parvizi, M.D., Ph.D.</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Erica Rogers</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Director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February 24, 2026</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Erica Rogers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Joseph M. Taylor</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Director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February 24, 2026</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Joseph M. Taylor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121</w:t>
      </w:r>
    </w:p>
    <w:p>
      <w:pPr>
        <w:pStyle w:val="HorizontalLine"/>
        <w:pBdr>
          <w:bottom w:val="double" w:sz="2" w:space="0" w:color="808080"/>
        </w:pBdr>
        <w:bidi w:val="0"/>
        <w:spacing w:before="0" w:after="283"/>
        <w:jc w:val="left"/>
        <w:rPr/>
      </w:pPr>
      <w:r>
        <w:rPr/>
      </w:r>
    </w:p>
    <w:p>
      <w:pPr>
        <w:pStyle w:val="TextBody"/>
        <w:bidi w:val="0"/>
        <w:jc w:val="left"/>
        <w:rPr/>
      </w:pPr>
      <w:bookmarkStart w:id="33" w:name="cbll-ex23_1.htm"/>
      <w:bookmarkStart w:id="34" w:name="kscbllex23_1"/>
      <w:bookmarkEnd w:id="33"/>
      <w:bookmarkEnd w:id="34"/>
      <w:r>
        <w:rPr/>
        <w:t> </w:t>
      </w:r>
      <w:r>
        <w:br w:type="page"/>
      </w:r>
    </w:p>
    <w:p>
      <w:pPr>
        <w:pStyle w:val="TextBody"/>
        <w:bidi w:val="0"/>
        <w:spacing w:before="480" w:after="480"/>
        <w:jc w:val="center"/>
        <w:rPr>
          <w:rFonts w:ascii="Georgia;serif" w:hAnsi="Georgia;serif"/>
          <w:color w:val="000000"/>
          <w:sz w:val="20"/>
        </w:rPr>
      </w:pPr>
      <w:r>
        <w:rPr>
          <w:rFonts w:ascii="Georgia;serif" w:hAnsi="Georgia;serif"/>
          <w:color w:val="000000"/>
          <w:sz w:val="20"/>
        </w:rPr>
        <w:t>CONSENT OF INDEPENDENT REGISTERED PUBLIC ACCOUNTING FIRM</w:t>
      </w:r>
    </w:p>
    <w:p>
      <w:pPr>
        <w:pStyle w:val="TextBody"/>
        <w:bidi w:val="0"/>
        <w:spacing w:before="0" w:after="120"/>
        <w:jc w:val="left"/>
        <w:rPr>
          <w:rFonts w:ascii="Georgia;serif" w:hAnsi="Georgia;serif"/>
          <w:color w:val="000000"/>
          <w:sz w:val="20"/>
        </w:rPr>
      </w:pPr>
      <w:r>
        <w:rPr>
          <w:rFonts w:ascii="Georgia;serif" w:hAnsi="Georgia;serif"/>
          <w:color w:val="000000"/>
          <w:sz w:val="20"/>
        </w:rPr>
        <w:t>We hereby consent to the incorporation by reference in the Registration Statement on Forms S-8 (Nos. 333-282603 and 333-285239) and Form S-3 (No. 333-291249) of CeriBell, Inc. of our report dated February 24, 2026 relating to the financial statements, which appears in this Form 10-K.</w:t>
      </w:r>
    </w:p>
    <w:p>
      <w:pPr>
        <w:pStyle w:val="TextBody"/>
        <w:bidi w:val="0"/>
        <w:spacing w:before="120" w:after="160"/>
        <w:jc w:val="left"/>
        <w:rPr>
          <w:rFonts w:ascii="Times New Roman" w:hAnsi="Times New Roman"/>
          <w:sz w:val="20"/>
        </w:rPr>
      </w:pPr>
      <w:r>
        <w:rPr>
          <w:rFonts w:ascii="Georgia;serif" w:hAnsi="Georgia;serif"/>
          <w:color w:val="000000"/>
          <w:sz w:val="20"/>
        </w:rPr>
        <w:t>/s/ PricewaterhouseCoopers LLP</w:t>
      </w:r>
      <w:r>
        <w:rPr>
          <w:rFonts w:ascii="Aptos;sans-serif" w:hAnsi="Aptos;sans-serif"/>
          <w:color w:val="000000"/>
          <w:sz w:val="24"/>
        </w:rPr>
        <w:br/>
      </w:r>
      <w:r>
        <w:rPr>
          <w:rFonts w:ascii="Georgia;serif" w:hAnsi="Georgia;serif"/>
          <w:color w:val="000000"/>
          <w:sz w:val="20"/>
        </w:rPr>
        <w:t>San Jose, California</w:t>
      </w:r>
      <w:r>
        <w:rPr>
          <w:rFonts w:ascii="Aptos;sans-serif" w:hAnsi="Aptos;sans-serif"/>
          <w:color w:val="000000"/>
          <w:sz w:val="24"/>
        </w:rPr>
        <w:br/>
      </w:r>
      <w:r>
        <w:rPr>
          <w:rFonts w:ascii="Georgia;serif" w:hAnsi="Georgia;serif"/>
          <w:color w:val="000000"/>
          <w:sz w:val="20"/>
        </w:rPr>
        <w:t>February 24, 2026</w:t>
      </w:r>
    </w:p>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5" w:name="cbll-ex31_1.htm"/>
      <w:bookmarkStart w:id="36" w:name="kscbllex31_1"/>
      <w:bookmarkEnd w:id="35"/>
      <w:bookmarkEnd w:id="36"/>
      <w:r>
        <w:rPr>
          <w:rFonts w:ascii="Times New Roman" w:hAnsi="Times New Roman"/>
          <w:b/>
          <w:color w:val="000000"/>
          <w:sz w:val="20"/>
        </w:rPr>
        <w:t>Exhibit 31.1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Xingjuan (Jane) Chao, Ph.D.,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Annual Report on Form 10-K of CeriBell,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969" w:type="dxa"/>
        <w:jc w:val="left"/>
        <w:tblInd w:w="0" w:type="dxa"/>
        <w:tblLayout w:type="fixed"/>
        <w:tblCellMar>
          <w:top w:w="28" w:type="dxa"/>
          <w:left w:w="28" w:type="dxa"/>
          <w:bottom w:w="28" w:type="dxa"/>
          <w:right w:w="28" w:type="dxa"/>
        </w:tblCellMar>
      </w:tblPr>
      <w:tblGrid>
        <w:gridCol w:w="2086"/>
        <w:gridCol w:w="146"/>
        <w:gridCol w:w="406"/>
        <w:gridCol w:w="333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24,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Xingjuan (Jane) Chao, Ph.D.</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Xingjuan (Jane) Chao, Ph.D.</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 and Chief Executive Officer</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spacing w:before="240" w:after="283"/>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7" w:name="cbll-ex31_2.htm"/>
      <w:bookmarkStart w:id="38" w:name="kscbllex31_2"/>
      <w:bookmarkEnd w:id="37"/>
      <w:bookmarkEnd w:id="38"/>
      <w:r>
        <w:rPr>
          <w:rFonts w:ascii="Times New Roman" w:hAnsi="Times New Roman"/>
          <w:b/>
          <w:color w:val="000000"/>
          <w:sz w:val="20"/>
        </w:rPr>
        <w:t>Exhibit 31.2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Scott Blumberg,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Annual Report on Form 10-K of CeriBell,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204" w:type="dxa"/>
        <w:jc w:val="left"/>
        <w:tblInd w:w="0" w:type="dxa"/>
        <w:tblLayout w:type="fixed"/>
        <w:tblCellMar>
          <w:top w:w="28" w:type="dxa"/>
          <w:left w:w="28" w:type="dxa"/>
          <w:bottom w:w="28" w:type="dxa"/>
          <w:right w:w="28" w:type="dxa"/>
        </w:tblCellMar>
      </w:tblPr>
      <w:tblGrid>
        <w:gridCol w:w="2086"/>
        <w:gridCol w:w="146"/>
        <w:gridCol w:w="406"/>
        <w:gridCol w:w="2566"/>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24,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Scott Blumberg</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Scott Blumberg</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9" w:name="cbll-ex32_1.htm"/>
      <w:bookmarkStart w:id="40" w:name="kscbllex32_1"/>
      <w:bookmarkEnd w:id="39"/>
      <w:bookmarkEnd w:id="40"/>
      <w:r>
        <w:rPr>
          <w:rFonts w:ascii="Times New Roman" w:hAnsi="Times New Roman"/>
          <w:b/>
          <w:color w:val="000000"/>
          <w:sz w:val="20"/>
        </w:rPr>
        <w:t>Exhibit 32.1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Annual Report of CeriBell, Inc. (the “Company”) on Form 10-K for the period ended December 31, 2025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5932" w:type="dxa"/>
        <w:jc w:val="left"/>
        <w:tblInd w:w="0" w:type="dxa"/>
        <w:tblLayout w:type="fixed"/>
        <w:tblCellMar>
          <w:top w:w="28" w:type="dxa"/>
          <w:left w:w="28" w:type="dxa"/>
          <w:bottom w:w="28" w:type="dxa"/>
          <w:right w:w="28" w:type="dxa"/>
        </w:tblCellMar>
      </w:tblPr>
      <w:tblGrid>
        <w:gridCol w:w="2086"/>
        <w:gridCol w:w="109"/>
        <w:gridCol w:w="406"/>
        <w:gridCol w:w="3331"/>
      </w:tblGrid>
      <w:tr>
        <w:trPr/>
        <w:tc>
          <w:tcPr>
            <w:tcW w:w="2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24,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Xingjuan (Jane) Chao, Ph.D.</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Xingjuan (Jane) Chao, Ph.D.</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 and Chief Executive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1" w:name="cbll-ex32_2.htm"/>
      <w:bookmarkStart w:id="42" w:name="kscbllex32_2"/>
      <w:bookmarkEnd w:id="41"/>
      <w:bookmarkEnd w:id="42"/>
      <w:r>
        <w:rPr>
          <w:rFonts w:ascii="Times New Roman" w:hAnsi="Times New Roman"/>
          <w:b/>
          <w:color w:val="000000"/>
          <w:sz w:val="20"/>
        </w:rPr>
        <w:t>Exhibit 32.2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Annual Report of CeriBell, Inc. (the “Company”) on Form 10-K for the period ended December 31, 2025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4702" w:type="dxa"/>
        <w:jc w:val="left"/>
        <w:tblInd w:w="0" w:type="dxa"/>
        <w:tblLayout w:type="fixed"/>
        <w:tblCellMar>
          <w:top w:w="28" w:type="dxa"/>
          <w:left w:w="28" w:type="dxa"/>
          <w:bottom w:w="28" w:type="dxa"/>
          <w:right w:w="28" w:type="dxa"/>
        </w:tblCellMar>
      </w:tblPr>
      <w:tblGrid>
        <w:gridCol w:w="2086"/>
        <w:gridCol w:w="109"/>
        <w:gridCol w:w="406"/>
        <w:gridCol w:w="2101"/>
      </w:tblGrid>
      <w:tr>
        <w:trPr/>
        <w:tc>
          <w:tcPr>
            <w:tcW w:w="2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24,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Scott Blumberg</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Scott Blumberg</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spacing w:before="240" w:after="283"/>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Georgia">
    <w:altName w:val="serif"/>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gif"/><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gif"/><Relationship Id="rId12" Type="http://schemas.openxmlformats.org/officeDocument/2006/relationships/image" Target="media/image11.gif"/><Relationship Id="rId13" Type="http://schemas.openxmlformats.org/officeDocument/2006/relationships/image" Target="media/image12.jpeg"/><Relationship Id="rId14" Type="http://schemas.openxmlformats.org/officeDocument/2006/relationships/image" Target="media/image13.gif"/><Relationship Id="rId15" Type="http://schemas.openxmlformats.org/officeDocument/2006/relationships/image" Target="media/image14.gif"/><Relationship Id="rId16" Type="http://schemas.openxmlformats.org/officeDocument/2006/relationships/image" Target="media/image15.gif"/><Relationship Id="rId17" Type="http://schemas.openxmlformats.org/officeDocument/2006/relationships/image" Target="media/image16.jpeg"/><Relationship Id="rId18" Type="http://schemas.openxmlformats.org/officeDocument/2006/relationships/image" Target="media/image17.gif"/><Relationship Id="rId19" Type="http://schemas.openxmlformats.org/officeDocument/2006/relationships/hyperlink" Target="https://www.sec.gov/Archives/edgar/data/1861107/000095017024114767/cbll-ex3_1.htm" TargetMode="External"/><Relationship Id="rId20" Type="http://schemas.openxmlformats.org/officeDocument/2006/relationships/hyperlink" Target="https://www.sec.gov/Archives/edgar/data/1861107/000095017024114767/cbll-ex3_2.htm" TargetMode="External"/><Relationship Id="rId21" Type="http://schemas.openxmlformats.org/officeDocument/2006/relationships/hyperlink" Target="https://www.sec.gov/Archives/edgar/data/1861107/000095017024108128/cbll-ex4_01.htm" TargetMode="External"/><Relationship Id="rId22" Type="http://schemas.openxmlformats.org/officeDocument/2006/relationships/hyperlink" Target="https://www.sec.gov/Archives/edgar/data/1861107/000095017025026773/cbll-ex4_02.htm" TargetMode="External"/><Relationship Id="rId23" Type="http://schemas.openxmlformats.org/officeDocument/2006/relationships/hyperlink" Target="https://www.sec.gov/Archives/edgar/data/1861107/000095017024100574/cbll-ex4_03.htm" TargetMode="External"/><Relationship Id="rId24" Type="http://schemas.openxmlformats.org/officeDocument/2006/relationships/hyperlink" Target="https://www.sec.gov/Archives/edgar/data/1861107/000095017024100574/cbll-ex4_04.htm" TargetMode="External"/><Relationship Id="rId25" Type="http://schemas.openxmlformats.org/officeDocument/2006/relationships/hyperlink" Target="https://www.sec.gov/Archives/edgar/data/1861107/000095017024100574/cbll-ex4_05.htm" TargetMode="External"/><Relationship Id="rId26" Type="http://schemas.openxmlformats.org/officeDocument/2006/relationships/hyperlink" Target="https://www.sec.gov/Archives/edgar/data/1861107/000095017024100574/cbll-ex4_06.htm" TargetMode="External"/><Relationship Id="rId27" Type="http://schemas.openxmlformats.org/officeDocument/2006/relationships/hyperlink" Target="https://www.sec.gov/Archives/edgar/data/1861107/000095017024100574/cbll-ex4_07.htm" TargetMode="External"/><Relationship Id="rId28" Type="http://schemas.openxmlformats.org/officeDocument/2006/relationships/hyperlink" Target="https://www.sec.gov/Archives/edgar/data/1861107/000095017024100574/cbll-ex4_08.htm" TargetMode="External"/><Relationship Id="rId29" Type="http://schemas.openxmlformats.org/officeDocument/2006/relationships/hyperlink" Target="https://www.sec.gov/Archives/edgar/data/1861107/000095017024100574/cbll-ex4_09.htm" TargetMode="External"/><Relationship Id="rId30" Type="http://schemas.openxmlformats.org/officeDocument/2006/relationships/hyperlink" Target="https://www.sec.gov/Archives/edgar/data/1861107/000095017024100574/cbll-ex4_10.htm" TargetMode="External"/><Relationship Id="rId31" Type="http://schemas.openxmlformats.org/officeDocument/2006/relationships/hyperlink" Target="https://www.sec.gov/Archives/edgar/data/1861107/000095017024100574/cbll-ex4_11.htm" TargetMode="External"/><Relationship Id="rId32" Type="http://schemas.openxmlformats.org/officeDocument/2006/relationships/hyperlink" Target="https://www.sec.gov/Archives/edgar/data/1861107/000095017024100574/cbll-ex4_12.htm" TargetMode="External"/><Relationship Id="rId33" Type="http://schemas.openxmlformats.org/officeDocument/2006/relationships/hyperlink" Target="https://www.sec.gov/Archives/edgar/data/1861107/000095017024100574/cbll-ex4_13.htm" TargetMode="External"/><Relationship Id="rId34" Type="http://schemas.openxmlformats.org/officeDocument/2006/relationships/hyperlink" Target="https://www.sec.gov/Archives/edgar/data/1861107/000095017024100574/cbll-ex4_14.htm" TargetMode="External"/><Relationship Id="rId35" Type="http://schemas.openxmlformats.org/officeDocument/2006/relationships/hyperlink" Target="https://www.sec.gov/Archives/edgar/data/1861107/000095017024100574/cbll-ex4_15.htm" TargetMode="External"/><Relationship Id="rId36" Type="http://schemas.openxmlformats.org/officeDocument/2006/relationships/hyperlink" Target="https://www.sec.gov/Archives/edgar/data/1861107/000095017024100574/cbll-ex4_16.htm" TargetMode="External"/><Relationship Id="rId37" Type="http://schemas.openxmlformats.org/officeDocument/2006/relationships/hyperlink" Target="https://www.sec.gov/Archives/edgar/data/1861107/000095017024100574/cbll-ex4_17.htm" TargetMode="External"/><Relationship Id="rId38" Type="http://schemas.openxmlformats.org/officeDocument/2006/relationships/hyperlink" Target="https://www.sec.gov/Archives/edgar/data/1861107/000095017024100574/cbll-ex4_18.htm" TargetMode="External"/><Relationship Id="rId39" Type="http://schemas.openxmlformats.org/officeDocument/2006/relationships/hyperlink" Target="https://www.sec.gov/Archives/edgar/data/1861107/000095017024100574/cbll-ex4_19.htm" TargetMode="External"/><Relationship Id="rId40" Type="http://schemas.openxmlformats.org/officeDocument/2006/relationships/hyperlink" Target="https://www.sec.gov/Archives/edgar/data/1861107/000095017024100574/cbll-ex4_20.htm" TargetMode="External"/><Relationship Id="rId41" Type="http://schemas.openxmlformats.org/officeDocument/2006/relationships/hyperlink" Target="https://www.sec.gov/Archives/edgar/data/1861107/000095017024100574/cbll-ex4_21.htm" TargetMode="External"/><Relationship Id="rId42" Type="http://schemas.openxmlformats.org/officeDocument/2006/relationships/hyperlink" Target="https://www.sec.gov/Archives/edgar/data/1861107/000095017024100574/cbll-ex4_22.htm" TargetMode="External"/><Relationship Id="rId43" Type="http://schemas.openxmlformats.org/officeDocument/2006/relationships/hyperlink" Target="https://www.sec.gov/Archives/edgar/data/1861107/000095017024100574/cbll-ex4_23.htm" TargetMode="External"/><Relationship Id="rId44" Type="http://schemas.openxmlformats.org/officeDocument/2006/relationships/hyperlink" Target="https://www.sec.gov/Archives/edgar/data/1861107/000095017024100574/cbll-ex4_24.htm" TargetMode="External"/><Relationship Id="rId45" Type="http://schemas.openxmlformats.org/officeDocument/2006/relationships/hyperlink" Target="https://www.sec.gov/Archives/edgar/data/1861107/000095017024100574/cbll-ex10_01.htm" TargetMode="External"/><Relationship Id="rId46" Type="http://schemas.openxmlformats.org/officeDocument/2006/relationships/hyperlink" Target="https://www.sec.gov/Archives/edgar/data/1861107/000095017024100574/cbll-ex10_02.htm" TargetMode="External"/><Relationship Id="rId47" Type="http://schemas.openxmlformats.org/officeDocument/2006/relationships/hyperlink" Target="https://www.sec.gov/Archives/edgar/data/1861107/000119312525317295/cbll-ex10_2.htm" TargetMode="External"/><Relationship Id="rId48" Type="http://schemas.openxmlformats.org/officeDocument/2006/relationships/hyperlink" Target="https://www.sec.gov/Archives/edgar/data/1861107/000095017024100574/cbll-ex10_03.htm" TargetMode="External"/><Relationship Id="rId49" Type="http://schemas.openxmlformats.org/officeDocument/2006/relationships/hyperlink" Target="https://www.sec.gov/Archives/edgar/data/1861107/000119312525317295/cbll-ex10_1.htm" TargetMode="External"/><Relationship Id="rId50" Type="http://schemas.openxmlformats.org/officeDocument/2006/relationships/hyperlink" Target="https://www.sec.gov/Archives/edgar/data/1861107/000095017024100574/cbll-ex10_04.htm" TargetMode="External"/><Relationship Id="rId51" Type="http://schemas.openxmlformats.org/officeDocument/2006/relationships/hyperlink" Target="https://www.sec.gov/Archives/edgar/data/1861107/000095017024100574/cbll-ex10_05.htm" TargetMode="External"/><Relationship Id="rId52" Type="http://schemas.openxmlformats.org/officeDocument/2006/relationships/hyperlink" Target="https://www.sec.gov/Archives/edgar/data/1861107/000095017025026773/cbll-ex10_06.htm" TargetMode="External"/><Relationship Id="rId53" Type="http://schemas.openxmlformats.org/officeDocument/2006/relationships/hyperlink" Target="https://www.sec.gov/Archives/edgar/data/1861107/000095017024108128/cbll-ex10_6.htm" TargetMode="External"/><Relationship Id="rId54" Type="http://schemas.openxmlformats.org/officeDocument/2006/relationships/hyperlink" Target="https://www.sec.gov/Archives/edgar/data/1861107/000095017024108128/cbll-ex10_7.htm" TargetMode="External"/><Relationship Id="rId55" Type="http://schemas.openxmlformats.org/officeDocument/2006/relationships/hyperlink" Target="https://www.sec.gov/Archives/edgar/data/1861107/000095017024100574/cbll-ex10_08.htm" TargetMode="External"/><Relationship Id="rId56" Type="http://schemas.openxmlformats.org/officeDocument/2006/relationships/hyperlink" Target="https://www.sec.gov/Archives/edgar/data/1861107/000095017024100574/cbll-ex10_09.htm" TargetMode="External"/><Relationship Id="rId57" Type="http://schemas.openxmlformats.org/officeDocument/2006/relationships/hyperlink" Target="https://www.sec.gov/Archives/edgar/data/1861107/000095017025088309/cbll-ex10_1.htm" TargetMode="External"/><Relationship Id="rId58" Type="http://schemas.openxmlformats.org/officeDocument/2006/relationships/hyperlink" Target="https://www.sec.gov/Archives/edgar/data/1861107/000095017024113073/cbll-ex10_14.htm" TargetMode="External"/><Relationship Id="rId59" Type="http://schemas.openxmlformats.org/officeDocument/2006/relationships/hyperlink" Target="https://www.sec.gov/Archives/edgar/data/1861107/000095017024113073/cbll-ex10_15.htm" TargetMode="External"/><Relationship Id="rId60" Type="http://schemas.openxmlformats.org/officeDocument/2006/relationships/hyperlink" Target="https://www.sec.gov/Archives/edgar/data/1861107/000095017024113073/cbll-ex10_16.htm" TargetMode="External"/><Relationship Id="rId61" Type="http://schemas.openxmlformats.org/officeDocument/2006/relationships/hyperlink" Target="https://www.sec.gov/Archives/edgar/data/1861107/000095017025067097/cbll-ex10_1.htm" TargetMode="External"/><Relationship Id="rId62" Type="http://schemas.openxmlformats.org/officeDocument/2006/relationships/hyperlink" Target="https://www.sec.gov/Archives/edgar/data/1861107/000095017024108128/cbll-ex10_18.htm" TargetMode="External"/><Relationship Id="rId63" Type="http://schemas.openxmlformats.org/officeDocument/2006/relationships/hyperlink" Target="https://www.sec.gov/Archives/edgar/data/1861107/000095017024100574/cbll-ex10_19.htm" TargetMode="External"/><Relationship Id="rId64" Type="http://schemas.openxmlformats.org/officeDocument/2006/relationships/hyperlink" Target="https://www.sec.gov/Archives/edgar/data/1861107/000095017024100574/cbll-ex10_20.htm" TargetMode="External"/><Relationship Id="rId65" Type="http://schemas.openxmlformats.org/officeDocument/2006/relationships/hyperlink" Target="https://www.sec.gov/Archives/edgar/data/1861107/000095017024100574/cbll-ex10_21.htm" TargetMode="External"/><Relationship Id="rId66" Type="http://schemas.openxmlformats.org/officeDocument/2006/relationships/hyperlink" Target="https://www.sec.gov/Archives/edgar/data/1861107/000095017025067097/cbll-ex10_2.htm" TargetMode="External"/><Relationship Id="rId67" Type="http://schemas.openxmlformats.org/officeDocument/2006/relationships/hyperlink" Target="https://www.sec.gov/Archives/edgar/data/1861107/000095017024113073/cbll-ex10_22.htm" TargetMode="External"/><Relationship Id="rId68" Type="http://schemas.openxmlformats.org/officeDocument/2006/relationships/hyperlink" Target="https://www.sec.gov/Archives/edgar/data/1861107/000095017024108128/cbll-ex10_23.htm" TargetMode="External"/><Relationship Id="rId69" Type="http://schemas.openxmlformats.org/officeDocument/2006/relationships/hyperlink" Target="https://www.sec.gov/Archives/edgar/data/1861107/000095017024113073/cbll-ex10_28.htm" TargetMode="External"/><Relationship Id="rId70" Type="http://schemas.openxmlformats.org/officeDocument/2006/relationships/hyperlink" Target="https://www.sec.gov/Archives/edgar/data/1861107/000095017024100574/cbll-ex10_24.htm" TargetMode="External"/><Relationship Id="rId71" Type="http://schemas.openxmlformats.org/officeDocument/2006/relationships/hyperlink" Target="https://www.sec.gov/Archives/edgar/data/1861107/000095017024100574/cbll-ex10_25.htm" TargetMode="External"/><Relationship Id="rId72" Type="http://schemas.openxmlformats.org/officeDocument/2006/relationships/hyperlink" Target="https://www.sec.gov/Archives/edgar/data/1861107/000119312525214813/cbll-ex10_1.htm" TargetMode="External"/><Relationship Id="rId73" Type="http://schemas.openxmlformats.org/officeDocument/2006/relationships/hyperlink" Target="https://www.sec.gov/Archives/edgar/data/1861107/000119312525214813/cbll-ex10_2.htm" TargetMode="External"/><Relationship Id="rId74" Type="http://schemas.openxmlformats.org/officeDocument/2006/relationships/hyperlink" Target="https://www.sec.gov/Archives/edgar/data/1861107/000095017024100574/cbll-ex10_26.htm" TargetMode="External"/><Relationship Id="rId75" Type="http://schemas.openxmlformats.org/officeDocument/2006/relationships/hyperlink" Target="https://www.sec.gov/Archives/edgar/data/1861107/000095017025026773/cbll-ex19_1.htm" TargetMode="External"/><Relationship Id="rId76" Type="http://schemas.openxmlformats.org/officeDocument/2006/relationships/hyperlink" Target="https://www.sec.gov/Archives/edgar/data/1861107/000095017025026773/cbll-ex97.htm" TargetMode="External"/><Relationship Id="rId77" Type="http://schemas.openxmlformats.org/officeDocument/2006/relationships/fontTable" Target="fontTable.xml"/><Relationship Id="rId7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88573</Words>
  <Characters>498744</Characters>
  <CharactersWithSpaces>587177</CharactersWithSpaces>
  <Paragraphs>6946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