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Chao Xingjuan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CERIBELL,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 N. PASTORIA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Ceribell, Inc.</w:t>
              </w:r>
            </w:hyperlink>
            <w:r>
              <w:rPr/>
              <w:t xml:space="preserve"> [ </w:t>
            </w:r>
            <w:r>
              <w:rPr>
                <w:rFonts w:ascii="Times;serif" w:hAnsi="Times;serif"/>
                <w:color w:val="0000FF"/>
                <w:sz w:val="24"/>
                <w:shd w:fill="FFFFFF" w:val="clear"/>
              </w:rPr>
              <w:t>CBLL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802,317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803,763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1,446</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802,317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23,554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825,871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23,554</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802,317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369,088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ACP 2021 Trust</w:t>
            </w:r>
            <w:r>
              <w:rPr>
                <w:rFonts w:ascii="Times;serif" w:hAnsi="Times;serif"/>
                <w:color w:val="008000"/>
                <w:position w:val="7"/>
                <w:sz w:val="16"/>
                <w:sz w:val="20"/>
                <w:shd w:fill="FFFFFF" w:val="clear"/>
              </w:rPr>
              <w:t>(3)(4)</w:t>
            </w:r>
            <w:r>
              <w:rPr/>
              <w:t xml:space="preserve"> </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288,710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23,554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02/16/2033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77,923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$19.69 to $20.27, inclusive. The Reporting Person undertakes to provide to the Issuer, any security holder of the Issuer, or the staff of the Securities and Exchange Commission, upon request, full information regarding the number of shares purchased or sold, as applicable,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a co-trustee of the ACP 2021 Trust, and therefore may be deemed to share beneficial ownership of these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disclaims beneficial ownership of these securities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 vests with respect to 1/48 of the shares subject thereto on each monthly anniversary of April 1, 2023, subject to the Reporting Person's continued employment or service relationship with the Issuer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 is fully vested and currently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Louisa Daniels, Attorney-in-Fact for Xingjuan (Jane) Chao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5784" TargetMode="External"/><Relationship Id="rId5" Type="http://schemas.openxmlformats.org/officeDocument/2006/relationships/hyperlink" Target="http://www.sec.gov/cgi-bin/browse-edgar?action=getcompany&amp;CIK=00018611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834</Words>
  <Characters>4467</Characters>
  <CharactersWithSpaces>5193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