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Manni Joseph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1361</w:t>
            </w:r>
          </w:p>
        </w:tc>
        <w:tc>
          <w:tcPr>
            <w:tcW w:w="1377" w:type="dxa"/>
            <w:tcBorders/>
            <w:vAlign w:val="center"/>
          </w:tcPr>
          <w:p>
            <w:pPr>
              <w:pStyle w:val="TableContents"/>
              <w:bidi w:val="0"/>
              <w:spacing w:before="0" w:after="283"/>
              <w:jc w:val="left"/>
              <w:rPr/>
            </w:pPr>
            <w:r>
              <w:rPr/>
              <w:t>32693.67</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1361</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Joseph Manni</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1" w:type="dxa"/>
            <w:tcBorders/>
            <w:vAlign w:val="center"/>
          </w:tcPr>
          <w:p>
            <w:pPr>
              <w:pStyle w:val="TableContents"/>
              <w:bidi w:val="0"/>
              <w:spacing w:before="0" w:after="283"/>
              <w:jc w:val="left"/>
              <w:rPr/>
            </w:pPr>
            <w:r>
              <w:rPr/>
              <w:t>1378</w:t>
            </w:r>
          </w:p>
        </w:tc>
        <w:tc>
          <w:tcPr>
            <w:tcW w:w="1697" w:type="dxa"/>
            <w:tcBorders/>
            <w:vAlign w:val="center"/>
          </w:tcPr>
          <w:p>
            <w:pPr>
              <w:pStyle w:val="TableContents"/>
              <w:bidi w:val="0"/>
              <w:spacing w:before="0" w:after="283"/>
              <w:jc w:val="left"/>
              <w:rPr/>
            </w:pPr>
            <w:r>
              <w:rPr/>
              <w:t>24798.35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Gary Redman, as a duly authorized representative of Fidelity Brokerage Services LLC, as attorney-in-fact for Joseph Manni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3230</Characters>
  <CharactersWithSpaces>3803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