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bll-20250331.htm"/>
        <w:bookmarkStart w:id="1" w:name="kscbll20250331"/>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001-42364</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CBLL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April 30, 2025, the registrant had 36,143,022</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5"/>
        <w:gridCol w:w="8238"/>
        <w:gridCol w:w="1082"/>
      </w:tblGrid>
      <w:tr>
        <w:trPr/>
        <w:tc>
          <w:tcPr>
            <w:tcW w:w="885" w:type="dxa"/>
            <w:tcBorders/>
            <w:vAlign w:val="center"/>
          </w:tcPr>
          <w:p>
            <w:pPr>
              <w:pStyle w:val="TableContents"/>
              <w:bidi w:val="0"/>
              <w:spacing w:before="0" w:after="283"/>
              <w:jc w:val="left"/>
              <w:rPr>
                <w:sz w:val="4"/>
                <w:szCs w:val="4"/>
              </w:rPr>
            </w:pPr>
            <w:r>
              <w:rPr>
                <w:sz w:val="4"/>
                <w:szCs w:val="4"/>
              </w:rPr>
            </w:r>
          </w:p>
        </w:tc>
        <w:tc>
          <w:tcPr>
            <w:tcW w:w="823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563C1"/>
                  <w:sz w:val="20"/>
                  <w:u w:val="single"/>
                </w:rPr>
                <w:t>Condensed Statements of Operations and Comprehensive Loss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563C1"/>
                  <w:sz w:val="20"/>
                  <w:u w:val="single"/>
                </w:rPr>
                <w:t>Condensed Statements of</w:t>
              </w:r>
            </w:hyperlink>
            <w:hyperlink w:anchor="equity">
              <w:r>
                <w:rPr>
                  <w:rStyle w:val="InternetLink"/>
                  <w:rFonts w:ascii="Times New Roman" w:hAnsi="Times New Roman"/>
                  <w:color w:val="0563C1"/>
                  <w:sz w:val="20"/>
                </w:rPr>
                <w:t xml:space="preserve"> </w:t>
              </w:r>
            </w:hyperlink>
            <w:r>
              <w:rPr>
                <w:rFonts w:ascii="Times New Roman" w:hAnsi="Times New Roman"/>
                <w:color w:val="0563C1"/>
                <w:sz w:val="20"/>
                <w:u w:val="single"/>
              </w:rPr>
              <w:t xml:space="preserve">Redeemable Convertible Preferred Stock and </w:t>
            </w:r>
            <w:hyperlink w:anchor="equity">
              <w:r>
                <w:rPr>
                  <w:rStyle w:val="InternetLink"/>
                  <w:rFonts w:ascii="Times New Roman" w:hAnsi="Times New Roman"/>
                  <w:color w:val="000080"/>
                  <w:sz w:val="20"/>
                  <w:u w:val="single"/>
                </w:rPr>
                <w:t>Stockholders’ Equity (Deficit)</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563C1"/>
                  <w:sz w:val="20"/>
                  <w:u w:val="single"/>
                </w:rPr>
                <w:t>Condensed Statements of Cash Flows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Financial Statements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_q_disclosures">
              <w:r>
                <w:rPr>
                  <w:rStyle w:val="InternetLink"/>
                  <w:rFonts w:ascii="Times New Roman" w:hAnsi="Times New Roman"/>
                  <w:color w:val="0563C1"/>
                  <w:sz w:val="20"/>
                  <w:u w:val="single"/>
                </w:rPr>
                <w:t>Quantitative and Qualitative Disclosures About Market Risk</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27 </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73</w:t>
            </w:r>
          </w:p>
        </w:tc>
      </w:tr>
      <w:tr>
        <w:trPr/>
        <w:tc>
          <w:tcPr>
            <w:tcW w:w="885"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8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statements do not reflect the potential impact of any future acquisitions, mergers, dispositions, joint ventures, or investments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06"/>
        <w:gridCol w:w="146"/>
        <w:gridCol w:w="196"/>
        <w:gridCol w:w="751"/>
        <w:gridCol w:w="166"/>
        <w:gridCol w:w="146"/>
        <w:gridCol w:w="228"/>
        <w:gridCol w:w="874"/>
        <w:gridCol w:w="392"/>
      </w:tblGrid>
      <w:tr>
        <w:trPr/>
        <w:tc>
          <w:tcPr>
            <w:tcW w:w="7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194,370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217,272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12,989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21,258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34,247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Commitments and contingencies</w:t>
            </w:r>
            <w:r>
              <w:rPr>
                <w:rFonts w:ascii="Times New Roman" w:hAnsi="Times New Roman"/>
                <w:color w:val="000000"/>
                <w:sz w:val="18"/>
              </w:rPr>
              <w:t xml:space="preserv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as of both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both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as of both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35,897,062</w:t>
            </w:r>
            <w:r>
              <w:rPr>
                <w:rFonts w:ascii="Times New Roman" w:hAnsi="Times New Roman"/>
                <w:color w:val="000000"/>
                <w:sz w:val="20"/>
              </w:rPr>
              <w:t> </w:t>
            </w:r>
            <w:r>
              <w:rPr>
                <w:rFonts w:ascii="Times New Roman" w:hAnsi="Times New Roman"/>
                <w:color w:val="000000"/>
                <w:sz w:val="18"/>
              </w:rPr>
              <w:t>and 35,850,606</w:t>
            </w:r>
            <w:r>
              <w:rPr>
                <w:rFonts w:ascii="Times New Roman" w:hAnsi="Times New Roman"/>
                <w:color w:val="000000"/>
                <w:sz w:val="20"/>
              </w:rPr>
              <w:t> </w:t>
            </w:r>
            <w:r>
              <w:rPr>
                <w:rFonts w:ascii="Times New Roman" w:hAnsi="Times New Roman"/>
                <w:color w:val="000000"/>
                <w:sz w:val="18"/>
              </w:rPr>
              <w:t>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358,073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(166,944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191,165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6" w:name="stmt_of_operations_comp_los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7"/>
        <w:gridCol w:w="146"/>
        <w:gridCol w:w="211"/>
        <w:gridCol w:w="1036"/>
        <w:gridCol w:w="166"/>
        <w:gridCol w:w="146"/>
        <w:gridCol w:w="211"/>
        <w:gridCol w:w="931"/>
        <w:gridCol w:w="391"/>
      </w:tblGrid>
      <w:tr>
        <w:trPr/>
        <w:tc>
          <w:tcPr>
            <w:tcW w:w="6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35,881,029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5,457,366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7" w:name="equity"/>
      <w:bookmarkEnd w:id="7"/>
      <w:r>
        <w:rPr>
          <w:rFonts w:ascii="Times New Roman" w:hAnsi="Times New Roman"/>
          <w:b/>
          <w:color w:val="000000"/>
          <w:sz w:val="20"/>
        </w:rPr>
        <w:t>Condensed Statements of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46"/>
        <w:gridCol w:w="146"/>
        <w:gridCol w:w="146"/>
        <w:gridCol w:w="146"/>
        <w:gridCol w:w="146"/>
        <w:gridCol w:w="146"/>
        <w:gridCol w:w="916"/>
        <w:gridCol w:w="166"/>
        <w:gridCol w:w="146"/>
        <w:gridCol w:w="159"/>
        <w:gridCol w:w="377"/>
        <w:gridCol w:w="146"/>
        <w:gridCol w:w="146"/>
        <w:gridCol w:w="196"/>
        <w:gridCol w:w="691"/>
        <w:gridCol w:w="166"/>
        <w:gridCol w:w="146"/>
        <w:gridCol w:w="463"/>
        <w:gridCol w:w="819"/>
        <w:gridCol w:w="166"/>
        <w:gridCol w:w="146"/>
        <w:gridCol w:w="196"/>
        <w:gridCol w:w="751"/>
        <w:gridCol w:w="166"/>
        <w:gridCol w:w="146"/>
        <w:gridCol w:w="215"/>
        <w:gridCol w:w="761"/>
        <w:gridCol w:w="215"/>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35,897,062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180,881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773"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196"/>
        <w:gridCol w:w="691"/>
        <w:gridCol w:w="146"/>
        <w:gridCol w:w="146"/>
        <w:gridCol w:w="146"/>
        <w:gridCol w:w="146"/>
        <w:gridCol w:w="826"/>
        <w:gridCol w:w="146"/>
        <w:gridCol w:w="146"/>
        <w:gridCol w:w="146"/>
        <w:gridCol w:w="346"/>
        <w:gridCol w:w="146"/>
        <w:gridCol w:w="146"/>
        <w:gridCol w:w="196"/>
        <w:gridCol w:w="601"/>
        <w:gridCol w:w="146"/>
        <w:gridCol w:w="146"/>
        <w:gridCol w:w="369"/>
        <w:gridCol w:w="652"/>
        <w:gridCol w:w="146"/>
        <w:gridCol w:w="146"/>
        <w:gridCol w:w="196"/>
        <w:gridCol w:w="751"/>
        <w:gridCol w:w="166"/>
        <w:gridCol w:w="146"/>
        <w:gridCol w:w="196"/>
        <w:gridCol w:w="75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br/>
        <w:t>(unaudited)</w:t>
      </w:r>
    </w:p>
    <w:p>
      <w:pPr>
        <w:pStyle w:val="TextBody"/>
        <w:bidi w:val="0"/>
        <w:jc w:val="left"/>
        <w:rPr/>
      </w:pPr>
      <w:r>
        <w:rPr/>
        <w:t> </w:t>
      </w:r>
    </w:p>
    <w:tbl>
      <w:tblPr>
        <w:tblW w:w="9904" w:type="dxa"/>
        <w:jc w:val="left"/>
        <w:tblInd w:w="0" w:type="dxa"/>
        <w:tblLayout w:type="fixed"/>
        <w:tblCellMar>
          <w:top w:w="28" w:type="dxa"/>
          <w:left w:w="28" w:type="dxa"/>
          <w:bottom w:w="28" w:type="dxa"/>
          <w:right w:w="28" w:type="dxa"/>
        </w:tblCellMar>
      </w:tblPr>
      <w:tblGrid>
        <w:gridCol w:w="6596"/>
        <w:gridCol w:w="146"/>
        <w:gridCol w:w="226"/>
        <w:gridCol w:w="839"/>
        <w:gridCol w:w="178"/>
        <w:gridCol w:w="156"/>
        <w:gridCol w:w="226"/>
        <w:gridCol w:w="726"/>
        <w:gridCol w:w="811"/>
      </w:tblGrid>
      <w:tr>
        <w:trPr/>
        <w:tc>
          <w:tcPr>
            <w:tcW w:w="6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 and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(11,403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(29,609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(41,010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153,360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2025, and December 31, 2024, the Company’s principal sources of liquidity consisted of $182.7 million and $194.4 million of cash and cash equivalents and short term marketable securities,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March 31, 2025, and December 31, 2024, the Company had an accumulated deficit of $179.7 million and $166.9 million, respectively.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cause customers to reduce their purchases. Changes in governmental banking, monetary, and fiscal policies to address liquidity and increase credit availability may not be effective. Continuation or further deterioration of these financial and macroeconomic conditions could harm company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to supply key sub-assemblies for its primary products. In addition, political instability or the deterioration of trade relations between the United States and China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continues to maintain sufficient supplies of inventory of manufactured components and parts needed to meet forecast production demand.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March 31, 2025, and the results of its operations for the three months ended March 31, 2025 and 2024 and cash flows for the three months ended March 31, 2025 and 2024. The condensed balance sheet at March 31, 2025, was derived from audited annual financial statements but does not contain all of the footnote disclosures from the annual financial statements. </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valuation of warrants, valuation of the Company’s common stock (prior to the Initial Public Offering, or “IPO”),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of the Company revenue for the three months ended March 31, 2025 or 2024. No customers comprised 10% of the Company's accounts receivable balance as of March 31, 2025, or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headbands that are intended for single patient use. Subscription revenue is generated by monthly subscription fees charged to the Company’s hospital customers for use of Clarity</w:t>
      </w:r>
      <w:r>
        <w:rPr>
          <w:rFonts w:ascii="Times New Roman" w:hAnsi="Times New Roman"/>
          <w:color w:val="000000"/>
          <w:sz w:val="13"/>
        </w:rPr>
        <w:t>TM</w:t>
      </w:r>
      <w:r>
        <w:rPr>
          <w:rFonts w:ascii="Times New Roman" w:hAnsi="Times New Roman"/>
          <w:color w:val="000000"/>
          <w:sz w:val="20"/>
        </w:rPr>
        <w:t>,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 Standard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financial statements, as well as the annual financial statements. All of the Company’s revenue was in the United States for the three months ended March 31, 2025 and 2024. Long-lived assets held outside of the United States are $0.9 million as of both March 31, 2025 and December 31,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$49,000 for each of the three months ended March 31, 2025 and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The amendments are effective for fiscal years beginning after December 15, 2024. Early adoption is permitted. The adoption is not expected to have a material impact on the Company's annual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We are currently evaluating the impact this ASU will have on our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6650" w:type="dxa"/>
        <w:jc w:val="left"/>
        <w:tblInd w:w="0" w:type="dxa"/>
        <w:tblLayout w:type="fixed"/>
        <w:tblCellMar>
          <w:top w:w="28" w:type="dxa"/>
          <w:left w:w="28" w:type="dxa"/>
          <w:bottom w:w="28" w:type="dxa"/>
          <w:right w:w="28" w:type="dxa"/>
        </w:tblCellMar>
      </w:tblPr>
      <w:tblGrid>
        <w:gridCol w:w="3961"/>
        <w:gridCol w:w="146"/>
        <w:gridCol w:w="240"/>
        <w:gridCol w:w="770"/>
        <w:gridCol w:w="166"/>
        <w:gridCol w:w="166"/>
        <w:gridCol w:w="240"/>
        <w:gridCol w:w="770"/>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headbands,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6860" w:type="dxa"/>
        <w:jc w:val="left"/>
        <w:tblInd w:w="0" w:type="dxa"/>
        <w:tblLayout w:type="fixed"/>
        <w:tblCellMar>
          <w:top w:w="28" w:type="dxa"/>
          <w:left w:w="28" w:type="dxa"/>
          <w:bottom w:w="28" w:type="dxa"/>
          <w:right w:w="28" w:type="dxa"/>
        </w:tblCellMar>
      </w:tblPr>
      <w:tblGrid>
        <w:gridCol w:w="3941"/>
        <w:gridCol w:w="246"/>
        <w:gridCol w:w="230"/>
        <w:gridCol w:w="625"/>
        <w:gridCol w:w="266"/>
        <w:gridCol w:w="246"/>
        <w:gridCol w:w="274"/>
        <w:gridCol w:w="821"/>
        <w:gridCol w:w="211"/>
      </w:tblGrid>
      <w:tr>
        <w:trPr/>
        <w:tc>
          <w:tcPr>
            <w:tcW w:w="3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SaaS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7405" w:type="dxa"/>
        <w:jc w:val="left"/>
        <w:tblInd w:w="0" w:type="dxa"/>
        <w:tblLayout w:type="fixed"/>
        <w:tblCellMar>
          <w:top w:w="28" w:type="dxa"/>
          <w:left w:w="28" w:type="dxa"/>
          <w:bottom w:w="28" w:type="dxa"/>
          <w:right w:w="28" w:type="dxa"/>
        </w:tblCellMar>
      </w:tblPr>
      <w:tblGrid>
        <w:gridCol w:w="4786"/>
        <w:gridCol w:w="146"/>
        <w:gridCol w:w="285"/>
        <w:gridCol w:w="570"/>
        <w:gridCol w:w="166"/>
        <w:gridCol w:w="146"/>
        <w:gridCol w:w="274"/>
        <w:gridCol w:w="82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 and non-current performance obligations are expected to be recognized within 2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11"/>
        <w:gridCol w:w="676"/>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179,887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48" w:type="dxa"/>
        <w:jc w:val="left"/>
        <w:tblInd w:w="0" w:type="dxa"/>
        <w:tblLayout w:type="fixed"/>
        <w:tblCellMar>
          <w:top w:w="28" w:type="dxa"/>
          <w:left w:w="28" w:type="dxa"/>
          <w:bottom w:w="28" w:type="dxa"/>
          <w:right w:w="28" w:type="dxa"/>
        </w:tblCellMar>
      </w:tblPr>
      <w:tblGrid>
        <w:gridCol w:w="2191"/>
        <w:gridCol w:w="446"/>
        <w:gridCol w:w="211"/>
        <w:gridCol w:w="781"/>
        <w:gridCol w:w="146"/>
        <w:gridCol w:w="146"/>
        <w:gridCol w:w="239"/>
        <w:gridCol w:w="391"/>
        <w:gridCol w:w="146"/>
        <w:gridCol w:w="146"/>
        <w:gridCol w:w="239"/>
        <w:gridCol w:w="391"/>
        <w:gridCol w:w="146"/>
        <w:gridCol w:w="146"/>
        <w:gridCol w:w="211"/>
        <w:gridCol w:w="781"/>
        <w:gridCol w:w="591"/>
      </w:tblGrid>
      <w:tr>
        <w:trPr/>
        <w:tc>
          <w:tcPr>
            <w:tcW w:w="21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and amortized cost of Level 2 cash equivalents and available-for-sale marketable securities as of March 31, 2025 are presented in the following table (in thousands):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04"/>
        <w:gridCol w:w="146"/>
        <w:gridCol w:w="336"/>
        <w:gridCol w:w="1079"/>
        <w:gridCol w:w="146"/>
        <w:gridCol w:w="146"/>
        <w:gridCol w:w="456"/>
        <w:gridCol w:w="751"/>
        <w:gridCol w:w="146"/>
        <w:gridCol w:w="146"/>
        <w:gridCol w:w="536"/>
        <w:gridCol w:w="691"/>
        <w:gridCol w:w="166"/>
        <w:gridCol w:w="146"/>
        <w:gridCol w:w="336"/>
        <w:gridCol w:w="1079"/>
        <w:gridCol w:w="195"/>
      </w:tblGrid>
      <w:tr>
        <w:trPr/>
        <w:tc>
          <w:tcPr>
            <w:tcW w:w="3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 (included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Level 2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41,291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and cash equivalents are comprised of Level 1 financial instruments of money market fund investments and Level 2 U.S. Treasury bills due in less than three months. Level 2 financial instruments are comprised of U.S. Treasury bills due in less than one year. The Company's valuation technique used to measure the fair value of money market funds is derived from quoted prices in active markets for identical assets or liabilities, which is categorized as Level 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440" w:type="dxa"/>
        <w:jc w:val="left"/>
        <w:tblInd w:w="0" w:type="dxa"/>
        <w:tblLayout w:type="fixed"/>
        <w:tblCellMar>
          <w:top w:w="28" w:type="dxa"/>
          <w:left w:w="28" w:type="dxa"/>
          <w:bottom w:w="28" w:type="dxa"/>
          <w:right w:w="28" w:type="dxa"/>
        </w:tblCellMar>
      </w:tblPr>
      <w:tblGrid>
        <w:gridCol w:w="1861"/>
        <w:gridCol w:w="146"/>
        <w:gridCol w:w="230"/>
        <w:gridCol w:w="625"/>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left"/>
        <w:rPr/>
      </w:pPr>
      <w:r>
        <w:rPr/>
        <w:t> </w:t>
      </w:r>
    </w:p>
    <w:tbl>
      <w:tblPr>
        <w:tblW w:w="6690" w:type="dxa"/>
        <w:jc w:val="left"/>
        <w:tblInd w:w="0" w:type="dxa"/>
        <w:tblLayout w:type="fixed"/>
        <w:tblCellMar>
          <w:top w:w="28" w:type="dxa"/>
          <w:left w:w="28" w:type="dxa"/>
          <w:bottom w:w="28" w:type="dxa"/>
          <w:right w:w="28" w:type="dxa"/>
        </w:tblCellMar>
      </w:tblPr>
      <w:tblGrid>
        <w:gridCol w:w="4111"/>
        <w:gridCol w:w="146"/>
        <w:gridCol w:w="230"/>
        <w:gridCol w:w="625"/>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$245,000 and $151,000 for the three months ended March 31,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065" w:type="dxa"/>
        <w:jc w:val="left"/>
        <w:tblInd w:w="0" w:type="dxa"/>
        <w:tblLayout w:type="fixed"/>
        <w:tblCellMar>
          <w:top w:w="28" w:type="dxa"/>
          <w:left w:w="28" w:type="dxa"/>
          <w:bottom w:w="28" w:type="dxa"/>
          <w:right w:w="28" w:type="dxa"/>
        </w:tblCellMar>
      </w:tblPr>
      <w:tblGrid>
        <w:gridCol w:w="5446"/>
        <w:gridCol w:w="146"/>
        <w:gridCol w:w="230"/>
        <w:gridCol w:w="625"/>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Recorder depreciation expense was $90,000 and $106,000 for the three months ended March 31,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5880" w:type="dxa"/>
        <w:jc w:val="left"/>
        <w:tblInd w:w="0" w:type="dxa"/>
        <w:tblLayout w:type="fixed"/>
        <w:tblCellMar>
          <w:top w:w="28" w:type="dxa"/>
          <w:left w:w="28" w:type="dxa"/>
          <w:bottom w:w="28" w:type="dxa"/>
          <w:right w:w="28" w:type="dxa"/>
        </w:tblCellMar>
      </w:tblPr>
      <w:tblGrid>
        <w:gridCol w:w="3301"/>
        <w:gridCol w:w="146"/>
        <w:gridCol w:w="230"/>
        <w:gridCol w:w="625"/>
        <w:gridCol w:w="146"/>
        <w:gridCol w:w="146"/>
        <w:gridCol w:w="260"/>
        <w:gridCol w:w="83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During the three months ended March 31, 2025 and 2024, we contributed $0.2 million and none, respectively, to our 401(k)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The Company is not presently a party to any litigation. Legal fees are expensed in the period in which they are incurred. As of March 31, 2025, and December 31, 2024 ,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pPr>
      <w:r>
        <w:rPr>
          <w:rFonts w:ascii="Times New Roman" w:hAnsi="Times New Roman"/>
          <w:b/>
          <w:color w:val="000000"/>
          <w:sz w:val="20"/>
        </w:rPr>
        <w:t>Leases</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6730" w:type="dxa"/>
        <w:jc w:val="left"/>
        <w:tblInd w:w="0" w:type="dxa"/>
        <w:tblLayout w:type="fixed"/>
        <w:tblCellMar>
          <w:top w:w="28" w:type="dxa"/>
          <w:left w:w="28" w:type="dxa"/>
          <w:bottom w:w="28" w:type="dxa"/>
          <w:right w:w="28" w:type="dxa"/>
        </w:tblCellMar>
      </w:tblPr>
      <w:tblGrid>
        <w:gridCol w:w="3901"/>
        <w:gridCol w:w="146"/>
        <w:gridCol w:w="230"/>
        <w:gridCol w:w="625"/>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(in thousands): </w:t>
      </w:r>
    </w:p>
    <w:p>
      <w:pPr>
        <w:pStyle w:val="TextBody"/>
        <w:bidi w:val="0"/>
        <w:jc w:val="both"/>
        <w:rPr/>
      </w:pPr>
      <w:r>
        <w:rPr/>
        <w:t> </w:t>
      </w:r>
    </w:p>
    <w:tbl>
      <w:tblPr>
        <w:tblW w:w="9592" w:type="dxa"/>
        <w:jc w:val="left"/>
        <w:tblInd w:w="0" w:type="dxa"/>
        <w:tblLayout w:type="fixed"/>
        <w:tblCellMar>
          <w:top w:w="28" w:type="dxa"/>
          <w:left w:w="28" w:type="dxa"/>
          <w:bottom w:w="28" w:type="dxa"/>
          <w:right w:w="28" w:type="dxa"/>
        </w:tblCellMar>
      </w:tblPr>
      <w:tblGrid>
        <w:gridCol w:w="6901"/>
        <w:gridCol w:w="146"/>
        <w:gridCol w:w="319"/>
        <w:gridCol w:w="637"/>
        <w:gridCol w:w="221"/>
        <w:gridCol w:w="221"/>
        <w:gridCol w:w="319"/>
        <w:gridCol w:w="637"/>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22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22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March 31, 2025, the future minimum lease payments under the non-cancelable operating lease are as follows (in thousands):</w:t>
      </w:r>
    </w:p>
    <w:p>
      <w:pPr>
        <w:pStyle w:val="TextBody"/>
        <w:bidi w:val="0"/>
        <w:jc w:val="both"/>
        <w:rPr/>
      </w:pPr>
      <w:r>
        <w:rPr/>
        <w:t> </w:t>
      </w:r>
    </w:p>
    <w:tbl>
      <w:tblPr>
        <w:tblW w:w="4598" w:type="dxa"/>
        <w:jc w:val="left"/>
        <w:tblInd w:w="0" w:type="dxa"/>
        <w:tblLayout w:type="fixed"/>
        <w:tblCellMar>
          <w:top w:w="28" w:type="dxa"/>
          <w:left w:w="28" w:type="dxa"/>
          <w:bottom w:w="28" w:type="dxa"/>
          <w:right w:w="28" w:type="dxa"/>
        </w:tblCellMar>
      </w:tblPr>
      <w:tblGrid>
        <w:gridCol w:w="2986"/>
        <w:gridCol w:w="546"/>
        <w:gridCol w:w="230"/>
        <w:gridCol w:w="625"/>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$20,000,000 in principal (“Term Loan”), including $6,000,000 from SVB (“SVB Loan”) and $14,000,000 from Horizon (“Horizon Loan”) and utilized a portion of the proceeds to repay the remaining principal on the 2020 Loan. Subject to the VLSA terms, the Company is entitled to receive up to $30,000,000 (“Outstanding Commitment”) in three additional tranches of $10,000,000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March 31, 2025. In each of the three additional tranches, $3,000,000 is allocated to SVB, and $7,000,000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$35,000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$245,000 and issued warrants to purchase 41,345 shares of the Company’s Series C-1 Preferred Stock at a price of $11.49 per share (“Initial Warrants”). The fair value of the Initial Warrants was determined to be approximately $304,000. If the Company draws down any amounts of the Outstanding Commitment, it will be required to issue additional warrants exercisable for shares of the Company’s most senior Preferred Stock with the aggregate exercise price of $150,000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$11,250,000 and end-of-term fees of $845,000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$10,000,000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$300,000 that are payable regardless of whether any amounts are drawn. The Revolving Facility matures on February 6, 2026. Any borrowings under the Revolving Facility are subordinate to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$535,000 to the Term Loan liability representing the initial lender fees and the fair value of the Initial Warrants to be recognized as interest expense through the Maturity Date, (2) $347,000 to the deferred debt financing cost asset to be recognized as interest expense through the Maturity Date and to be reclassified to the Term Loan liability upon draws or expiration of the tranches, and (3) $116,000 to the Revolving Facility deferred debt financing cost asset to be recognized as interest expense over the availability period of two years. The end-of-term fee is being accreted and the debt issuance costs are being amortized over the term of the notes using the effective interest method. The effective interest rate is 9.5%, inclusive of the end-of-term fee and debt issuance as of March 31,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the Company was in compliance with debt covenants under the LSA and VLSA. No amounts were drawn under the Outstanding Commitment and Revolving Facility through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532" w:type="dxa"/>
        <w:jc w:val="left"/>
        <w:tblInd w:w="0" w:type="dxa"/>
        <w:tblLayout w:type="fixed"/>
        <w:tblCellMar>
          <w:top w:w="28" w:type="dxa"/>
          <w:left w:w="28" w:type="dxa"/>
          <w:bottom w:w="28" w:type="dxa"/>
          <w:right w:w="28" w:type="dxa"/>
        </w:tblCellMar>
      </w:tblPr>
      <w:tblGrid>
        <w:gridCol w:w="2881"/>
        <w:gridCol w:w="146"/>
        <w:gridCol w:w="211"/>
        <w:gridCol w:w="676"/>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 million financing commitment, consisting of a $50 million term loan commitment and a $10 million revolving line of credit. Warrants representing the right to purchase 41,345 shares of Series C-1 redeemable convertible preferred stock at a price of $11.49 per share were issued upon closing. See Note 9 for a discussion of the new financing commitment.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jc w:val="both"/>
        <w:rPr/>
      </w:pPr>
      <w:r>
        <w:rPr/>
        <w:t> </w:t>
      </w:r>
    </w:p>
    <w:tbl>
      <w:tblPr>
        <w:tblW w:w="6754" w:type="dxa"/>
        <w:jc w:val="left"/>
        <w:tblInd w:w="0" w:type="dxa"/>
        <w:tblLayout w:type="fixed"/>
        <w:tblCellMar>
          <w:top w:w="28" w:type="dxa"/>
          <w:left w:w="28" w:type="dxa"/>
          <w:bottom w:w="28" w:type="dxa"/>
          <w:right w:w="28" w:type="dxa"/>
        </w:tblCellMar>
      </w:tblPr>
      <w:tblGrid>
        <w:gridCol w:w="2476"/>
        <w:gridCol w:w="146"/>
        <w:gridCol w:w="289"/>
        <w:gridCol w:w="926"/>
        <w:gridCol w:w="146"/>
        <w:gridCol w:w="146"/>
        <w:gridCol w:w="289"/>
        <w:gridCol w:w="926"/>
        <w:gridCol w:w="146"/>
        <w:gridCol w:w="146"/>
        <w:gridCol w:w="146"/>
        <w:gridCol w:w="78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warrants are included in Additional paid-in capital as of March 31, 2025, and December 31, 2024.</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Immediately prior to the closing of the Company’s IPO on October 15, 2024, all warrants exercisable for redeemable convertible preferred stock converted into warrants exercisable for common stock and reclassified from long-term liabilities to equity. The warrants were subject to remeasurement at each balance sheet date, and any change in fair value was recognized as a change in fair value as a component of non-operating income or expense in the Statements of Operations and Comprehensive Loss. The change in the value of the warrant liability for the three months ended March 31, 2024, is summarized in the following table (in thousands). </w:t>
      </w:r>
    </w:p>
    <w:p>
      <w:pPr>
        <w:pStyle w:val="TextBody"/>
        <w:bidi w:val="0"/>
        <w:spacing w:before="40" w:after="283"/>
        <w:jc w:val="both"/>
        <w:rPr/>
      </w:pPr>
      <w:r>
        <w:rPr/>
        <w:t> </w:t>
      </w:r>
    </w:p>
    <w:tbl>
      <w:tblPr>
        <w:tblW w:w="3745" w:type="dxa"/>
        <w:jc w:val="left"/>
        <w:tblInd w:w="0" w:type="dxa"/>
        <w:tblLayout w:type="fixed"/>
        <w:tblCellMar>
          <w:top w:w="28" w:type="dxa"/>
          <w:left w:w="28" w:type="dxa"/>
          <w:bottom w:w="28" w:type="dxa"/>
          <w:right w:w="28" w:type="dxa"/>
        </w:tblCellMar>
      </w:tblPr>
      <w:tblGrid>
        <w:gridCol w:w="2776"/>
        <w:gridCol w:w="146"/>
        <w:gridCol w:w="211"/>
        <w:gridCol w:w="42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500,000,000 shares of $0.001 par value common stock as of both March 31, 2025, and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March 31, 2025,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and December 31, 2024, the Company had reserved common stock for future issuance as follows:</w:t>
      </w:r>
    </w:p>
    <w:p>
      <w:pPr>
        <w:pStyle w:val="TextBody"/>
        <w:bidi w:val="0"/>
        <w:jc w:val="both"/>
        <w:rPr/>
      </w:pPr>
      <w:r>
        <w:rPr/>
        <w:t> </w:t>
      </w:r>
    </w:p>
    <w:tbl>
      <w:tblPr>
        <w:tblW w:w="8694" w:type="dxa"/>
        <w:jc w:val="left"/>
        <w:tblInd w:w="0" w:type="dxa"/>
        <w:tblLayout w:type="fixed"/>
        <w:tblCellMar>
          <w:top w:w="28" w:type="dxa"/>
          <w:left w:w="28" w:type="dxa"/>
          <w:bottom w:w="28" w:type="dxa"/>
          <w:right w:w="28" w:type="dxa"/>
        </w:tblCellMar>
      </w:tblPr>
      <w:tblGrid>
        <w:gridCol w:w="5701"/>
        <w:gridCol w:w="146"/>
        <w:gridCol w:w="146"/>
        <w:gridCol w:w="1036"/>
        <w:gridCol w:w="146"/>
        <w:gridCol w:w="146"/>
        <w:gridCol w:w="146"/>
        <w:gridCol w:w="103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Company's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12,666,769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2014 Stock Incentive Plan (the “2014 Plan”), 2024 Equity Incentive Plan (the “2024 EIP”), and 2024 Incentive Award Plan (the “2024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65"/>
        <w:gridCol w:w="146"/>
        <w:gridCol w:w="146"/>
        <w:gridCol w:w="931"/>
        <w:gridCol w:w="166"/>
        <w:gridCol w:w="146"/>
        <w:gridCol w:w="279"/>
        <w:gridCol w:w="761"/>
        <w:gridCol w:w="146"/>
        <w:gridCol w:w="146"/>
        <w:gridCol w:w="224"/>
        <w:gridCol w:w="722"/>
        <w:gridCol w:w="146"/>
        <w:gridCol w:w="146"/>
        <w:gridCol w:w="147"/>
        <w:gridCol w:w="794"/>
        <w:gridCol w:w="194"/>
      </w:tblGrid>
      <w:tr>
        <w:trPr/>
        <w:tc>
          <w:tcPr>
            <w:tcW w:w="4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5,708,070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110,063</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5,406,296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68,366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vested, and expected to vest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three months ended March 31, 2025 and 2024 was $13.76 and $4.97 per share, respectively. The aggregate intrinsic value of options exercised during the three months ended March 31, 2025 and 2024 was $0.6 million and $0.1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p>
      <w:pPr>
        <w:pStyle w:val="TextBody"/>
        <w:bidi w:val="0"/>
        <w:jc w:val="both"/>
        <w:rPr/>
      </w:pPr>
      <w:r>
        <w:rPr/>
        <w:t> </w:t>
      </w:r>
    </w:p>
    <w:tbl>
      <w:tblPr>
        <w:tblW w:w="7775" w:type="dxa"/>
        <w:jc w:val="left"/>
        <w:tblInd w:w="0" w:type="dxa"/>
        <w:tblLayout w:type="fixed"/>
        <w:tblCellMar>
          <w:top w:w="28" w:type="dxa"/>
          <w:left w:w="28" w:type="dxa"/>
          <w:bottom w:w="28" w:type="dxa"/>
          <w:right w:w="28" w:type="dxa"/>
        </w:tblCellMar>
      </w:tblPr>
      <w:tblGrid>
        <w:gridCol w:w="2761"/>
        <w:gridCol w:w="146"/>
        <w:gridCol w:w="217"/>
        <w:gridCol w:w="1163"/>
        <w:gridCol w:w="166"/>
        <w:gridCol w:w="146"/>
        <w:gridCol w:w="802"/>
        <w:gridCol w:w="2183"/>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335,511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524,803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three months ended March 31, 2025 was $0.3 million. No restricted stock units were granted or vested during three months ended March 31, 2024.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the aggregate unrecognized compensation costs related to outstanding unvested options and RSUs under the 2014 Plan, 2024 EIP, and 2024 Plan was $33.7 million. The Company expects to recognize those costs over a weighted average period of 3.0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the completion of our IPO, the fair value of the common stock underlying our stock awards was determined by our Board of Directors. The valuations of our common stock prior to the completion of our IPO were determined in accordance with the guidelines outlined in the American Institute of Certified Public Accountants Practice Aid, Valuation of Privately-Held-Company Equity Securities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Issued as Compensation. The fair value of RSUs post IPO is based on the Company’s closing stock price on the date of grant. The fair value of service-based stock options and RSUs are amortized on a straight-line basis over the requisite service period of the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 for the three months ended March 31, 2025 and 2024:</w:t>
      </w:r>
    </w:p>
    <w:p>
      <w:pPr>
        <w:pStyle w:val="TextBody"/>
        <w:bidi w:val="0"/>
        <w:jc w:val="both"/>
        <w:rPr/>
      </w:pPr>
      <w:r>
        <w:rPr/>
        <w:t> </w:t>
      </w:r>
    </w:p>
    <w:tbl>
      <w:tblPr>
        <w:tblW w:w="5048" w:type="dxa"/>
        <w:jc w:val="left"/>
        <w:tblInd w:w="0" w:type="dxa"/>
        <w:tblLayout w:type="fixed"/>
        <w:tblCellMar>
          <w:top w:w="28" w:type="dxa"/>
          <w:left w:w="28" w:type="dxa"/>
          <w:bottom w:w="28" w:type="dxa"/>
          <w:right w:w="28" w:type="dxa"/>
        </w:tblCellMar>
      </w:tblPr>
      <w:tblGrid>
        <w:gridCol w:w="2086"/>
        <w:gridCol w:w="146"/>
        <w:gridCol w:w="209"/>
        <w:gridCol w:w="669"/>
        <w:gridCol w:w="389"/>
        <w:gridCol w:w="209"/>
        <w:gridCol w:w="209"/>
        <w:gridCol w:w="669"/>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6362" w:type="dxa"/>
        <w:jc w:val="left"/>
        <w:tblInd w:w="0" w:type="dxa"/>
        <w:tblLayout w:type="fixed"/>
        <w:tblCellMar>
          <w:top w:w="28" w:type="dxa"/>
          <w:left w:w="28" w:type="dxa"/>
          <w:bottom w:w="28" w:type="dxa"/>
          <w:right w:w="28" w:type="dxa"/>
        </w:tblCellMar>
      </w:tblPr>
      <w:tblGrid>
        <w:gridCol w:w="3526"/>
        <w:gridCol w:w="146"/>
        <w:gridCol w:w="291"/>
        <w:gridCol w:w="788"/>
        <w:gridCol w:w="201"/>
        <w:gridCol w:w="201"/>
        <w:gridCol w:w="291"/>
        <w:gridCol w:w="581"/>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65,172 and 118,999 of option awards outstanding as of March 31, 2025 and December 31, 2024, respectively and stock-based compensation related to performance-based awards was not material. Total stock-based compensation expense includes non-employee stock-based compensation of $0.4 million and $0.03 million for the three months ended March 31, 2025 and 2024, respectively.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There were 451,689 shares of common stock initially reserved for issuance under the ESPP. In January 2025, the number of shares of common stock available for issuance under the ESPP was increased by 358,506 shares as a result of the automatic increase provision in the ESPP.</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March 31, 2025, 810,195 shares under the ESPP remain available for purchase. The offering period and purchase period is determined by the board of directors.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7541" w:type="dxa"/>
        <w:jc w:val="left"/>
        <w:tblInd w:w="0" w:type="dxa"/>
        <w:tblLayout w:type="fixed"/>
        <w:tblCellMar>
          <w:top w:w="28" w:type="dxa"/>
          <w:left w:w="28" w:type="dxa"/>
          <w:bottom w:w="28" w:type="dxa"/>
          <w:right w:w="28" w:type="dxa"/>
        </w:tblCellMar>
      </w:tblPr>
      <w:tblGrid>
        <w:gridCol w:w="4651"/>
        <w:gridCol w:w="146"/>
        <w:gridCol w:w="236"/>
        <w:gridCol w:w="825"/>
        <w:gridCol w:w="186"/>
        <w:gridCol w:w="163"/>
        <w:gridCol w:w="236"/>
        <w:gridCol w:w="707"/>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6234" w:type="dxa"/>
        <w:jc w:val="left"/>
        <w:tblInd w:w="0" w:type="dxa"/>
        <w:tblLayout w:type="fixed"/>
        <w:tblCellMar>
          <w:top w:w="28" w:type="dxa"/>
          <w:left w:w="28" w:type="dxa"/>
          <w:bottom w:w="28" w:type="dxa"/>
          <w:right w:w="28" w:type="dxa"/>
        </w:tblCellMar>
      </w:tblPr>
      <w:tblGrid>
        <w:gridCol w:w="3346"/>
        <w:gridCol w:w="146"/>
        <w:gridCol w:w="187"/>
        <w:gridCol w:w="734"/>
        <w:gridCol w:w="187"/>
        <w:gridCol w:w="187"/>
        <w:gridCol w:w="187"/>
        <w:gridCol w:w="869"/>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an effective tax rate of 0.0% for each of the three months ended March 31, 2025 and 2024. The Company continues to incur operating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2025 and 2024,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2024 included in our Annual Report on Form 10-K. In addition to historical financial information, the following discussion contains forward 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AI-powered algorithms, the Ceribell System enables rapid diagnosis and continuous monitoring of patients with neurological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As of March 31, 2025, the Ceribell System has been adopted by more than 550 active accounts, ranging from top academic centers to small community hospitals, and has been used to care for over 200,000 patients. For information regarding how patient care and clinical outcomes are measured, see “Business—Market Overview—Challenges of Managing Seizures in the Acute Care Setting” in our Annual Report on Form 10-K.</w:t>
      </w:r>
    </w:p>
    <w:p>
      <w:pPr>
        <w:pStyle w:val="TextBody"/>
        <w:bidi w:val="0"/>
        <w:spacing w:before="240" w:after="283"/>
        <w:jc w:val="both"/>
        <w:rPr>
          <w:rFonts w:ascii="Times New Roman" w:hAnsi="Times New Roman"/>
          <w:sz w:val="20"/>
        </w:rPr>
      </w:pPr>
      <w:r>
        <w:rPr>
          <w:rFonts w:ascii="Times New Roman" w:hAnsi="Times New Roman"/>
          <w:color w:val="000000"/>
          <w:sz w:val="20"/>
        </w:rPr>
        <w:t>We specifically designed the Ceribell System to address the limitations of conventional EEG in the acute care setting and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 Clarity</w:t>
      </w:r>
      <w:r>
        <w:rPr>
          <w:rFonts w:ascii="Times New Roman" w:hAnsi="Times New Roman"/>
          <w:color w:val="000000"/>
          <w:sz w:val="13"/>
        </w:rPr>
        <w:t>TM</w:t>
      </w:r>
      <w:r>
        <w:rPr>
          <w:rFonts w:ascii="Times New Roman" w:hAnsi="Times New Roman"/>
          <w:color w:val="000000"/>
          <w:sz w:val="20"/>
        </w:rPr>
        <w:t>, which continuously monitors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our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We also plan to engage in market access initiatives in attractive international regions in which we see significant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facilities in Sunnyvale, California. Contract manufacturers in China assemble the Ceribell headband, with final inspection and labeling completed at our California facilities. We have dual sources for major components of the headband.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1" w:name="page89"/>
      <w:bookmarkEnd w:id="11"/>
      <w:r>
        <w:rPr>
          <w:rFonts w:ascii="Times New Roman" w:hAnsi="Times New Roman"/>
          <w:color w:val="000000"/>
          <w:sz w:val="20"/>
        </w:rPr>
        <w:t xml:space="preserve">As of March 31, 2025, we had an accumulated deficit of $179.7 million. To date, we have funded our operations primarily through proceeds from the sale of shares of our stock, including common stock and redeemable convertible preferred stock, term loan proceeds, and cash generated from the sale of headbands and subscriptions. As of March 31, 2025, we had $182.7 million in cash and cash equivalents and short term marketable securities.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in new accounts. </w:t>
      </w:r>
      <w:r>
        <w:rPr>
          <w:rFonts w:ascii="Times New Roman" w:hAnsi="Times New Roman"/>
          <w:color w:val="000000"/>
          <w:sz w:val="20"/>
        </w:rPr>
        <w:t>As of March 31, 2025, we had over 550 active accounts. We define active accounts as those with an active subscription or recent headband usage, which is typically considered to have occurred during the previous six months. When determining the number of active accounts, we do not count a care facility (such as a hospital) as more than one account, even though the facility may have both an ED and an ICU using the Ceribell System. The headbands used as part of the Ceribell System are designed to be used only once by a single patient, so an active account is expected to purchase multiple headbands to be used as part of the Ceribell System. There are approximately 6,000 acute care facilities in the United States that we believe could benefit from our system. We believe that any facility with either an ICU or ED, or both, has patients who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To penetrate these hospitals, we continue to increase the size of our commercial organization. This team comprises TMs and CAMs, who are responsible for new account acquisition by engaging with key decision makers to educate them about the value proposition of the Ceribell System. As we seek to increase our account base, we expect that our revenue will increase due to increased utilization of the headbands and therefore increased product revenue, as well as new Clarity subscribers and increased subscription revenue. The rate at which we grow our commercial organization and the speed at which newly hired personnel become effective can impact our revenue growth and our costs incurred in anticipation of such growth.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Our revenue is impacted by the utilization of the headband component of the Ceribell System within hospitals. Because the headbands used as part of the Ceribell System are designed to be used only once by a single patient, utilization has a direct relationship with our product revenue. Within each hospital, we are initially focused on site onboarding and launch. Currently, many patients are not promptly monitored by EEG, as a physician may not be aware of the risk of seizures in a given patient population. Our CAMs work to raise awareness of our technology as well as, non-convulsive seizures generally, and the risks of delayed treatment. Even at facilities with access to the Ceribell System, clinicians may not use Ceribell on all eligible patients if they are not fully aware of the risks of seizures and the benefits of our solution. Once a launch is complete, our CAMs drive greater utilization of the Ceribell System within the hospital by reinforcing our value proposition, increasing disease state awareness, and supporting the integration of standard protocols or workflows for monitoring at-risk patients. CAMs also are focused on expanding the use of our system into additional departments within the hospital. As hospitals and physicians gain exposure to our system, we expect to leverage their experiences to increase usage and establish rapid EEG as the standard of care for the detection and management of seizures in the acute care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our system for diagnosing and monitoring seizures in the acute care setting. We believe the platform nature of our system will enable us to efficiently deploy it for use in other serious neurological conditions beyond seizures, and we have begun the technical validation process for several additional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headbands that are intended for single patient use. Subscription revenue is generated by monthly subscription fees charged to our hospital customers for use of Clarity, recorders, and our portal. Revenue from sales of headbands is recognized at a point in time upon transfer of control of the product. We generally recognize subscription revenue ratably over the related contractual term beginning on the date that the system is made available to a customer. Our revenue fluctuates primarily based on the number of active accounts and the volume of headband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our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headbands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240" w:after="283"/>
        <w:jc w:val="both"/>
        <w:rPr>
          <w:rFonts w:ascii="Times New Roman" w:hAnsi="Times New Roman"/>
          <w:sz w:val="20"/>
        </w:rPr>
      </w:pPr>
      <w:r>
        <w:rPr>
          <w:rFonts w:ascii="Times New Roman" w:hAnsi="Times New Roman"/>
          <w:color w:val="000000"/>
          <w:sz w:val="20"/>
        </w:rPr>
        <w:t>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We expect our</w:t>
      </w:r>
      <w:r>
        <w:rPr>
          <w:rFonts w:ascii="Times New Roman" w:hAnsi="Times New Roman"/>
          <w:color w:val="222222"/>
          <w:sz w:val="20"/>
        </w:rPr>
        <w:t xml:space="preserve"> product inventory, currently located within the United States, to enable sufficient supply of finished goods through at least the third quarter of 2025. We do not expect any material impact to our financial results from incremental tariffs until at least the fourth quarter of 2025</w:t>
      </w:r>
      <w:r>
        <w:rPr>
          <w:rFonts w:ascii="Times New Roman" w:hAnsi="Times New Roman"/>
          <w:color w:val="000000"/>
          <w:sz w:val="20"/>
        </w:rPr>
        <w:t xml:space="preserve">. Our gross margin may fluctuate from period to period, based upon the factors described above and in the section titled “Risk Factors” included elsewhere in this Quarterly Report on Form 10-Q.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bookmarkStart w:id="12" w:name="page91"/>
      <w:bookmarkEnd w:id="12"/>
      <w:r>
        <w:rPr>
          <w:rFonts w:ascii="Times New Roman" w:hAnsi="Times New Roman"/>
          <w:color w:val="000000"/>
          <w:sz w:val="20"/>
        </w:rPr>
        <w:t>Research and development expenses are incurred in connection with the advancement of the Ceribell System with the goal to improve and expand on our existing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our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algorithm,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sales and marketing expenses to increase for the foreseeable future as we continue to increase the size of our sales organization and market penetration in the United States, seek to expand indications, and potentially establish an international presence by pursuing marketing authorizations and engaging in other market access initiatives in international regions in which we see significant potential opportunity.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and marketable securities and interest expense on our term loans.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were recognized in the income statement each quarter until the warrants were converted to common stock warrants immediately prior to the IPO.</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9634" w:type="dxa"/>
        <w:jc w:val="left"/>
        <w:tblInd w:w="0" w:type="dxa"/>
        <w:tblLayout w:type="fixed"/>
        <w:tblCellMar>
          <w:top w:w="28" w:type="dxa"/>
          <w:left w:w="28" w:type="dxa"/>
          <w:bottom w:w="28" w:type="dxa"/>
          <w:right w:w="28" w:type="dxa"/>
        </w:tblCellMar>
      </w:tblPr>
      <w:tblGrid>
        <w:gridCol w:w="3791"/>
        <w:gridCol w:w="146"/>
        <w:gridCol w:w="236"/>
        <w:gridCol w:w="823"/>
        <w:gridCol w:w="185"/>
        <w:gridCol w:w="163"/>
        <w:gridCol w:w="236"/>
        <w:gridCol w:w="756"/>
        <w:gridCol w:w="166"/>
        <w:gridCol w:w="146"/>
        <w:gridCol w:w="211"/>
        <w:gridCol w:w="676"/>
        <w:gridCol w:w="166"/>
        <w:gridCol w:w="146"/>
        <w:gridCol w:w="275"/>
        <w:gridCol w:w="596"/>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18,007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32,214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three months ended March 31, 2025, increased $4.6 million, or 41%, compared to the same periods of fiscal year 2024. Product revenue growth is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the three months ended March 31, 2025, increased $1.5 million, or 45%, compared to the same periods of fiscal year 2024. Subscription revenue growth is primarily driven by an increase in adoption of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the three months ended March 31, 2025, increased $0.4 million, or 21%, compared to the same periods of fiscal year 2024. The increase in cost of goods sold for products was primarily due to an increase in headband sales to new and existing active accounts, partially offset by a decrease in the cost of goods sold per unit, as non-variable costs are allocated among a larger number of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the three months ended March 31, 2025, increased $0.01 million, or 9%, compared to the same periods of fiscal year 2024. The increase in subscription cost of revenue was primarily due to increased hosting costs for new active accounts for subscriptions and incremental recorder depreciation associated with new subscriptions.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(in thousands) and Gross Margin</w:t>
      </w:r>
    </w:p>
    <w:p>
      <w:pPr>
        <w:pStyle w:val="TextBody"/>
        <w:bidi w:val="0"/>
        <w:jc w:val="both"/>
        <w:rPr/>
      </w:pPr>
      <w:r>
        <w:rPr/>
        <w:t> </w:t>
      </w:r>
    </w:p>
    <w:tbl>
      <w:tblPr>
        <w:tblW w:w="7471" w:type="dxa"/>
        <w:jc w:val="left"/>
        <w:tblInd w:w="0" w:type="dxa"/>
        <w:tblLayout w:type="fixed"/>
        <w:tblCellMar>
          <w:top w:w="28" w:type="dxa"/>
          <w:left w:w="28" w:type="dxa"/>
          <w:bottom w:w="28" w:type="dxa"/>
          <w:right w:w="28" w:type="dxa"/>
        </w:tblCellMar>
      </w:tblPr>
      <w:tblGrid>
        <w:gridCol w:w="2236"/>
        <w:gridCol w:w="146"/>
        <w:gridCol w:w="231"/>
        <w:gridCol w:w="740"/>
        <w:gridCol w:w="296"/>
        <w:gridCol w:w="159"/>
        <w:gridCol w:w="231"/>
        <w:gridCol w:w="740"/>
        <w:gridCol w:w="271"/>
        <w:gridCol w:w="146"/>
        <w:gridCol w:w="214"/>
        <w:gridCol w:w="582"/>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increased $5.7 million, or 46%, for the three months ended March 31, 2025, compared to the same period of fiscal year 2024. The increase is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$1.3 million, or 42%, for the three months ended March 31, 2025, compared to the same period of fiscal year 2024. The increase was primarily due to an increase of $0.7 million in personnel and related expenses directly associated with an increase in headcount, as well as an increase of $0.4 million in clinical study and professional expenses.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$7.5 million, or 71%, for the three months ended March 31, 2025, respectively, compared to the same periods of fiscal year 2024. The increase was primarily due to an increase in personnel and related expenses directly associated with an increase in headcount.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$2.7 million, or 37%, for the three months ended March 31, 2025, compared to the same period of fiscal year 2024. The increase was primarily due to an increase of $1.7 million in personnel and related expenses directly associated with an increase in headcount, as well as an increase of $0.6 million in legal, accounting, and professional service fees related to our transition to a public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$1.5 million for the three months ended March 31, 2025 as compared to the same period for fiscal year 2024. The increase in interest income was primarily due to higher balances of cash equivalents and marketable securities, resulting from the investment of IPO proceeds.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 (in thousands):</w:t>
      </w:r>
    </w:p>
    <w:p>
      <w:pPr>
        <w:pStyle w:val="TextBody"/>
        <w:bidi w:val="0"/>
        <w:jc w:val="both"/>
        <w:rPr/>
      </w:pPr>
      <w:r>
        <w:rPr/>
        <w:t> </w:t>
      </w:r>
    </w:p>
    <w:tbl>
      <w:tblPr>
        <w:tblW w:w="6222" w:type="dxa"/>
        <w:jc w:val="left"/>
        <w:tblInd w:w="0" w:type="dxa"/>
        <w:tblLayout w:type="fixed"/>
        <w:tblCellMar>
          <w:top w:w="28" w:type="dxa"/>
          <w:left w:w="28" w:type="dxa"/>
          <w:bottom w:w="28" w:type="dxa"/>
          <w:right w:w="28" w:type="dxa"/>
        </w:tblCellMar>
      </w:tblPr>
      <w:tblGrid>
        <w:gridCol w:w="3466"/>
        <w:gridCol w:w="146"/>
        <w:gridCol w:w="241"/>
        <w:gridCol w:w="841"/>
        <w:gridCol w:w="189"/>
        <w:gridCol w:w="166"/>
        <w:gridCol w:w="241"/>
        <w:gridCol w:w="72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three months ended March 31, 2025, consisted primarily of our net loss of $12.8 million, offset by non-cash charges of stock-based compensation of $2.3 million, and depreciation and amortization of $0.3 million. Additionally we had a net increase in operating assets of $0.1 million and a net decrease in operating liabilities of $1.3 million. Net operating assets increased due to increases in accounts receivable and contract costs due to the overall increase in sales in the three months ended March 31, 2025. Net operating liabilities decreased primarily due to timing of payments.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during the three months ended March 31, 2024, consisted primarily of our net loss of $8.5 million, offset by non-cash charges of stock-based compensation of $0.8 million and depreciation and amortization of $0.3 million. Additionally we had a net increase in operating assets of $0.6 million and a net decrease in operating liabilities of $1.5 million. Net operating assets increased due to the timing of inventory purchases and accounts receivable due to the overall increase in sales in the three months ended March 31, 2024. Net operating liabilities decreased primarily due to timing of payments.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during the three months ended March 31, 2025 and 2024 was $29.6 million and $0.1 million, respectively, and consisted of purchases of marketable securities during the three months ended March 31, 2025, and purchases of equipment and recorders provided to customers for both periods.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three months ended March 31, 2025, consisted of proceeds from the exercise of options, and offset by debt issuance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three months ended March 31, 2024, consisted primarily of $0.1 million in proceeds from the exercise of options and $7.6 million in net proceeds from debt issuance.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headbands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2025, our principal sources of liquidity consisted of $182.7 million of cash and cash equivalents and short term marketable securities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matures on February 6, 2026.</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at March 31, 2025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at March 31, 2025,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March 31, 2025, estimated contractual obligations for operating lease payments were $2.3 million due within 22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on Form 10-K filed with the SEC on February 25, 2025. There have been no material changes to our significant accounting policies and estimates during the three months ended March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to our financial statements included elsewhere in this </w:t>
      </w:r>
      <w:r>
        <w:rPr>
          <w:rFonts w:ascii="Times New Roman" w:hAnsi="Times New Roman"/>
          <w:color w:val="000000"/>
          <w:sz w:val="18"/>
        </w:rPr>
        <w:t xml:space="preserve">Quarterly Report on Form 10-Q </w:t>
      </w:r>
      <w:r>
        <w:rPr>
          <w:rFonts w:ascii="Times New Roman" w:hAnsi="Times New Roman"/>
          <w:color w:val="000000"/>
          <w:sz w:val="20"/>
        </w:rPr>
        <w:t>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3" w:name="item_3_q_q_disclosures"/>
      <w:bookmarkEnd w:id="13"/>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effective at a reasonable assurance level as of March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March 31, 2025 by this Quarterly Report on Form 10-Q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growing to 281 employees in 2024. Accordingly, we have a limited operating history, which makes evaluation of our future prospects difficult. In that time, we have had periods of significant growth in revenue and employees, which have required us to scale the size of our organization as our business has rapidly changed. Any growth that we experience in the future will require us to further expand our sales and marketing and research and development personnel (including those with software and hardware expertise), our manufacturing operations, and our general and administrative infrastructure. While our quarterly revenues have generally increased each quarter since our commercial launch, our results of operations have fluctuated in the past, and our future quarterly and annual results of operations may fluctuate as we focus on increasing the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any changes in scale, related quality, or compliance assurance, including those related to any future additional indications for the Ceribell System, will be successfully implemented or that appropriate personnel will be available to facilitate the management of and changes to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fiscal years ended December 31, 2024 and 2023, we incurred net losses of $40.5 million and $29.5 million, respectively. As of December 31, 2024, we had an accumulated deficit of $166.9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produces by the Ceribell System. In addition,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our algorithm and overall system, the technologies we work with are novel and complex, and we cannot assure you that there will not be additional negative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existing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headbands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headbands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international manufacturers and suppliers, which exposes us to foreign operational risks and trade risks that may harm our business.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manufacturers and third-party suppliers that are based outside of the United States, including in China, who complete the primary assembly and initial inspection of all of our headbands and supply a significant portion of the components used in the manufacturing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reliance on an international supply chain and operations exposes us to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or material delays or disruption, including logistics challenges such as delays or disruptions in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prices for components used in the manufacturing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quality of supplies and finished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tariffs, and other duties, especially in light of trade disputes between the United States and several foreign countries, including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social, and economic instability;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outbreak of contagious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business practices that favor local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and limitations in telecommunication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and export license requirements and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the protection of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inflation and/or deflation;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nationalization and expropriation;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supplies being purchased through purchase orders without long-term guaranteed commitments from our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suppliers ceasing to do business with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disputes, terrorism, vandalism, natural disasters, or work stoppages.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has recently signaled its intention to change U.S. trade policy, including potentially renegotiating or terminating existing trade agreements and leveraging tariffs. From February 2025 to April 2025, the U.S. imposed additional tariffs on imports from China and announced and subsequently paused implementation of tariffs on imports from Canada and Mexico. These additional tariffs, as well as a government’s adoption of “buy national” policies or retaliation by another government against such tariffs or policies have introduced significant uncertainty into the market and may affect the prices of and demand for the Company’s products, which could have a negative impact on the Company’s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of these risks were to materialize, it could have a material adverse effect on our business, financial condition, results of operations, and prospects, including the potential costs of identifying new suppliers and/or new manufacturing partners and relocating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source and manufacture a substantial number of our products from third-party suppliers and manufacturers in China, which exposes us to risks inherent in doing business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source and manufacture a substantial number of our products from third-party suppliers and manufacturers in China. We rely on two primary contract manufacturers in China to complete the manufacturing, primary assembly, and inspection of our headband. In addition, we have a team of contractors who are employed by an agency in China and perform monitoring and quality inspection services at the facilities of our manufacturers in China.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suppliers and manufacturers in China expose us to political, legal, and economic risks. Our operations and the operations of our third-party suppliers and manufacturers in China may be adversely affected by deterioration of the U.S.-China relationship, adverse changes in U.S. economic and political policies relating to China (and vice versa), such as policies favoring domestically manufactured products, and changes in the United States and Chinese laws and regulations such as those related to, among other things, sanctions, taxation, import and export restrictions, tariffs, environmental protection, land use rights, intellectual property, currency controls, network security, labor and human rights practices, privacy, public health, and other matters. For example, the tariffs imposed by the United States on products imported from China could have a material adverse effect on the businesses of our third-party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suppliers and manufacturers in China, potentially causing them to go out of business, in which case we would be forced to transition to alternative suppliers and manufacturers. See the risk factor titled, “</w:t>
      </w:r>
      <w:r>
        <w:rPr>
          <w:rFonts w:ascii="Times New Roman" w:hAnsi="Times New Roman"/>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December 2021, the U.S. Congress enacted the Uyghur Forced Labor Prevention Act in an effort to prevent what it viewed as forced labor and human rights abuses in the Xinjiang Uyghur Autonomous Region (“XUAR”). If it is determined that our third-party suppliers and manufacturers produce or manufacture our components or products wholly or in part from the XUAR, then we could be prohibited from importing such components or products into the United States. In addition, the political, legal, and economic climate in China, both nationally and regionally, is fluid and unpredictable. Chinese trade regulations are in a state of flux, and we or our third-party suppliers and manufacturers in China may become subject to additional taxation, tariffs, and duties, including retaliatory trade restrictions. Sustained uncertainty about or worsening of tensions between the United States and China could also result in a global economic slowdown and long-term changes to global trade.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results of operations, and prospects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with the rapid development of the Chinese economy, the cost of labor has increased and may continue to increase in the future. Our results of operations will be materially and adversely affected if the labor costs of our suppliers and manufacturers increase significantly and are passed on to us. In addition, our manufacturers and suppliers may not be able to find a sufficient number of qualified workers due to the intensely competitive and fluid market for skilled labor in China, which would negatively affect our manufacturers’ and suppliers’ ability to meet our needs. Any of these events may materially and adversely affect our business, financial condition, results of operations, and prospects.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trade policy and regulations in the United States and other countries, including changes in trade agreements and the imposition of tariffs, as well as retaliatory responses, may have adverse impacts on our business, results of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U.S. government has implemented or proposed changes to international trade policy through the renegotiation, and potential termination, of certain existing bilateral or multilateral trade agreements and treaties, along with the imposition of tariffs on a wide range of products and other goods from China, countries in EMEA, and other regions. In response, China and other countries have imposed or proposed additional tariffs and additional trade restrictions on certain imports from the U.S. The current trade relations between the U.S. and China, in particular, remain volatile and uncertain.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rely significantly on manufacturing facilities in China. In addition, we and our manufacturers rely on the availability of raw materials and components to produce a significant amount of our products. The imposition of increased tariffs and any countermeasures could increase the cost of our products, limit the availability of the materials or components we use, disrupt the global supply chain, increase market volatility, and create additional challenges to our operations. This could have a material adverse effect on the sales, cost, or gross margin of our products, and the demand from our customers may be diminished. In addition, uncertainty surrounding international trade policy and regulations as well as disputes and protectionist measures could also have an adverse effect on consumer confidence and spending.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Moreover, our ongoing efforts to address these risks may not be effective and may have long-term adverse effects on our operations and operating results that we may not be able to reverse. Such efforts may also take time to implement or to have an effect and may result in adverse financial results or fluctuations in our financial results. In addition, these tariffs and retaliatory actions could affect our long-term strategies. If we deem it necessary to alter all or a portion of our activities or operations in response to such policies, agreements or tariffs, our capital and operating costs may increase. As a result, changes in trade policy and regulations in the United States and other countries could adversely affect our business,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result in requiring our employees to continue learning and adapting to new technologies, and us competing for highly skilled talent in a competitive market. Our operating results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hAnsi="Times New Roman"/>
          <w:i/>
          <w:color w:val="000000"/>
          <w:sz w:val="20"/>
        </w:rPr>
        <w:t>We face risks related to obtaining necessary foreign regulatory clearance or approvals</w:t>
      </w:r>
      <w:r>
        <w:rPr>
          <w:rFonts w:ascii="Times New Roman" w:hAnsi="Times New Roman"/>
          <w:color w:val="000000"/>
          <w:sz w:val="20"/>
        </w:rPr>
        <w:t xml:space="preserve">.” In addition, expansion into foreign markets will impose additional burdens on our executive and administrative personnel, finance and legal teams, sales and marketing teams, and general managerial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in marketing initiatives to increase market awareness of the Ceribell System and the prevalence of seizures in critically ill patient populations. Through our marketing and educational efforts, we reinforce the prevalence and severity of non-convulsive status epilepticus, the importance of prompt diagnosis and treatment, and the limitations of conventional EEG systems in the acute care setting. We believe our marketing programs are essential to increasing adoption of our system and expanding the use of EEG monitoring to a greater number of at-risk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believe that building a strong brand and developing and achieving broad awareness of the Ceribell System is critical to achieving market success. If any of our brand-building activities prove less successful than anticipated, or such activities are inhibited by the negative perceptions of healthcare professionals, including with respect to AI-enabled devices or reduced montage EEG in general, or the safety, reliability and efficacy of the Ceribell System, it could materially adversely impact our ability to attract new and retain existing customers and the rate of use of our products by existing customers. If this were to occur, we may not be able to recover our brand-building spend, and our rates of customer acquisition and retention and product usage may fail to meet market expectations, any of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continued rapid growth could strain our personnel resources and infrastructure, and if we are unable to manage the anticipated growth of our business, our business, financial condition, results of operations, and prospects could be materially adversely effected.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experienced rapid growth in business. Any growth that we experience in the future will pose challenges to our organization, requiring us to expand our sales personnel, manufacturing, and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and unanticipated costs and disruptions to our operations. Additionally, rapid expansion could pose challenges to retaining our existing employees, for example, by requiring us to rely on overtime to increase capacity that could, in turn, result in greater employee attrition and/or a loss in productivity during the process of recruiting and training additional resources and add to our operating expenses. In addition, rapid and significant growth may strain our administrative and operational infrastructure, financial and management controls, and reporting systems and procedures. Our ability to manage our business and growth will depend on our ability to continue to improve our infrastructure, controls, systems, and procedures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pace consistent with our growth. If we are unable to manage our growth effectively, it may be difficult for us to execute our business strategy and our business, financial condition, results of operations,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 xml:space="preserve">In addition, as a result of these investigations and qui tam actions, we may have to agree to additional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additional state and federal healthcare policies and reform measures to be adopted in the future, any of which could limit reimbursement for healthcare products and services or otherwise result in reduced demand for our products or additional pricing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physicians providing remote EEG interpretation services to certain customers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adverse effect on our business, financial condition, results of operations, and prospects. Regulatory authorities, state boards of medicine, state attorneys general, and other parties may assert that, despite the agreements through which we operate, we are nonetheless engaged in the provision of medical services and/or that our arrangements with the physicians constitute the unlawful practice of medicine and/or fee-splitting. If a jurisdiction’s prohibition on the corporate practice of medicine or fee-splitting is interpreted in a manner that is inconsistent with our practices, we would be required to restructure or terminate our arrangements with our employed and contracted physicians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adverse effect on our business, financial condition, results of operations, and prospects. State corporate practice and fee-splitting prohibitions also often impose penalties on healthcare professionals for aiding in the improper rendering of professional services, which could discourage physicians from providing reading services to our customers with whom we contract.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2022, we received Breakthrough Device Designation from the FDA for the detection and monitoring of delirium using our Ceribell System.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We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detection and monitoring of delirium using our Ceribell System.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or have viewed such data in different ways than regulators. 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headband used as part of the Ceribell System may cause skin irritation to patients or break down sooner than expected. Use of the Ceribell System, including both the headband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International Organization for Standardization standards. This new final rule, referred to as the Quality Management System Regulation, will take effect on February 2, 2026. Accordingly,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headbands supplied by third-party manufacturers located in China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in compliance with the QSR,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components, sub-assemblies and services are critical to us, and there are relatively few alternative sources of supply. Our suppliers generally are not under long-term contracts with us, and may experience delays or issues, stop producing our components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relationships with contracted physicians to provide remote EEG reading services to certain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directly or indirectly with physicians to provide remote EEG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went into effect in May 2018 and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EU GDPR regulates transfers of personal data subject to the EU GDPR to third countries that have not been found to provide adequate protection to such personal data, including the United States, and the efficacy and longevity of current transfer mechanisms between the EEA, and the United States remains uncertain. In addition, since early 2021, after the end of the transition period following the United Kingdom’s departure from the European Union, the EU GDPR continues to apply in substantially equivalent form in the context of the United Kingdom under the United Kingdom General Data Protection Regulation and Data Protection Act 2018 (the “UK GDPR”), which imposes separate but similar obligations to those under the EU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supervisory authorities issue further guidance on personal data export mechanisms, including circumstances where the standard contractual clauses cannot be used, and/or start taking enforcement action, we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(confidentially,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 Patent and Trademark Office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Our rights to use such intellectual property rights in our business are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2024, we had NOLs of approximately $127.1 million for federal income tax purposes and $126.9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countries in the European Union, as well as a number of other countries and organizations, have recently proposed or recommended changes to existing tax laws or have enacted new laws that could impact our tax obligations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December 31, 2024, $20.0 million in aggregate principal amount was outstanding under the VLSA, and no amount was outstanding under the Revolving Facility. The VLSA and the 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360" w:after="283"/>
        <w:jc w:val="both"/>
        <w:rPr>
          <w:rFonts w:ascii="Times New Roman" w:hAnsi="Times New Roman"/>
          <w:sz w:val="20"/>
        </w:rPr>
      </w:pPr>
      <w:r>
        <w:rPr>
          <w:rFonts w:ascii="Times New Roman" w:hAnsi="Times New Roman"/>
          <w:b/>
          <w:i/>
          <w:color w:val="000000"/>
          <w:sz w:val="20"/>
        </w:rPr>
        <w:t>We incur increased costs and are subject to additional regulations and requirements as a result of becoming a public company, which could lower our profits or make it more difficult to run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Securities and Exchange Commission (the “SEC”) and the exchange on which our securities are listed. The expenses generally incurred by public companies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in the past identified control deficiencies including material weaknesses and may identify control deficiencies, including material weaknesses in our internal control over financial reporting, in the future.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the guidance provided to the public or the expectations of investment analysts,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30, 2025, our executive officers, directors, owners of more than 5% of our capital stock and their respective affiliates beneficially owned approximately 60%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or the anticipation of such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360" w:after="283"/>
        <w:jc w:val="both"/>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(i) to fund sales and marketing efforts; (ii) to fund research and product development activities, including to advance our delirium and ischemic stroke indications through completion of clinical studies related to our Clarity algorithm; and (iii) for general corporate purposes, including working capital, operating expenses,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Prospectus.</w:t>
      </w:r>
    </w:p>
    <w:p>
      <w:pPr>
        <w:pStyle w:val="TextBody"/>
        <w:bidi w:val="0"/>
        <w:spacing w:before="360" w:after="283"/>
        <w:jc w:val="both"/>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pPr>
      <w:r>
        <w:rPr/>
        <w:t> </w:t>
      </w:r>
    </w:p>
    <w:tbl>
      <w:tblPr>
        <w:tblW w:w="8122" w:type="dxa"/>
        <w:jc w:val="left"/>
        <w:tblInd w:w="0" w:type="dxa"/>
        <w:tblLayout w:type="fixed"/>
        <w:tblCellMar>
          <w:top w:w="28" w:type="dxa"/>
          <w:left w:w="28" w:type="dxa"/>
          <w:bottom w:w="28" w:type="dxa"/>
          <w:right w:w="28" w:type="dxa"/>
        </w:tblCellMar>
      </w:tblPr>
      <w:tblGrid>
        <w:gridCol w:w="586"/>
        <w:gridCol w:w="661"/>
        <w:gridCol w:w="481"/>
        <w:gridCol w:w="1231"/>
        <w:gridCol w:w="1741"/>
        <w:gridCol w:w="1981"/>
        <w:gridCol w:w="1441"/>
      </w:tblGrid>
      <w:tr>
        <w:trPr/>
        <w:tc>
          <w:tcPr>
            <w:tcW w:w="5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86"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6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48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972"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Arrangement</w:t>
            </w:r>
          </w:p>
        </w:tc>
        <w:tc>
          <w:tcPr>
            <w:tcW w:w="198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Shares to be Sold</w:t>
            </w:r>
          </w:p>
        </w:tc>
        <w:tc>
          <w:tcPr>
            <w:tcW w:w="144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Expiration Date</w:t>
            </w:r>
          </w:p>
        </w:tc>
      </w:tr>
      <w:tr>
        <w:trPr/>
        <w:tc>
          <w:tcPr>
            <w:tcW w:w="5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6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48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w:t>
            </w:r>
          </w:p>
        </w:tc>
        <w:tc>
          <w:tcPr>
            <w:tcW w:w="17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Non-Rule 10b5-1**</w:t>
            </w:r>
          </w:p>
        </w:tc>
        <w:tc>
          <w:tcPr>
            <w:tcW w:w="198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4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2686"/>
        <w:gridCol w:w="1156"/>
        <w:gridCol w:w="1396"/>
        <w:gridCol w:w="241"/>
        <w:gridCol w:w="146"/>
        <w:gridCol w:w="676"/>
        <w:gridCol w:w="1726"/>
      </w:tblGrid>
      <w:tr>
        <w:trPr/>
        <w:tc>
          <w:tcPr>
            <w:tcW w:w="268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6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Foehr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Senior Vice President, Finance</w:t>
            </w:r>
          </w:p>
        </w:tc>
        <w:tc>
          <w:tcPr>
            <w:tcW w:w="11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Terminate(1)</w:t>
            </w:r>
          </w:p>
        </w:tc>
        <w:tc>
          <w:tcPr>
            <w:tcW w:w="13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4, 2025</w:t>
            </w:r>
          </w:p>
        </w:tc>
        <w:tc>
          <w:tcPr>
            <w:tcW w:w="24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jc w:val="left"/>
              <w:rPr/>
            </w:pPr>
            <w:r>
              <w:rPr/>
              <w:t> </w:t>
            </w:r>
          </w:p>
          <w:p>
            <w:pPr>
              <w:pStyle w:val="TableContents"/>
              <w:bidi w:val="0"/>
              <w:spacing w:before="0" w:after="283"/>
              <w:jc w:val="left"/>
              <w:rPr/>
            </w:pPr>
            <w:r>
              <w:rPr/>
              <w:t> </w:t>
            </w:r>
          </w:p>
        </w:tc>
        <w:tc>
          <w:tcPr>
            <w:tcW w:w="6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17,223</w:t>
            </w:r>
          </w:p>
        </w:tc>
        <w:tc>
          <w:tcPr>
            <w:tcW w:w="17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15, 2025</w:t>
            </w:r>
          </w:p>
        </w:tc>
      </w:tr>
      <w:tr>
        <w:trPr/>
        <w:tc>
          <w:tcPr>
            <w:tcW w:w="268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Foehr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Senior Vice President, Finance</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11, 2025</w:t>
            </w:r>
          </w:p>
        </w:tc>
        <w:tc>
          <w:tcPr>
            <w:tcW w:w="2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15,071</w:t>
            </w:r>
          </w:p>
        </w:tc>
        <w:tc>
          <w:tcPr>
            <w:tcW w:w="17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10, 2026</w:t>
            </w:r>
          </w:p>
        </w:tc>
      </w:tr>
      <w:tr>
        <w:trPr/>
        <w:tc>
          <w:tcPr>
            <w:tcW w:w="268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Scott Blumberg</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14, 2025</w:t>
            </w:r>
          </w:p>
        </w:tc>
        <w:tc>
          <w:tcPr>
            <w:tcW w:w="2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93,000</w:t>
            </w:r>
          </w:p>
        </w:tc>
        <w:tc>
          <w:tcPr>
            <w:tcW w:w="17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2026</w:t>
            </w:r>
          </w:p>
        </w:tc>
      </w:tr>
      <w:tr>
        <w:trPr/>
        <w:tc>
          <w:tcPr>
            <w:tcW w:w="2686"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Rebecca Robertson</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Chair of the Board of Directors</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14, 2025</w:t>
            </w:r>
          </w:p>
        </w:tc>
        <w:tc>
          <w:tcPr>
            <w:tcW w:w="2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40,426</w:t>
            </w:r>
          </w:p>
        </w:tc>
        <w:tc>
          <w:tcPr>
            <w:tcW w:w="17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2026</w:t>
            </w:r>
          </w:p>
        </w:tc>
      </w:tr>
    </w:tbl>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(1) Trading arrangement was originally adopted on December 12, 2024.</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7"/>
        <w:gridCol w:w="146"/>
        <w:gridCol w:w="6532"/>
        <w:gridCol w:w="531"/>
        <w:gridCol w:w="720"/>
        <w:gridCol w:w="691"/>
        <w:gridCol w:w="828"/>
      </w:tblGrid>
      <w:tr>
        <w:trP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2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0_1.htm">
              <w:r>
                <w:rPr>
                  <w:rStyle w:val="InternetLink"/>
                  <w:rFonts w:ascii="Times New Roman" w:hAnsi="Times New Roman"/>
                  <w:color w:val="0000FF"/>
                  <w:sz w:val="20"/>
                  <w:u w:val="single"/>
                </w:rPr>
                <w:t>Non-Employee Director Compensation Program.</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0_2.htm">
              <w:r>
                <w:rPr>
                  <w:rStyle w:val="InternetLink"/>
                  <w:rFonts w:ascii="Times New Roman" w:hAnsi="Times New Roman"/>
                  <w:color w:val="0000FF"/>
                  <w:sz w:val="20"/>
                  <w:u w:val="single"/>
                </w:rPr>
                <w:t>Separation Agreement, dated March 28, 2025, by and between CeriBell, Inc. and Joshua Copp</w:t>
              </w:r>
            </w:hyperlink>
            <w:r>
              <w:rPr>
                <w:rFonts w:ascii="Times New Roman" w:hAnsi="Times New Roman"/>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99" w:type="dxa"/>
        <w:jc w:val="left"/>
        <w:tblInd w:w="0" w:type="dxa"/>
        <w:tblLayout w:type="fixed"/>
        <w:tblCellMar>
          <w:top w:w="28" w:type="dxa"/>
          <w:left w:w="28" w:type="dxa"/>
          <w:bottom w:w="28" w:type="dxa"/>
          <w:right w:w="28" w:type="dxa"/>
        </w:tblCellMar>
      </w:tblPr>
      <w:tblGrid>
        <w:gridCol w:w="1636"/>
        <w:gridCol w:w="14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CERIBELL,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right"/>
        <w:rPr/>
      </w:pPr>
      <w:bookmarkStart w:id="24" w:name="cbll-ex10_1.htm"/>
      <w:bookmarkStart w:id="25" w:name="kscbllex10_1"/>
      <w:bookmarkEnd w:id="24"/>
      <w:bookmarkEnd w:id="25"/>
      <w:r>
        <w:rPr/>
        <w:t> </w:t>
      </w:r>
      <w:r>
        <w:br w:type="page"/>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CERIBELL, Inc.</w:t>
      </w:r>
    </w:p>
    <w:p>
      <w:pPr>
        <w:pStyle w:val="TextBody"/>
        <w:bidi w:val="0"/>
        <w:jc w:val="center"/>
        <w:rPr>
          <w:rFonts w:ascii="Times New Roman" w:hAnsi="Times New Roman"/>
          <w:b/>
          <w:caps/>
          <w:color w:val="000000"/>
          <w:sz w:val="24"/>
        </w:rPr>
      </w:pPr>
      <w:r>
        <w:rPr>
          <w:rFonts w:ascii="Times New Roman" w:hAnsi="Times New Roman"/>
          <w:b/>
          <w:caps/>
          <w:color w:val="000000"/>
          <w:sz w:val="24"/>
        </w:rPr>
        <w:t>Non-Employee Director Compensation Program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CeriBell,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has been adopted under the Company’s 2024 Incentive Award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became effective upon the date of the effectiveness of the registration statement on Form S-1 filed by the Company with the U.S. Securities and Exchange Commission for the Company’s initial public offering (the “</w:t>
      </w:r>
      <w:r>
        <w:rPr>
          <w:rFonts w:ascii="Times New Roman" w:hAnsi="Times New Roman"/>
          <w:b/>
          <w:i/>
          <w:color w:val="000000"/>
          <w:sz w:val="24"/>
        </w:rPr>
        <w:t>IPO</w:t>
      </w:r>
      <w:r>
        <w:rPr>
          <w:rFonts w:ascii="Times New Roman" w:hAnsi="Times New Roman"/>
          <w:color w:val="000000"/>
          <w:sz w:val="20"/>
        </w:rPr>
        <w:t>”</w:t>
      </w:r>
      <w:r>
        <w:rPr>
          <w:rFonts w:ascii="Times New Roman" w:hAnsi="Times New Roman"/>
          <w:color w:val="000000"/>
          <w:sz w:val="24"/>
        </w:rPr>
        <w:t>) of its common stock (“</w:t>
      </w:r>
      <w:r>
        <w:rPr>
          <w:rFonts w:ascii="Times New Roman" w:hAnsi="Times New Roman"/>
          <w:b/>
          <w:i/>
          <w:color w:val="000000"/>
          <w:sz w:val="24"/>
        </w:rPr>
        <w:t>Common Stock</w:t>
      </w:r>
      <w:r>
        <w:rPr>
          <w:rFonts w:ascii="Times New Roman" w:hAnsi="Times New Roman"/>
          <w:color w:val="000000"/>
          <w:sz w:val="20"/>
        </w:rPr>
        <w:t>”</w:t>
      </w:r>
      <w:r>
        <w:rPr>
          <w:rFonts w:ascii="Times New Roman" w:hAnsi="Times New Roman"/>
          <w:color w:val="000000"/>
          <w:sz w:val="24"/>
        </w:rPr>
        <w:t>). Capitalized terms not otherwise defined herein have the meaning ascribed in the Plan.</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Cash Compensation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Effective upon the IPO, annual retainers will be paid in the following amounts to Non-Employee Directors:</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Board Service</w:t>
      </w:r>
    </w:p>
    <w:tbl>
      <w:tblPr>
        <w:tblW w:w="3407" w:type="dxa"/>
        <w:jc w:val="left"/>
        <w:tblInd w:w="0" w:type="dxa"/>
        <w:tblLayout w:type="fixed"/>
        <w:tblCellMar>
          <w:top w:w="28" w:type="dxa"/>
          <w:left w:w="28" w:type="dxa"/>
          <w:bottom w:w="28" w:type="dxa"/>
          <w:right w:w="28" w:type="dxa"/>
        </w:tblCellMar>
      </w:tblPr>
      <w:tblGrid>
        <w:gridCol w:w="2476"/>
        <w:gridCol w:w="931"/>
      </w:tblGrid>
      <w:tr>
        <w:trPr/>
        <w:tc>
          <w:tcPr>
            <w:tcW w:w="24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w:t>
            </w:r>
          </w:p>
        </w:tc>
        <w:tc>
          <w:tcPr>
            <w:tcW w:w="93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$45,000</w:t>
            </w:r>
          </w:p>
        </w:tc>
      </w:tr>
    </w:tbl>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Additional Board Service</w:t>
      </w:r>
    </w:p>
    <w:tbl>
      <w:tblPr>
        <w:tblW w:w="5132" w:type="dxa"/>
        <w:jc w:val="left"/>
        <w:tblInd w:w="0" w:type="dxa"/>
        <w:tblLayout w:type="fixed"/>
        <w:tblCellMar>
          <w:top w:w="28" w:type="dxa"/>
          <w:left w:w="28" w:type="dxa"/>
          <w:bottom w:w="28" w:type="dxa"/>
          <w:right w:w="28" w:type="dxa"/>
        </w:tblCellMar>
      </w:tblPr>
      <w:tblGrid>
        <w:gridCol w:w="4201"/>
        <w:gridCol w:w="931"/>
      </w:tblGrid>
      <w:tr>
        <w:trPr/>
        <w:tc>
          <w:tcPr>
            <w:tcW w:w="42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20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Non-Executive Chairperson (if applicable):</w:t>
            </w:r>
          </w:p>
        </w:tc>
        <w:tc>
          <w:tcPr>
            <w:tcW w:w="93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$45,000</w:t>
            </w:r>
          </w:p>
        </w:tc>
      </w:tr>
    </w:tbl>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Additional Committee Service</w:t>
      </w:r>
    </w:p>
    <w:tbl>
      <w:tblPr>
        <w:tblW w:w="7878" w:type="dxa"/>
        <w:jc w:val="left"/>
        <w:tblInd w:w="0" w:type="dxa"/>
        <w:tblLayout w:type="fixed"/>
        <w:tblCellMar>
          <w:top w:w="28" w:type="dxa"/>
          <w:left w:w="28" w:type="dxa"/>
          <w:bottom w:w="28" w:type="dxa"/>
          <w:right w:w="28" w:type="dxa"/>
        </w:tblCellMar>
      </w:tblPr>
      <w:tblGrid>
        <w:gridCol w:w="5821"/>
        <w:gridCol w:w="886"/>
        <w:gridCol w:w="1171"/>
      </w:tblGrid>
      <w:tr>
        <w:trPr/>
        <w:tc>
          <w:tcPr>
            <w:tcW w:w="58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582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Chair</w:t>
            </w:r>
          </w:p>
        </w:tc>
        <w:tc>
          <w:tcPr>
            <w:tcW w:w="11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Non-Chair</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$7,500</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will be prorated for the portion of such calendar quarter actually served as a Non-Employee Director, or in such position, as applicable.</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Election to Receive Restricted Stock Units (“RSUs”) In Lieu of Annual Retainers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2"/>
        <w:gridCol w:w="9323"/>
      </w:tblGrid>
      <w:tr>
        <w:trPr/>
        <w:tc>
          <w:tcPr>
            <w:tcW w:w="882" w:type="dxa"/>
            <w:tcBorders/>
            <w:vAlign w:val="center"/>
          </w:tcPr>
          <w:p>
            <w:pPr>
              <w:pStyle w:val="TableContents"/>
              <w:bidi w:val="0"/>
              <w:spacing w:before="0" w:after="283"/>
              <w:jc w:val="left"/>
              <w:rPr>
                <w:sz w:val="4"/>
                <w:szCs w:val="4"/>
              </w:rPr>
            </w:pPr>
            <w:r>
              <w:rPr>
                <w:sz w:val="4"/>
                <w:szCs w:val="4"/>
              </w:rPr>
            </w:r>
          </w:p>
        </w:tc>
        <w:tc>
          <w:tcPr>
            <w:tcW w:w="9323" w:type="dxa"/>
            <w:tcBorders/>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General:</w:t>
            </w:r>
          </w:p>
        </w:tc>
        <w:tc>
          <w:tcPr>
            <w:tcW w:w="93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rPr>
              <w:t>The Board or its Compensation Committee (the “</w:t>
            </w:r>
            <w:r>
              <w:rPr>
                <w:rFonts w:ascii="Times New Roman" w:hAnsi="Times New Roman"/>
                <w:b/>
                <w:i/>
                <w:color w:val="000000"/>
                <w:sz w:val="24"/>
              </w:rPr>
              <w:t>Compensation Committee</w:t>
            </w:r>
            <w:r>
              <w:rPr>
                <w:rFonts w:ascii="Times New Roman" w:hAnsi="Times New Roman"/>
                <w:color w:val="000000"/>
                <w:sz w:val="24"/>
              </w:rPr>
              <w:t>”) may, in its discretion, provide Non-Employee Directors with the opportunity to elect to convert all or a portion of their annual retainers into awards of RSUs (“</w:t>
            </w:r>
            <w:r>
              <w:rPr>
                <w:rFonts w:ascii="Times New Roman" w:hAnsi="Times New Roman"/>
                <w:b/>
                <w:i/>
                <w:color w:val="000000"/>
                <w:sz w:val="24"/>
              </w:rPr>
              <w:t>Retainer RSU Awards</w:t>
            </w:r>
            <w:r>
              <w:rPr>
                <w:rFonts w:ascii="Times New Roman" w:hAnsi="Times New Roman"/>
                <w:color w:val="000000"/>
                <w:sz w:val="24"/>
              </w:rPr>
              <w:t xml:space="preserve">”) granted under the Plan or any other applicable Company equity incentive plan then-maintained by the Company, with each such Retainer RSU Award covering a number of shares of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001"/>
        <w:gridCol w:w="9204"/>
      </w:tblGrid>
      <w:tr>
        <w:trPr/>
        <w:tc>
          <w:tcPr>
            <w:tcW w:w="1001" w:type="dxa"/>
            <w:tcBorders/>
            <w:vAlign w:val="center"/>
          </w:tcPr>
          <w:p>
            <w:pPr>
              <w:pStyle w:val="TableContents"/>
              <w:bidi w:val="0"/>
              <w:spacing w:before="0" w:after="283"/>
              <w:jc w:val="left"/>
              <w:rPr>
                <w:sz w:val="4"/>
                <w:szCs w:val="4"/>
              </w:rPr>
            </w:pPr>
            <w:r>
              <w:rPr>
                <w:sz w:val="4"/>
                <w:szCs w:val="4"/>
              </w:rPr>
            </w:r>
          </w:p>
        </w:tc>
        <w:tc>
          <w:tcPr>
            <w:tcW w:w="9204" w:type="dxa"/>
            <w:tcBorders/>
            <w:vAlign w:val="center"/>
          </w:tcPr>
          <w:p>
            <w:pPr>
              <w:pStyle w:val="TableContents"/>
              <w:bidi w:val="0"/>
              <w:spacing w:before="0" w:after="283"/>
              <w:jc w:val="left"/>
              <w:rPr>
                <w:sz w:val="4"/>
                <w:szCs w:val="4"/>
              </w:rPr>
            </w:pPr>
            <w:r>
              <w:rPr>
                <w:sz w:val="4"/>
                <w:szCs w:val="4"/>
              </w:rPr>
            </w:r>
          </w:p>
        </w:tc>
      </w:tr>
      <w:tr>
        <w:trPr/>
        <w:tc>
          <w:tcPr>
            <w:tcW w:w="1001" w:type="dxa"/>
            <w:tcBorders/>
            <w:tcMar>
              <w:top w:w="0" w:type="dxa"/>
              <w:left w:w="0" w:type="dxa"/>
              <w:bottom w:w="0" w:type="dxa"/>
              <w:right w:w="0" w:type="dxa"/>
            </w:tcMar>
            <w:vAlign w:val="center"/>
          </w:tcPr>
          <w:p>
            <w:pPr>
              <w:pStyle w:val="TableContents"/>
              <w:bidi w:val="0"/>
              <w:spacing w:before="0" w:after="283"/>
              <w:jc w:val="left"/>
              <w:rPr/>
            </w:pPr>
            <w:r>
              <w:rPr/>
              <w:t> </w:t>
            </w:r>
          </w:p>
        </w:tc>
        <w:tc>
          <w:tcPr>
            <w:tcW w:w="9204"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hAnsi="Times New Roman"/>
                <w:b/>
                <w:i/>
                <w:color w:val="000000"/>
                <w:sz w:val="24"/>
              </w:rPr>
              <w:t>Retainer RSU Election</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pStyle w:val="TableContents"/>
              <w:bidi w:val="0"/>
              <w:spacing w:before="0" w:after="283"/>
              <w:jc w:val="both"/>
              <w:rPr/>
            </w:pPr>
            <w:r>
              <w:rPr/>
              <w:t> </w:t>
            </w:r>
          </w:p>
        </w:tc>
      </w:tr>
      <w:tr>
        <w:trPr/>
        <w:tc>
          <w:tcPr>
            <w:tcW w:w="10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Election Method:</w:t>
            </w:r>
          </w:p>
        </w:tc>
        <w:tc>
          <w:tcPr>
            <w:tcW w:w="920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Each Retainer RSU Election must be submitted to the Company in the form and manner specified by the Board or the Compensation Committee. An individual who fails to make a timely Retainer RSU Election will not receive a Retainer RSU Award and instead will receive the applicable annual retainer in cash. Retainer RSU Elections must comply with the following timing requirements:</w:t>
            </w:r>
          </w:p>
          <w:p>
            <w:pPr>
              <w:pStyle w:val="TableContents"/>
              <w:bidi w:val="0"/>
              <w:spacing w:before="220" w:after="283"/>
              <w:jc w:val="both"/>
              <w:rPr>
                <w:color w:val="000000"/>
              </w:rPr>
            </w:pPr>
            <w:r>
              <w:rPr>
                <w:color w:val="000000"/>
              </w:rPr>
              <w:t>•</w:t>
            </w:r>
          </w:p>
          <w:p>
            <w:pPr>
              <w:pStyle w:val="TableContents"/>
              <w:bidi w:val="0"/>
              <w:spacing w:before="220" w:after="283"/>
              <w:jc w:val="both"/>
              <w:rPr/>
            </w:pPr>
            <w:r>
              <w:rPr>
                <w:rFonts w:ascii="Times New Roman" w:hAnsi="Times New Roman"/>
                <w:color w:val="000000"/>
                <w:sz w:val="24"/>
                <w:u w:val="single"/>
              </w:rPr>
              <w:t>Initial Election</w:t>
            </w:r>
            <w:r>
              <w:rPr>
                <w:rFonts w:ascii="Times New Roman" w:hAnsi="Times New Roman"/>
                <w:color w:val="000000"/>
                <w:sz w:val="24"/>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hAnsi="Times New Roman"/>
                <w:b/>
                <w:i/>
                <w:color w:val="000000"/>
                <w:sz w:val="24"/>
              </w:rPr>
              <w:t>Initial Retainer RSU Election</w:t>
            </w:r>
            <w:r>
              <w:rPr>
                <w:color w:val="000000"/>
              </w:rPr>
              <w:t>”</w:t>
            </w:r>
            <w:r>
              <w:rPr>
                <w:rFonts w:ascii="Times New Roman" w:hAnsi="Times New Roman"/>
                <w:color w:val="000000"/>
                <w:sz w:val="24"/>
              </w:rPr>
              <w:t>). The Initial Retainer RSU Election must be submitted to the Company on or before the date that the individual first becomes a Non-Employee Director (the “</w:t>
            </w:r>
            <w:r>
              <w:rPr>
                <w:rFonts w:ascii="Times New Roman" w:hAnsi="Times New Roman"/>
                <w:b/>
                <w:i/>
                <w:color w:val="000000"/>
                <w:sz w:val="24"/>
              </w:rPr>
              <w:t>Initial Election Deadline</w:t>
            </w:r>
            <w:r>
              <w:rPr>
                <w:color w:val="000000"/>
              </w:rPr>
              <w:t>”</w:t>
            </w:r>
            <w:r>
              <w:rPr>
                <w:rFonts w:ascii="Times New Roman" w:hAnsi="Times New Roman"/>
                <w:color w:val="000000"/>
                <w:sz w:val="24"/>
              </w:rPr>
              <w:t>), and the Initial Retainer RSU Election will become final and irrevocable as of the Initial Election Deadline.</w:t>
            </w:r>
          </w:p>
          <w:p>
            <w:pPr>
              <w:pStyle w:val="TableContents"/>
              <w:bidi w:val="0"/>
              <w:spacing w:before="220" w:after="283"/>
              <w:jc w:val="both"/>
              <w:rPr>
                <w:color w:val="000000"/>
              </w:rPr>
            </w:pPr>
            <w:r>
              <w:rPr>
                <w:color w:val="000000"/>
              </w:rPr>
              <w:t>•</w:t>
            </w:r>
          </w:p>
          <w:p>
            <w:pPr>
              <w:pStyle w:val="TableContents"/>
              <w:bidi w:val="0"/>
              <w:spacing w:before="220" w:after="283"/>
              <w:jc w:val="both"/>
              <w:rPr/>
            </w:pPr>
            <w:r>
              <w:rPr>
                <w:rFonts w:ascii="Times New Roman" w:hAnsi="Times New Roman"/>
                <w:color w:val="000000"/>
                <w:sz w:val="24"/>
                <w:u w:val="single"/>
              </w:rPr>
              <w:t>Annual Election</w:t>
            </w:r>
            <w:r>
              <w:rPr>
                <w:rFonts w:ascii="Times New Roman" w:hAnsi="Times New Roman"/>
                <w:color w:val="000000"/>
                <w:sz w:val="24"/>
              </w:rPr>
              <w:t>. No later than December 31 of each calendar year, or such other deadline as may be established by the Board or the Compensation Committee, in its discretion (the “</w:t>
            </w:r>
            <w:r>
              <w:rPr>
                <w:rFonts w:ascii="Times New Roman" w:hAnsi="Times New Roman"/>
                <w:b/>
                <w:i/>
                <w:color w:val="000000"/>
                <w:sz w:val="24"/>
              </w:rPr>
              <w:t>Annual Election Deadline</w:t>
            </w:r>
            <w:r>
              <w:rPr>
                <w:color w:val="000000"/>
              </w:rPr>
              <w:t>”</w:t>
            </w:r>
            <w:r>
              <w:rPr>
                <w:rFonts w:ascii="Times New Roman" w:hAnsi="Times New Roman"/>
                <w:color w:val="000000"/>
                <w:sz w:val="24"/>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 w:hAnsi="Times New Roman"/>
                <w:b/>
                <w:i/>
                <w:color w:val="000000"/>
                <w:sz w:val="24"/>
              </w:rPr>
              <w:t>Annual Retainer RSU Election</w:t>
            </w:r>
            <w:r>
              <w:rPr>
                <w:color w:val="000000"/>
              </w:rPr>
              <w:t>”</w:t>
            </w:r>
            <w:r>
              <w:rPr>
                <w:rFonts w:ascii="Times New Roman" w:hAnsi="Times New Roman"/>
                <w:color w:val="000000"/>
                <w:sz w:val="24"/>
              </w:rPr>
              <w:t xml:space="preserve">). The Annual Retainer RSU Election must be submitted to the Company on or before the applicable Annual Election Deadline and will become effective and irrevocable as of the Annual Election Deadline.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Equity Compensation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8"/>
        <w:gridCol w:w="9227"/>
      </w:tblGrid>
      <w:tr>
        <w:trPr/>
        <w:tc>
          <w:tcPr>
            <w:tcW w:w="978" w:type="dxa"/>
            <w:tcBorders/>
            <w:vAlign w:val="center"/>
          </w:tcPr>
          <w:p>
            <w:pPr>
              <w:pStyle w:val="TableContents"/>
              <w:bidi w:val="0"/>
              <w:spacing w:before="0" w:after="283"/>
              <w:jc w:val="left"/>
              <w:rPr>
                <w:sz w:val="4"/>
                <w:szCs w:val="4"/>
              </w:rPr>
            </w:pPr>
            <w:r>
              <w:rPr>
                <w:sz w:val="4"/>
                <w:szCs w:val="4"/>
              </w:rPr>
            </w:r>
          </w:p>
        </w:tc>
        <w:tc>
          <w:tcPr>
            <w:tcW w:w="9227" w:type="dxa"/>
            <w:tcBorders/>
            <w:vAlign w:val="center"/>
          </w:tcPr>
          <w:p>
            <w:pPr>
              <w:pStyle w:val="TableContents"/>
              <w:bidi w:val="0"/>
              <w:spacing w:before="0" w:after="283"/>
              <w:jc w:val="left"/>
              <w:rPr>
                <w:sz w:val="4"/>
                <w:szCs w:val="4"/>
              </w:rPr>
            </w:pPr>
            <w:r>
              <w:rPr>
                <w:sz w:val="4"/>
                <w:szCs w:val="4"/>
              </w:rPr>
            </w:r>
          </w:p>
        </w:tc>
      </w:tr>
      <w:tr>
        <w:trPr/>
        <w:tc>
          <w:tcPr>
            <w:tcW w:w="9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RSU Award:</w:t>
            </w:r>
          </w:p>
        </w:tc>
        <w:tc>
          <w:tcPr>
            <w:tcW w:w="9227"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Unless otherwise approved by the Board prior to commencement of services of an applicable Non-Employee Director, each Non-Employee Director who is initially elected or appointed to serve on the Board after the IPO will be granted an award of RSUs under the Plan or any other applicable Company equity incentive plan then-maintained by the Company covering a number of shares of Common Stock calculated by dividing (i) $300,000 by (ii) the average per share closing trading price of the Common Stock over the most recent 30 trading days as of the grant date (the “</w:t>
            </w:r>
            <w:r>
              <w:rPr>
                <w:rFonts w:ascii="Times New Roman" w:hAnsi="Times New Roman"/>
                <w:b/>
                <w:i/>
                <w:color w:val="000000"/>
                <w:sz w:val="24"/>
              </w:rPr>
              <w:t>Initial RSU Award</w:t>
            </w:r>
            <w:r>
              <w:rPr>
                <w:rFonts w:ascii="Times New Roman" w:hAnsi="Times New Roman"/>
                <w:color w:val="000000"/>
                <w:sz w:val="24"/>
              </w:rPr>
              <w:t>”).</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Annual RSU Award:</w:t>
            </w:r>
          </w:p>
        </w:tc>
        <w:tc>
          <w:tcPr>
            <w:tcW w:w="9227"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Each Non-Employee Director who (i) has been serving on the Board as of each annual meeting of the Company’s stockholders after the IPO (each, an “</w:t>
            </w:r>
            <w:r>
              <w:rPr>
                <w:rFonts w:ascii="Times New Roman" w:hAnsi="Times New Roman"/>
                <w:b/>
                <w:i/>
                <w:color w:val="000000"/>
                <w:sz w:val="24"/>
              </w:rPr>
              <w:t>Annual Meeting</w:t>
            </w:r>
            <w:r>
              <w:rPr>
                <w:rFonts w:ascii="Times New Roman" w:hAnsi="Times New Roman"/>
                <w:color w:val="000000"/>
                <w:sz w:val="24"/>
              </w:rPr>
              <w:t>”) for at least six months prior to the Annual Meeting and (ii) will continue to serve as a Non-Employee Director immediately following such Annual Meeting, will be granted an award of RSUs under the Plan or any other applicable Company equity incentive plan then-maintained by the Company covering a number of shares of Common Stock calculated by dividing (i) $150,000 by (ii) the average per share closing trading price of the Common Stock over the most recent 30 trading days as of the grant date (the “</w:t>
            </w:r>
            <w:r>
              <w:rPr>
                <w:rFonts w:ascii="Times New Roman" w:hAnsi="Times New Roman"/>
                <w:b/>
                <w:i/>
                <w:color w:val="000000"/>
                <w:sz w:val="24"/>
              </w:rPr>
              <w:t>Annual RSU Award</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pStyle w:val="TableContents"/>
              <w:bidi w:val="0"/>
              <w:spacing w:before="0" w:after="283"/>
              <w:jc w:val="both"/>
              <w:rPr/>
            </w:pPr>
            <w:r>
              <w:rPr/>
              <w:t>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sz w:val="4"/>
                <w:szCs w:val="4"/>
              </w:rPr>
            </w:pPr>
            <w:r>
              <w:rPr>
                <w:sz w:val="4"/>
                <w:szCs w:val="4"/>
              </w:rPr>
            </w:r>
          </w:p>
        </w:tc>
        <w:tc>
          <w:tcPr>
            <w:tcW w:w="9047" w:type="dxa"/>
            <w:tcBorders/>
            <w:vAlign w:val="center"/>
          </w:tcPr>
          <w:p>
            <w:pPr>
              <w:pStyle w:val="TableContents"/>
              <w:bidi w:val="0"/>
              <w:spacing w:before="0" w:after="283"/>
              <w:jc w:val="left"/>
              <w:rPr>
                <w:sz w:val="4"/>
                <w:szCs w:val="4"/>
              </w:rPr>
            </w:pPr>
            <w:r>
              <w:rPr>
                <w:sz w:val="4"/>
                <w:szCs w:val="4"/>
              </w:rPr>
            </w:r>
          </w:p>
        </w:tc>
      </w:tr>
      <w:tr>
        <w:trPr/>
        <w:tc>
          <w:tcPr>
            <w:tcW w:w="11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IPO RSU Award:</w:t>
            </w:r>
          </w:p>
        </w:tc>
        <w:tc>
          <w:tcPr>
            <w:tcW w:w="9047"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Each Non-Employee Director who (i) has been serving on the Board as of the IPO and (ii) will continue to serve as a Non-Employee Director immediately following the IPO, shall be granted an award of RSUs under the Plan covering a number of shares of Common Stock calculated by dividing (i) $112,500 by (ii) the initial public offering price of a Share as set forth in the Company’s final prospectus relating to its IPO filed with the Securities and Exchange Commission (the “</w:t>
            </w:r>
            <w:r>
              <w:rPr>
                <w:rFonts w:ascii="Times New Roman" w:hAnsi="Times New Roman"/>
                <w:b/>
                <w:i/>
                <w:color w:val="000000"/>
                <w:sz w:val="24"/>
              </w:rPr>
              <w:t>IPO RSU Award</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The IPO RSU Award will be automatically granted on the date the Form S-8 following the Effective Date becomes effective, and will vest in full on the earlier of (i) the first anniversary of the grant date and (ii) immediately before the Annual Meeting following the grant date, subject to the Non-Employee Director continuing in service on the Board through such vesting date.</w:t>
            </w:r>
          </w:p>
          <w:p>
            <w:pPr>
              <w:pStyle w:val="TableContents"/>
              <w:bidi w:val="0"/>
              <w:spacing w:before="0" w:after="283"/>
              <w:jc w:val="both"/>
              <w:rPr/>
            </w:pPr>
            <w:r>
              <w:rPr/>
              <w:t> </w:t>
            </w:r>
          </w:p>
        </w:tc>
      </w:tr>
      <w:tr>
        <w:trPr/>
        <w:tc>
          <w:tcPr>
            <w:tcW w:w="1158" w:type="dxa"/>
            <w:tcBorders/>
            <w:tcMar>
              <w:top w:w="0" w:type="dxa"/>
              <w:left w:w="0" w:type="dxa"/>
              <w:bottom w:w="0" w:type="dxa"/>
              <w:right w:w="0" w:type="dxa"/>
            </w:tcMar>
            <w:vAlign w:val="center"/>
          </w:tcPr>
          <w:p>
            <w:pPr>
              <w:pStyle w:val="TableContents"/>
              <w:bidi w:val="0"/>
              <w:jc w:val="both"/>
              <w:rPr>
                <w:rFonts w:ascii="Times New Roman" w:hAnsi="Times New Roman"/>
                <w:b/>
                <w:i/>
                <w:color w:val="000000"/>
                <w:sz w:val="22"/>
              </w:rPr>
            </w:pPr>
            <w:r>
              <w:rPr>
                <w:rFonts w:ascii="Times New Roman" w:hAnsi="Times New Roman"/>
                <w:b/>
                <w:i/>
                <w:color w:val="000000"/>
                <w:sz w:val="22"/>
              </w:rPr>
              <w:t>Election to Defer Issuances</w:t>
            </w:r>
          </w:p>
          <w:p>
            <w:pPr>
              <w:pStyle w:val="TableContents"/>
              <w:bidi w:val="0"/>
              <w:jc w:val="both"/>
              <w:rPr/>
            </w:pPr>
            <w:r>
              <w:rPr/>
              <w:t> </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General:</w:t>
            </w:r>
          </w:p>
        </w:tc>
        <w:tc>
          <w:tcPr>
            <w:tcW w:w="9047"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color w:val="000000"/>
                <w:sz w:val="24"/>
              </w:rPr>
              <w:t>Each Non-Employee Director shall have the opportunity to defer the issuance of the shares underlying RSUs granted under this Program (including, for clarity, Retainer RSUs, Initial RSU Awards, the IPO RSU Awards and Annual RSU Awards) that would otherwise be issued to the Non-Employee Director in connection with the vesting or grant of the RSUs (including, for clarity, the Retainer RSU Awards, Initial RSU Awards, the IPO RSU Awards and Annual RSU Awards) until the earliest of a fixed date properly elected by the Non-Employee Director, the Non-Employee Director’s Termination of Service or a Change in Control. Any such deferral election (“</w:t>
            </w:r>
            <w:r>
              <w:rPr>
                <w:rFonts w:ascii="Times New Roman" w:hAnsi="Times New Roman"/>
                <w:b/>
                <w:i/>
                <w:color w:val="000000"/>
                <w:sz w:val="24"/>
              </w:rPr>
              <w:t>Deferral Election</w:t>
            </w:r>
            <w:r>
              <w:rPr>
                <w:rFonts w:ascii="Times New Roman" w:hAnsi="Times New Roman"/>
                <w:color w:val="000000"/>
                <w:sz w:val="24"/>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pStyle w:val="TableContents"/>
              <w:bidi w:val="0"/>
              <w:spacing w:before="0" w:after="283"/>
              <w:jc w:val="both"/>
              <w:rPr/>
            </w:pPr>
            <w:r>
              <w:rPr/>
              <w:t> </w:t>
            </w:r>
          </w:p>
        </w:tc>
      </w:tr>
      <w:tr>
        <w:trPr/>
        <w:tc>
          <w:tcPr>
            <w:tcW w:w="11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Election Method:</w:t>
            </w:r>
          </w:p>
        </w:tc>
        <w:tc>
          <w:tcPr>
            <w:tcW w:w="9047"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Each Deferral Election must be submitted to the Company in the form and manner specified by the Board or the Compensation Committee. Deferral Elections must comply with the following timing requirements:</w:t>
            </w:r>
          </w:p>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color w:val="000000"/>
                <w:sz w:val="24"/>
                <w:u w:val="single"/>
              </w:rPr>
              <w:t>Initial Deferral Election</w:t>
            </w:r>
            <w:r>
              <w:rPr>
                <w:rFonts w:ascii="Times New Roman" w:hAnsi="Times New Roman"/>
                <w:color w:val="000000"/>
                <w:sz w:val="24"/>
              </w:rPr>
              <w:t xml:space="preserve">. Each individual who first becomes a Non-Employee Director may make a Deferral Election with respect to the Non-Employee Director’s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924"/>
        <w:gridCol w:w="9281"/>
      </w:tblGrid>
      <w:tr>
        <w:trPr/>
        <w:tc>
          <w:tcPr>
            <w:tcW w:w="924"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924" w:type="dxa"/>
            <w:tcBorders/>
            <w:tcMar>
              <w:top w:w="0" w:type="dxa"/>
              <w:left w:w="0" w:type="dxa"/>
              <w:bottom w:w="0" w:type="dxa"/>
              <w:right w:w="0" w:type="dxa"/>
            </w:tcMar>
            <w:vAlign w:val="center"/>
          </w:tcPr>
          <w:p>
            <w:pPr>
              <w:pStyle w:val="TableContents"/>
              <w:bidi w:val="0"/>
              <w:spacing w:before="0" w:after="283"/>
              <w:ind w:left="0" w:right="0" w:firstLine="763"/>
              <w:jc w:val="left"/>
              <w:rPr/>
            </w:pPr>
            <w:r>
              <w:rPr/>
              <w:t> </w:t>
            </w:r>
          </w:p>
        </w:tc>
        <w:tc>
          <w:tcPr>
            <w:tcW w:w="9281" w:type="dxa"/>
            <w:tcBorders/>
            <w:tcMar>
              <w:top w:w="0" w:type="dxa"/>
              <w:left w:w="0" w:type="dxa"/>
              <w:bottom w:w="0" w:type="dxa"/>
              <w:right w:w="0" w:type="dxa"/>
            </w:tcMar>
            <w:vAlign w:val="center"/>
          </w:tcPr>
          <w:p>
            <w:pPr>
              <w:pStyle w:val="TableContents"/>
              <w:bidi w:val="0"/>
              <w:spacing w:before="120" w:after="283"/>
              <w:jc w:val="both"/>
              <w:rPr/>
            </w:pPr>
            <w:r>
              <w:rPr>
                <w:rFonts w:ascii="Times New Roman" w:hAnsi="Times New Roman"/>
                <w:color w:val="000000"/>
                <w:sz w:val="24"/>
              </w:rPr>
              <w:t>RSUs to be granted in the same calendar year as such individual first becomes a Non-Employee Director (the “</w:t>
            </w:r>
            <w:r>
              <w:rPr>
                <w:rFonts w:ascii="Times New Roman" w:hAnsi="Times New Roman"/>
                <w:b/>
                <w:i/>
                <w:color w:val="000000"/>
                <w:sz w:val="24"/>
              </w:rPr>
              <w:t>Initial Deferral Election</w:t>
            </w:r>
            <w:r>
              <w:rPr>
                <w:color w:val="000000"/>
              </w:rPr>
              <w:t>”</w:t>
            </w:r>
            <w:r>
              <w:rPr>
                <w:rFonts w:ascii="Times New Roman" w:hAnsi="Times New Roman"/>
                <w:color w:val="000000"/>
                <w:sz w:val="24"/>
              </w:rPr>
              <w:t>). The Initial Deferral Election must be submitted to the Company on or before the Initial Election Deadline, and the Initial Deferral Election shall become final and irrevocable as of the Initial Election Deadline.</w:t>
            </w:r>
          </w:p>
          <w:p>
            <w:pPr>
              <w:pStyle w:val="TableContents"/>
              <w:bidi w:val="0"/>
              <w:spacing w:before="240" w:after="283"/>
              <w:jc w:val="both"/>
              <w:rPr>
                <w:color w:val="000000"/>
              </w:rPr>
            </w:pPr>
            <w:r>
              <w:rPr>
                <w:color w:val="000000"/>
              </w:rPr>
              <w:t>•</w:t>
            </w:r>
          </w:p>
          <w:p>
            <w:pPr>
              <w:pStyle w:val="TableContents"/>
              <w:bidi w:val="0"/>
              <w:spacing w:before="240" w:after="283"/>
              <w:jc w:val="both"/>
              <w:rPr/>
            </w:pPr>
            <w:r>
              <w:rPr>
                <w:rFonts w:ascii="Times New Roman" w:hAnsi="Times New Roman"/>
                <w:color w:val="000000"/>
                <w:sz w:val="24"/>
                <w:u w:val="single"/>
              </w:rPr>
              <w:t>Annual Deferral Election</w:t>
            </w:r>
            <w:r>
              <w:rPr>
                <w:rFonts w:ascii="Times New Roman" w:hAnsi="Times New Roman"/>
                <w:color w:val="000000"/>
                <w:sz w:val="24"/>
              </w:rPr>
              <w:t>. No later than the Annual Election Deadline, each individual who is a Non-Employee Director as of immediately before the Annual Election Deadline may make a Deferral Election with respect to the RSUs to be granted in the following calendar year (the “</w:t>
            </w:r>
            <w:r>
              <w:rPr>
                <w:rFonts w:ascii="Times New Roman" w:hAnsi="Times New Roman"/>
                <w:b/>
                <w:i/>
                <w:color w:val="000000"/>
                <w:sz w:val="24"/>
              </w:rPr>
              <w:t>Annual Deferral Election</w:t>
            </w:r>
            <w:r>
              <w:rPr>
                <w:color w:val="000000"/>
              </w:rPr>
              <w:t>”</w:t>
            </w:r>
            <w:r>
              <w:rPr>
                <w:rFonts w:ascii="Times New Roman" w:hAnsi="Times New Roman"/>
                <w:color w:val="000000"/>
                <w:sz w:val="24"/>
              </w:rPr>
              <w:t>). The Annual Deferral Election must be submitted to the Company on or before the applicable Annual Election Deadline and shall become final and irrevocable for the subsequent calendar year as of the applicable Annual Election Deadline.</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portion of an IPO RSU Award, Initial RSU Award or Annual RSU Award which is unvested at the time of a Non-Employee Director’s termination of service on the Board will become vested and exercisable thereafter.</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Change in Control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Immediately prior to a Change in Control of the Company, all outstanding equity awards granted under the Plan and any other equity incentive plan maintained by the Company that are held by a Non-Employee Director will become fully vested and/or exercisable, irrespective of any other provisions of the Non-Employee Director’s Award Agreement.</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Certain Terminations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Reimbursements</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Miscellaneous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provisions of the Plan will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including, without limitation, the limits on Non-Employee Director compensation set forth in Section 5.5 of the Plan. The grant of RSUs under this Program will be made solely by and subject to the terms set forth in an Award Agreement in a form to be approved by the Board and duly executed by an executive officer of the Company.</w:t>
      </w:r>
    </w:p>
    <w:p>
      <w:pPr>
        <w:pStyle w:val="TextBody"/>
        <w:bidi w:val="0"/>
        <w:jc w:val="both"/>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 * * *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bookmarkStart w:id="26" w:name="cbll-ex10_2.htm"/>
      <w:bookmarkStart w:id="27" w:name="kscbllex10_2"/>
      <w:bookmarkEnd w:id="26"/>
      <w:bookmarkEnd w:id="27"/>
      <w:r>
        <w:rPr/>
        <w:t> </w:t>
      </w:r>
      <w:r>
        <w:br w:type="page"/>
      </w:r>
    </w:p>
    <w:p>
      <w:pPr>
        <w:pStyle w:val="TextBody"/>
        <w:bidi w:val="0"/>
        <w:jc w:val="left"/>
        <w:rPr/>
      </w:pPr>
      <w:r>
        <w:rPr/>
        <w:t> </w:t>
      </w:r>
    </w:p>
    <w:p>
      <w:pPr>
        <w:pStyle w:val="TextBody"/>
        <w:bidi w:val="0"/>
        <w:spacing w:before="720" w:after="720"/>
        <w:jc w:val="both"/>
        <w:rPr>
          <w:rFonts w:ascii="Times New Roman" w:hAnsi="Times New Roman"/>
          <w:color w:val="000000"/>
          <w:sz w:val="24"/>
        </w:rPr>
      </w:pPr>
      <w:r>
        <w:rPr>
          <w:rFonts w:ascii="Times New Roman" w:hAnsi="Times New Roman"/>
          <w:color w:val="000000"/>
          <w:sz w:val="24"/>
        </w:rPr>
        <w:t>March 28, 2025</w:t>
      </w:r>
    </w:p>
    <w:p>
      <w:pPr>
        <w:pStyle w:val="TextBody"/>
        <w:bidi w:val="0"/>
        <w:jc w:val="both"/>
        <w:rPr>
          <w:rFonts w:ascii="Times New Roman" w:hAnsi="Times New Roman"/>
          <w:color w:val="000000"/>
          <w:sz w:val="24"/>
        </w:rPr>
      </w:pPr>
      <w:r>
        <w:rPr>
          <w:rFonts w:ascii="Times New Roman" w:hAnsi="Times New Roman"/>
          <w:color w:val="000000"/>
          <w:sz w:val="24"/>
        </w:rPr>
        <w:t>Joshua Copp</w:t>
      </w:r>
    </w:p>
    <w:p>
      <w:pPr>
        <w:pStyle w:val="TextBody"/>
        <w:bidi w:val="0"/>
        <w:jc w:val="both"/>
        <w:rPr>
          <w:rFonts w:ascii="Times New Roman" w:hAnsi="Times New Roman"/>
          <w:color w:val="000000"/>
          <w:sz w:val="24"/>
        </w:rPr>
      </w:pPr>
      <w:r>
        <w:rPr>
          <w:rFonts w:ascii="Times New Roman" w:hAnsi="Times New Roman"/>
          <w:color w:val="000000"/>
          <w:sz w:val="24"/>
        </w:rPr>
        <w:t>450 Marin Avenue</w:t>
      </w:r>
    </w:p>
    <w:p>
      <w:pPr>
        <w:pStyle w:val="TextBody"/>
        <w:bidi w:val="0"/>
        <w:jc w:val="both"/>
        <w:rPr>
          <w:rFonts w:ascii="Times New Roman" w:hAnsi="Times New Roman"/>
          <w:color w:val="000000"/>
          <w:sz w:val="24"/>
        </w:rPr>
      </w:pPr>
      <w:r>
        <w:rPr>
          <w:rFonts w:ascii="Times New Roman" w:hAnsi="Times New Roman"/>
          <w:color w:val="000000"/>
          <w:sz w:val="24"/>
        </w:rPr>
        <w:t>Mill Valley, CA 94941</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Terms of Separation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Dear Joshua: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appreciated the time you spent speaking with me about the terms of your separation from Ceribell Inc. (the “Company”). This letter confirms the agreement between you and the Company concerning the terms of your separation and offers you the separation compensation we discussed in exchange for a release of claims.</w:t>
      </w:r>
    </w:p>
    <w:p>
      <w:pPr>
        <w:pStyle w:val="TextBody"/>
        <w:bidi w:val="0"/>
        <w:spacing w:before="240" w:after="283"/>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Separation Date</w:t>
      </w:r>
      <w:r>
        <w:rPr>
          <w:rFonts w:ascii="Times New Roman" w:hAnsi="Times New Roman"/>
          <w:color w:val="000000"/>
          <w:sz w:val="24"/>
        </w:rPr>
        <w:t>: March 19, 2025 is your last day of employment with the Company</w:t>
      </w:r>
      <w:r>
        <w:rPr>
          <w:color w:val="000000"/>
        </w:rPr>
        <w:t xml:space="preserve"> </w:t>
      </w:r>
      <w:r>
        <w:rPr>
          <w:rFonts w:ascii="Times New Roman" w:hAnsi="Times New Roman"/>
          <w:color w:val="000000"/>
          <w:sz w:val="24"/>
        </w:rPr>
        <w:t>(the “Separation Date”).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Acknowledgment of Payment of Wages</w:t>
      </w:r>
      <w:r>
        <w:rPr>
          <w:rFonts w:ascii="Times New Roman" w:hAnsi="Times New Roman"/>
          <w:color w:val="000000"/>
          <w:sz w:val="24"/>
        </w:rPr>
        <w:t>: By your signature below, you acknowledge that on March 19, 2025, we provided you a final paycheck in the amount of $127,587.23 for all wages, salary, bonuses, and any similar payments due you from the Company as of the Separation Date. This amount includes payment for your annual bonus in the amount of $123,377.00. You agree that, within thirty (30) days after the Separation Date, you will submit your final documented expense reimbursement statement reflecting all business expenses you incurred through the Separation Date, if any, for which you seek reimbursement. The Company will process your reimbursement request pursuant to its regular business practice. By signing below, you acknowledge that the Company does not owe you any other amounts. You further acknowledge that you did not accrue any paid time off or vacation under the Company’s flexible paid time off policy and that you are not owed any vacation or other paid time off in connection with your separation from employment.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000000"/>
          <w:sz w:val="24"/>
          <w:u w:val="single"/>
        </w:rPr>
        <w:t>Separation Compensation</w:t>
      </w:r>
      <w:r>
        <w:rPr>
          <w:rFonts w:ascii="Times New Roman" w:hAnsi="Times New Roman"/>
          <w:color w:val="000000"/>
          <w:sz w:val="24"/>
        </w:rPr>
        <w:t xml:space="preserve">: In exchange for your agreement to the waiver of claims set forth in paragraph 6, below, and this Agreement becoming effective as described in paragraph 14, below, the Company agrees in addition to: (a) pay you a total of $85,500.00, less applicable state and federal payroll deductions and withholdings, which constitutes twelve (12) weeks base pay, within 30 calendar days after the Effective Date of this Agreement; and, (b) provided you timely elect COBRA coverage, pay on your behalf the COBRA premium for your first six (6) months of COBRA coverage. By signing below, you acknowledge that you are receiving the separation compensation outlined in this paragraph in consideration for waiving your rights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claims referred to in this agreement and that you would not otherwise be entitled to the separation compensation.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Return of Company Property</w:t>
      </w:r>
      <w:r>
        <w:rPr>
          <w:rFonts w:ascii="Times New Roman" w:hAnsi="Times New Roman"/>
          <w:color w:val="000000"/>
          <w:sz w:val="24"/>
        </w:rPr>
        <w:t>: You hereby warrant to the Company that you have returned to the Company all property or data of the Company of any type whatsoever that has been in your possession or control.</w:t>
      </w:r>
      <w:r>
        <w:rPr>
          <w:color w:val="000000"/>
          <w:u w:val="single"/>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Confidential Information</w:t>
      </w:r>
      <w:r>
        <w:rPr>
          <w:rFonts w:ascii="Times New Roman" w:hAnsi="Times New Roman"/>
          <w:color w:val="000000"/>
          <w:sz w:val="24"/>
        </w:rPr>
        <w:t>: You hereby acknowledge that you are bound by the attached agreement dated August 29, 2023, (the “Confidentiality Agreement”) and that as a result of your employment with the Company you have had access to the Company’s Confidential Information (as defined in the agreement), that you will hold all Confidential Information in strictest confidence and that you will not make use of such Confidential Information on behalf of anyone. You further confirm that you have delivered to the Company all documents and data of any nature containing or pertaining to such Confidential Information and that you have not taken with you any such documents or data or any reproduction thereof. Nothing in this Agreement or the Confidentiality Agreement is intended to interfere with any communications or activity described in paragraph 8 below (“Permitted Communications and Protected Rights”), or to interfere with or discourage a good faith disclosure to any governmental entity related to a suspected violation of the law. Pursuant to 18 USC Section 1833(b), you cannot and will not be held criminally or civilly liable under any federal or state trade secret law for disclosing otherwise protected trade secrets and/or confidential or proprietary information as long as the disclosure is made in (i) confidence to a federal, state, or local government official, directly or indirectly, or to an attorney and solely for the purpose of reporting or investigating a suspected violation of law; or (ii) a complaint or other document filed in a lawsuit or other proceeding, as long as such filing is made under seal.</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Waiver of Claims</w:t>
      </w:r>
      <w:r>
        <w:rPr>
          <w:rFonts w:ascii="Times New Roman" w:hAnsi="Times New Roman"/>
          <w:color w:val="000000"/>
          <w:sz w:val="24"/>
        </w:rPr>
        <w:t>: The payments and promises set forth in this agreement are in full satisfaction of all accrued salary, vacation pay, bonus pay, profit-sharing, stock options, termination benefits or other compensation to which you may be entitled by virtue of your employment with the Company or your separation from the Company.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By signing below, you expressly waive any benefits of Section 1542 of the Civil Code of the State of California, which provides as follows:</w:t>
      </w:r>
    </w:p>
    <w:p>
      <w:pPr>
        <w:pStyle w:val="TextBody"/>
        <w:bidi w:val="0"/>
        <w:jc w:val="both"/>
        <w:rPr/>
      </w:pPr>
      <w:r>
        <w:rPr>
          <w:color w:val="000000"/>
        </w:rPr>
        <w:t>“</w:t>
      </w:r>
      <w:r>
        <w:rPr>
          <w:rFonts w:ascii="Times New Roman" w:hAnsi="Times New Roman"/>
          <w:color w:val="000000"/>
          <w:sz w:val="24"/>
        </w:rPr>
        <w:t>A GENERAL RELEASE DOES NOT EXTEND TO CLAIMS THAT THE CREDITOR OR RELEASING PARTY DOES NOT KNOW OR SUSPECT TO EXIST IN HIS OR HER FAVOR AT THE TIME OF EXECUTING THE RELEASE AND THAT, IF KNOWN BY HIM OR HER, WOULD HAVE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MATERIALLY AFFECTED HIS OR HER SETTLEMENT WITH THE DEBTOR OR RELEASED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this waiver and release of claims does not extend to: (i) any rights which as a matter of law cannot be waived and released, (ii) any rights you have to file or pursue a claim for workers’ compensation or unemployment insurance; (iii) any rights or claims that may arise after the execution date of this Agreement, and (iv) any claims for breach of this Agreement. In addition, nothing in this Agreement prevents you from filing a charge or complaint with the Equal Employment Opportunity Commission (the “EEOC”), the National Labor Relations Board (the “NLRB”), the Occupational Safety and Health Administration, the Securities and Exchange Commission (the “SEC”) or any other federal, state or local governmental agency or commission (collectively, “Government Agencies”).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any Government Agency (including, without limitation, the right to receive an award from the SEC’s whistleblower program), you understand and agree that, to the maximum extent permitted by law, you are otherwise waiving any and all rights you may have to individual relief, including monetary recovery, from Government Agencies or otherwise based on any claims that you have released and the rights you have waived by signing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color w:val="000000"/>
          <w:sz w:val="24"/>
          <w:u w:val="single"/>
        </w:rPr>
        <w:t>Nondisparagement</w:t>
      </w:r>
      <w:r>
        <w:rPr>
          <w:rFonts w:ascii="Times New Roman" w:hAnsi="Times New Roman"/>
          <w:color w:val="000000"/>
          <w:sz w:val="24"/>
        </w:rPr>
        <w:t xml:space="preserve">: Subject to the “Permitted Communications and Protected Rights” provision below, you agree that you will not disparage any of the Releasees or their products, services, agents, representatives, directors, officers, shareholders, attorneys, employees, vendors, affiliates, successors or assigns, or any person acting by, through, under or in concert with any of them, provided that you may respond accurately and fully to any question, inquiry or request for information to the extent required by legal process or in connection with a Company investigation. For purposes of this Agreement, “disparage” includes, without limitation, comments or statements, whether oral or written, to the press, to the Releasees’ past or present employees or to any individual or entity with whom the Releasees have a business relationship (including, without limitation, any vendor, supplier, customer or distributor), or any public or private statement, that in each case is intended to, or can be reasonably expected to, damage the business, integrity, reputation or good will of any of the Releasees. You agree that the obligations under this paragraph include (without limitation) refraining from publishing any disparaging remark on any blog, online social network or any other website (including, but not limited to, www.glassdoor.com), whether or not such comments are made anonymously.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color w:val="000000"/>
          <w:sz w:val="24"/>
          <w:u w:val="single"/>
        </w:rPr>
        <w:t>Confidentiality of Agreement</w:t>
      </w:r>
      <w:r>
        <w:rPr>
          <w:rFonts w:ascii="Times New Roman" w:hAnsi="Times New Roman"/>
          <w:color w:val="000000"/>
          <w:sz w:val="24"/>
        </w:rPr>
        <w:t xml:space="preserve">: Subject to the “Permitted Communications and Protected Rights” provision below, the provisions of this Agreement will be held in strictest confidence by you and will not be publicized or disclosed in any manner whatsoever; provided, however, that: (a) you may disclose this Agreement in confidence to your immediate family; (b) you may disclose this Agreement in confidence to your attorneys, accountants, auditors, tax preparers, and financial advisors; and (c) you may disclose this Agreement insofar as such disclosure may be necessary to enforce its terms or as otherwise required by law. In particular,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without limitation, you agree not to disclose the terms of this Agreement to any current or former employee, consultant or independent contractor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9.</w:t>
      </w:r>
    </w:p>
    <w:p>
      <w:pPr>
        <w:pStyle w:val="TextBody"/>
        <w:bidi w:val="0"/>
        <w:jc w:val="both"/>
        <w:rPr/>
      </w:pPr>
      <w:r>
        <w:rPr>
          <w:rFonts w:ascii="Times New Roman" w:hAnsi="Times New Roman"/>
          <w:color w:val="000000"/>
          <w:sz w:val="24"/>
          <w:u w:val="single"/>
        </w:rPr>
        <w:t>Permitted Communications and Protected Rights</w:t>
      </w:r>
      <w:r>
        <w:rPr>
          <w:rFonts w:ascii="Times New Roman" w:hAnsi="Times New Roman"/>
          <w:color w:val="000000"/>
          <w:sz w:val="24"/>
        </w:rPr>
        <w:t>: You acknowledge that nothing in this Agreement prohibits or restricts you from initiating communications directly with, responding to any inquiry from, or providing information to or testimony before the SEC, EEOC, NLRB or any other Government Agency or self-regulatory organization, about actual or potential violations of laws or regulations. You further acknowledge that nothing in this Agreement prohibits or restricts you from engaging in communications or other activity protected under the National Labor Relations Act, from assisting others to engage in such communications or activity, or from assisting the NLRB in vindicating employee rights under the National Labor Relations Act. Moreover, nothing in this Agreement waives your right to testify in an administrative, legislative or judicial proceeding concerning alleged criminal conduct or alleged unlawful acts in the workplace (including, but not limited to, sexual harassment) on the part of any of the Releasees in the event that you are required or requested to attend such a proceeding pursuant to a court order, subpoena or written request from an administrative agency or the legislature. In addition, nothing in this Agreement prevents you from discussing or disclosing information about unlawful acts in the workplace, such as harassment or discrimination or any other conduct that you have reason to believe is unlawful. Furthermore, this Agreement shall not in any way limit your right to disclose factual information related to a claim filed in a civil action or a complaint filed in an administrative action regarding any act described in California Code of Civil Procedure Section 1001(a), including (without limitation) an act of workplace harassment or discrimination, failure to prevent an act of workplace harassment or discrimination, or an act of retaliation against a person for reporting harassment or discrimination, as described in subdivisions (a), (h), (i), (j) and (k) of Section 12940 of the California Government Code. You are not required to obtain the Company’s prior authorization before engaging in such communications nor are you required to inform the Company about such communications. You understand that any such communications will not be considered a breach of your obligations under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rFonts w:ascii="Times New Roman" w:hAnsi="Times New Roman"/>
          <w:color w:val="000000"/>
          <w:sz w:val="24"/>
          <w:u w:val="single"/>
        </w:rPr>
        <w:t>Legal and Equitable Remedies</w:t>
      </w:r>
      <w:r>
        <w:rPr>
          <w:rFonts w:ascii="Times New Roman" w:hAnsi="Times New Roman"/>
          <w:color w:val="000000"/>
          <w:sz w:val="24"/>
        </w:rPr>
        <w:t>: You agree that Releasees have the right to enforce this agreement and any of its provisions by injunction, specific performance or other equitable relief without prejudice to any other rights or remedies Releasees may have at law or in equity for breach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color w:val="000000"/>
          <w:sz w:val="24"/>
          <w:u w:val="single"/>
        </w:rPr>
        <w:t>Attorneys’ Fees</w:t>
      </w:r>
      <w:r>
        <w:rPr>
          <w:rFonts w:ascii="Times New Roman" w:hAnsi="Times New Roman"/>
          <w:color w:val="000000"/>
          <w:sz w:val="24"/>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rFonts w:ascii="Times New Roman" w:hAnsi="Times New Roman"/>
          <w:color w:val="000000"/>
          <w:sz w:val="24"/>
          <w:u w:val="single"/>
        </w:rPr>
        <w:t>No Admission of Liability</w:t>
      </w:r>
      <w:r>
        <w:rPr>
          <w:rFonts w:ascii="Times New Roman" w:hAnsi="Times New Roman"/>
          <w:color w:val="000000"/>
          <w:sz w:val="24"/>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13.</w:t>
      </w:r>
    </w:p>
    <w:p>
      <w:pPr>
        <w:pStyle w:val="TextBody"/>
        <w:bidi w:val="0"/>
        <w:jc w:val="both"/>
        <w:rPr/>
      </w:pPr>
      <w:r>
        <w:rPr>
          <w:rFonts w:ascii="Times New Roman" w:hAnsi="Times New Roman"/>
          <w:color w:val="000000"/>
          <w:sz w:val="24"/>
          <w:u w:val="single"/>
        </w:rPr>
        <w:t>Entire Agreement</w:t>
      </w:r>
      <w:r>
        <w:rPr>
          <w:rFonts w:ascii="Times New Roman" w:hAnsi="Times New Roman"/>
          <w:color w:val="000000"/>
          <w:sz w:val="24"/>
        </w:rPr>
        <w:t>: This agreement constitutes the entire agreement between you and Releasees with respect to the subject matter hereof and supersedes all prior negotiations and agreements, whether written or oral, relating to such subject matter other than the confidentiality agreement referred to in paragraph 5, above.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14.</w:t>
      </w:r>
    </w:p>
    <w:p>
      <w:pPr>
        <w:pStyle w:val="TextBody"/>
        <w:bidi w:val="0"/>
        <w:jc w:val="both"/>
        <w:rPr/>
      </w:pPr>
      <w:r>
        <w:rPr>
          <w:rFonts w:ascii="Times New Roman" w:hAnsi="Times New Roman"/>
          <w:color w:val="000000"/>
          <w:sz w:val="24"/>
          <w:u w:val="single"/>
        </w:rPr>
        <w:t>Modification</w:t>
      </w:r>
      <w:r>
        <w:rPr>
          <w:rFonts w:ascii="Times New Roman" w:hAnsi="Times New Roman"/>
          <w:color w:val="000000"/>
          <w:sz w:val="24"/>
        </w:rPr>
        <w:t xml:space="preserve">: It is expressly agreed that this Agreement may not be altered, amended, modified, or otherwise changed in any respect except by another written agreement that specifically refers to this agreement, executed by authorized representatives of each of the parties to this agreement. If any provision of this Agreement is determined to be invalid or unenforceable, in whole or in part, this determination will not affect any other provision of this Agreement and the provision in question will be modified so as to be rendered enforceable in a manner consistent with the intent of the parties insofar as possible.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will be deemed to have been entered into and will be construed and enforced in accordance with the laws of the State of California without regard to conflict of law principles.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rFonts w:ascii="Times New Roman" w:hAnsi="Times New Roman"/>
          <w:color w:val="000000"/>
          <w:sz w:val="24"/>
          <w:u w:val="single"/>
        </w:rPr>
        <w:t>Execution</w:t>
      </w:r>
      <w:r>
        <w:rPr>
          <w:rFonts w:ascii="Times New Roman" w:hAnsi="Times New Roman"/>
          <w:color w:val="000000"/>
          <w:sz w:val="24"/>
        </w:rPr>
        <w:t>: This agreement may be executed in counterparts which shall be deemed to be part of one original.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to be valid and effective for all purposes.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Review of Separation Agreement</w:t>
      </w:r>
      <w:r>
        <w:rPr>
          <w:rFonts w:ascii="Times New Roman" w:hAnsi="Times New Roman"/>
          <w:color w:val="000000"/>
          <w:sz w:val="24"/>
        </w:rPr>
        <w:t xml:space="preserve">: You understand that you may take up to twenty-one (21) calendar days after the Separation Date to consider this Agreement and, by signing below, affirm that you were advised to consult with an attorney prior to signing this Agreement. In the event that you sign this Agreement prior to the end of your 21-day consideration period, you acknowledge and agree that the decision to shorten your consideration period was knowing and voluntary and was not induced by the Company through fraud, misrepresentation, or a threat to withdraw or alter the offer prior to the expiration of the consideration period, or by offering more favorable terms for signing the Agreement prior to the expiration of the consideration period. You understand you may revoke this Agreement within seven (7) calendar days after signing this Agreement and that the Separation Compensation to be provided to you pursuant to paragraph 3 will be provided only if and after this Agreement becomes effective, which will be the eighth calendar day after you sign this Agreement, provided that you do not revoke the Agreement before the end of that seven (7) day revocation period. If you choose to revoke this Agreement, you must deliver notice of such revocation in writing, by personal delivery, email or mail, to Kim McKeon, Senior Director, People Partnerships and Talent Development, Ceribell Inc., 360 North Pastoria Avenue, Sunnyvale, CA 94085 or kim.mckeon@ceribell.com. If mailed, the revocation must be properly addressed to the above addressee and postmarked no later than the last day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revocation period.</w:t>
        <w:br/>
      </w:r>
      <w:r>
        <w:rPr>
          <w:color w:val="000000"/>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agree to abide by the terms outlined in this letter, please sign this letter below and return it to me. I wish you the best in your future endeavors.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Ceribell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Kim McKeon </w:t>
      </w:r>
    </w:p>
    <w:p>
      <w:pPr>
        <w:pStyle w:val="TextBody"/>
        <w:bidi w:val="0"/>
        <w:jc w:val="both"/>
        <w:rPr>
          <w:rFonts w:ascii="Times New Roman" w:hAnsi="Times New Roman"/>
          <w:color w:val="000000"/>
          <w:sz w:val="24"/>
        </w:rPr>
      </w:pPr>
      <w:r>
        <w:rPr>
          <w:rFonts w:ascii="Times New Roman" w:hAnsi="Times New Roman"/>
          <w:color w:val="000000"/>
          <w:sz w:val="24"/>
        </w:rPr>
        <w:t>Kim McKeon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Senior Director, People Partnerships and Talent Development</w:t>
      </w:r>
    </w:p>
    <w:p>
      <w:pPr>
        <w:pStyle w:val="TextBody"/>
        <w:bidi w:val="0"/>
        <w:spacing w:before="0" w:after="24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READ, UNDERSTOOD AND AGREED:</w:t>
      </w:r>
    </w:p>
    <w:p>
      <w:pPr>
        <w:pStyle w:val="TextBody"/>
        <w:bidi w:val="0"/>
        <w:jc w:val="both"/>
        <w:rPr>
          <w:rFonts w:ascii="Times New Roman" w:hAnsi="Times New Roman"/>
          <w:sz w:val="20"/>
        </w:rPr>
      </w:pPr>
      <w:r>
        <w:rPr>
          <w:rFonts w:ascii="Times New Roman" w:hAnsi="Times New Roman"/>
          <w:color w:val="000000"/>
          <w:sz w:val="24"/>
        </w:rPr>
        <w:t xml:space="preserve">Signature: </w:t>
      </w:r>
      <w:r>
        <w:rPr>
          <w:rFonts w:ascii="Times New Roman" w:hAnsi="Times New Roman"/>
          <w:color w:val="000000"/>
          <w:sz w:val="24"/>
          <w:u w:val="single"/>
        </w:rPr>
        <w:t xml:space="preserve">/s/ Joshua Copp </w:t>
      </w:r>
      <w:r>
        <w:rPr>
          <w:rFonts w:ascii="Times New Roman" w:hAnsi="Times New Roman"/>
          <w:color w:val="000000"/>
          <w:sz w:val="24"/>
        </w:rPr>
        <w:t xml:space="preserve">Date: </w:t>
      </w:r>
      <w:r>
        <w:rPr>
          <w:rFonts w:ascii="Times New Roman" w:hAnsi="Times New Roman"/>
          <w:color w:val="000000"/>
          <w:sz w:val="24"/>
          <w:u w:val="single"/>
        </w:rPr>
        <w:t xml:space="preserve">3/28/2025 </w:t>
      </w:r>
      <w:r>
        <w:rPr>
          <w:rFonts w:ascii="Times New Roman" w:hAnsi="Times New Roman"/>
          <w:color w:val="000000"/>
          <w:sz w:val="24"/>
        </w:rPr>
        <w:br/>
        <w:t>Joshua Copp</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bll-ex31_1.htm"/>
      <w:bookmarkStart w:id="29" w:name="kscbllex31_1"/>
      <w:bookmarkEnd w:id="28"/>
      <w:bookmarkEnd w:id="29"/>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146"/>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cbll-ex31_2.htm"/>
      <w:bookmarkStart w:id="31" w:name="kscbllex31_2"/>
      <w:bookmarkEnd w:id="30"/>
      <w:bookmarkEnd w:id="31"/>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cbll-ex32_1.htm"/>
      <w:bookmarkStart w:id="33" w:name="kscbllex32_1"/>
      <w:bookmarkEnd w:id="32"/>
      <w:bookmarkEnd w:id="33"/>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636"/>
        <w:gridCol w:w="109"/>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cbll-ex32_2.htm"/>
      <w:bookmarkStart w:id="35" w:name="kscbllex32_2"/>
      <w:bookmarkEnd w:id="34"/>
      <w:bookmarkEnd w:id="35"/>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07/000095017024114767/cbll-ex3_1.htm" TargetMode="External"/><Relationship Id="rId3" Type="http://schemas.openxmlformats.org/officeDocument/2006/relationships/hyperlink" Target="https://www.sec.gov/Archives/edgar/data/1861107/000095017024114767/cbll-ex3_2.htm" TargetMode="External"/><Relationship Id="rId4" Type="http://schemas.openxmlformats.org/officeDocument/2006/relationships/hyperlink" Target="https://www.sec.gov/Archives/edgar/data/1861107/000095017024108128/cbll-ex4_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63007</Words>
  <Characters>351031</Characters>
  <CharactersWithSpaces>414124</CharactersWithSpaces>
  <Paragraphs>5326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