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Chao Xingjuan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CERIBELL,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N. PASTORIA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Ceribell, Inc.</w:t>
              </w:r>
            </w:hyperlink>
            <w:r>
              <w:rPr/>
              <w:t xml:space="preserve"> [ </w:t>
            </w:r>
            <w:r>
              <w:rPr>
                <w:rFonts w:ascii="Times;serif" w:hAnsi="Times;serif"/>
                <w:color w:val="0000FF"/>
                <w:sz w:val="24"/>
                <w:shd w:fill="FFFFFF" w:val="clear"/>
              </w:rPr>
              <w:t>CBLL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819,214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31,415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25.03</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787,799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369,088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ACP 2021 Trust</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co-trustee of the ACP 2021 Trust, and therefore may be deemed to share beneficial ownership of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these securities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$25 to $25.30,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Louisa Daniels, Attorney-in-Fact for Xingjuan (Jane) Chao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5784" TargetMode="External"/><Relationship Id="rId5" Type="http://schemas.openxmlformats.org/officeDocument/2006/relationships/hyperlink" Target="http://www.sec.gov/cgi-bin/browse-edgar?action=getcompany&amp;CIK=0001861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3921</Characters>
  <CharactersWithSpaces>4565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