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bll-20260630.htm"/>
        <w:bookmarkStart w:id="1" w:name="kscbll20260630"/>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page">
                  <wp:posOffset>3971925</wp:posOffset>
                </wp:positionH>
                <wp:positionV relativeFrom="page">
                  <wp:posOffset>2362200</wp:posOffset>
                </wp:positionV>
                <wp:extent cx="1858010" cy="180340"/>
                <wp:effectExtent l="0" t="0" r="0" b="0"/>
                <wp:wrapNone/>
                <wp:docPr id="1" name="Frame5"/>
                <a:graphic xmlns:a="http://schemas.openxmlformats.org/drawingml/2006/main">
                  <a:graphicData uri="http://schemas.microsoft.com/office/word/2010/wordprocessingShape">
                    <wps:wsp>
                      <wps:cNvSpPr txBox="1"/>
                      <wps:spPr>
                        <a:xfrm>
                          <a:off x="0" y="0"/>
                          <a:ext cx="1858010" cy="180340"/>
                        </a:xfrm>
                        <a:prstGeom prst="rect"/>
                        <a:solidFill>
                          <a:srgbClr val="FFFFFF"/>
                        </a:solidFill>
                      </wps:spPr>
                      <wps:txbx>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wps:txbx>
                      <wps:bodyPr anchor="t" lIns="0" tIns="0" rIns="0" bIns="0">
                        <a:noAutofit/>
                      </wps:bodyPr>
                    </wps:wsp>
                  </a:graphicData>
                </a:graphic>
              </wp:anchor>
            </w:drawing>
          </mc:Choice>
          <mc:Fallback>
            <w:pict>
              <v:rect style="position:absolute;rotation:-0;width:146.3pt;height:14.2pt;mso-wrap-distance-left:0pt;mso-wrap-distance-right:0pt;mso-wrap-distance-top:0pt;mso-wrap-distance-bottom:0pt;margin-top:186pt;mso-position-vertical-relative:page;margin-left:312.75pt;mso-position-horizontal-relative:page">
                <v:textbox inset="0in,0in,0in,0in">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3990975</wp:posOffset>
                </wp:positionH>
                <wp:positionV relativeFrom="page">
                  <wp:posOffset>2362200</wp:posOffset>
                </wp:positionV>
                <wp:extent cx="1858010" cy="180340"/>
                <wp:effectExtent l="0" t="0" r="0" b="0"/>
                <wp:wrapNone/>
                <wp:docPr id="2" name="Frame4"/>
                <a:graphic xmlns:a="http://schemas.openxmlformats.org/drawingml/2006/main">
                  <a:graphicData uri="http://schemas.microsoft.com/office/word/2010/wordprocessingShape">
                    <wps:wsp>
                      <wps:cNvSpPr txBox="1"/>
                      <wps:spPr>
                        <a:xfrm>
                          <a:off x="0" y="0"/>
                          <a:ext cx="1858010" cy="180340"/>
                        </a:xfrm>
                        <a:prstGeom prst="rect"/>
                        <a:solidFill>
                          <a:srgbClr val="FFFFFF"/>
                        </a:solidFill>
                      </wps:spPr>
                      <wps:txbx>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wps:txbx>
                      <wps:bodyPr anchor="t" lIns="0" tIns="0" rIns="0" bIns="0">
                        <a:noAutofit/>
                      </wps:bodyPr>
                    </wps:wsp>
                  </a:graphicData>
                </a:graphic>
              </wp:anchor>
            </w:drawing>
          </mc:Choice>
          <mc:Fallback>
            <w:pict>
              <v:rect style="position:absolute;rotation:-0;width:146.3pt;height:14.2pt;mso-wrap-distance-left:0pt;mso-wrap-distance-right:0pt;mso-wrap-distance-top:0pt;mso-wrap-distance-bottom:0pt;margin-top:186pt;mso-position-vertical-relative:page;margin-left:314.25pt;mso-position-horizontal-relative:page">
                <v:textbox inset="0in,0in,0in,0in">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3964305</wp:posOffset>
                </wp:positionH>
                <wp:positionV relativeFrom="page">
                  <wp:posOffset>2366645</wp:posOffset>
                </wp:positionV>
                <wp:extent cx="1858010" cy="180340"/>
                <wp:effectExtent l="0" t="0" r="0" b="0"/>
                <wp:wrapNone/>
                <wp:docPr id="3" name="Frame3"/>
                <a:graphic xmlns:a="http://schemas.openxmlformats.org/drawingml/2006/main">
                  <a:graphicData uri="http://schemas.microsoft.com/office/word/2010/wordprocessingShape">
                    <wps:wsp>
                      <wps:cNvSpPr txBox="1"/>
                      <wps:spPr>
                        <a:xfrm>
                          <a:off x="0" y="0"/>
                          <a:ext cx="1858010" cy="180340"/>
                        </a:xfrm>
                        <a:prstGeom prst="rect"/>
                        <a:solidFill>
                          <a:srgbClr val="FFFFFF"/>
                        </a:solidFill>
                      </wps:spPr>
                      <wps:txbx>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wps:txbx>
                      <wps:bodyPr anchor="t" lIns="0" tIns="0" rIns="0" bIns="0">
                        <a:noAutofit/>
                      </wps:bodyPr>
                    </wps:wsp>
                  </a:graphicData>
                </a:graphic>
              </wp:anchor>
            </w:drawing>
          </mc:Choice>
          <mc:Fallback>
            <w:pict>
              <v:rect style="position:absolute;rotation:-0;width:146.3pt;height:14.2pt;mso-wrap-distance-left:0pt;mso-wrap-distance-right:0pt;mso-wrap-distance-top:0pt;mso-wrap-distance-bottom:0pt;margin-top:186.35pt;mso-position-vertical-relative:page;margin-left:312.15pt;mso-position-horizontal-relative:page">
                <v:textbox inset="0in,0in,0in,0in">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4012565</wp:posOffset>
                </wp:positionH>
                <wp:positionV relativeFrom="page">
                  <wp:posOffset>2367915</wp:posOffset>
                </wp:positionV>
                <wp:extent cx="1858010" cy="180340"/>
                <wp:effectExtent l="0" t="0" r="0" b="0"/>
                <wp:wrapNone/>
                <wp:docPr id="4" name="Frame2"/>
                <a:graphic xmlns:a="http://schemas.openxmlformats.org/drawingml/2006/main">
                  <a:graphicData uri="http://schemas.microsoft.com/office/word/2010/wordprocessingShape">
                    <wps:wsp>
                      <wps:cNvSpPr txBox="1"/>
                      <wps:spPr>
                        <a:xfrm>
                          <a:off x="0" y="0"/>
                          <a:ext cx="1858010" cy="180340"/>
                        </a:xfrm>
                        <a:prstGeom prst="rect"/>
                        <a:solidFill>
                          <a:srgbClr val="FFFFFF"/>
                        </a:solidFill>
                      </wps:spPr>
                      <wps:txbx>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wps:txbx>
                      <wps:bodyPr anchor="t" lIns="0" tIns="0" rIns="0" bIns="0">
                        <a:noAutofit/>
                      </wps:bodyPr>
                    </wps:wsp>
                  </a:graphicData>
                </a:graphic>
              </wp:anchor>
            </w:drawing>
          </mc:Choice>
          <mc:Fallback>
            <w:pict>
              <v:rect style="position:absolute;rotation:-0;width:146.3pt;height:14.2pt;mso-wrap-distance-left:0pt;mso-wrap-distance-right:0pt;mso-wrap-distance-top:0pt;mso-wrap-distance-bottom:0pt;margin-top:186.45pt;mso-position-vertical-relative:page;margin-left:315.95pt;mso-position-horizontal-relative:page">
                <v:textbox inset="0in,0in,0in,0in">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Maurice Amsellem</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3743325</wp:posOffset>
                </wp:positionH>
                <wp:positionV relativeFrom="page">
                  <wp:posOffset>1581150</wp:posOffset>
                </wp:positionV>
                <wp:extent cx="1858010" cy="180340"/>
                <wp:effectExtent l="0" t="0" r="0" b="0"/>
                <wp:wrapNone/>
                <wp:docPr id="5" name="Frame1"/>
                <a:graphic xmlns:a="http://schemas.openxmlformats.org/drawingml/2006/main">
                  <a:graphicData uri="http://schemas.microsoft.com/office/word/2010/wordprocessingShape">
                    <wps:wsp>
                      <wps:cNvSpPr txBox="1"/>
                      <wps:spPr>
                        <a:xfrm>
                          <a:off x="0" y="0"/>
                          <a:ext cx="1858010" cy="180340"/>
                        </a:xfrm>
                        <a:prstGeom prst="rect"/>
                        <a:solidFill>
                          <a:srgbClr val="FFFFFF"/>
                        </a:solidFill>
                      </wps:spPr>
                      <wps:txbx>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Scott Blumberg</w:t>
                            </w:r>
                          </w:p>
                        </w:txbxContent>
                      </wps:txbx>
                      <wps:bodyPr anchor="t" lIns="0" tIns="0" rIns="0" bIns="0">
                        <a:noAutofit/>
                      </wps:bodyPr>
                    </wps:wsp>
                  </a:graphicData>
                </a:graphic>
              </wp:anchor>
            </w:drawing>
          </mc:Choice>
          <mc:Fallback>
            <w:pict>
              <v:rect style="position:absolute;rotation:-0;width:146.3pt;height:14.2pt;mso-wrap-distance-left:0pt;mso-wrap-distance-right:0pt;mso-wrap-distance-top:0pt;mso-wrap-distance-bottom:0pt;margin-top:124.5pt;mso-position-vertical-relative:page;margin-left:294.75pt;mso-position-horizontal-relative:page">
                <v:textbox inset="0in,0in,0in,0in">
                  <w:txbxContent>
                    <w:p>
                      <w:pPr>
                        <w:pStyle w:val="TextBody"/>
                        <w:bidi w:val="0"/>
                        <w:spacing w:before="0" w:after="283"/>
                        <w:jc w:val="left"/>
                        <w:rPr>
                          <w:rFonts w:ascii="Times New Roman" w:hAnsi="Times New Roman"/>
                          <w:sz w:val="20"/>
                        </w:rPr>
                      </w:pPr>
                      <w:r>
                        <w:rPr>
                          <w:rFonts w:ascii="Times New Roman" w:hAnsi="Times New Roman"/>
                          <w:color w:val="000000"/>
                          <w:sz w:val="24"/>
                        </w:rPr>
                        <w:t>/s/</w:t>
                      </w:r>
                      <w:r>
                        <w:rPr>
                          <w:rFonts w:ascii="Times New Roman" w:hAnsi="Times New Roman"/>
                          <w:color w:val="000000"/>
                          <w:sz w:val="20"/>
                        </w:rPr>
                        <w:t xml:space="preserve"> </w:t>
                      </w:r>
                      <w:r>
                        <w:rPr>
                          <w:rFonts w:ascii="Times New Roman" w:hAnsi="Times New Roman"/>
                          <w:color w:val="000000"/>
                          <w:sz w:val="22"/>
                        </w:rPr>
                        <w:t>Scott Blumberg</w:t>
                      </w:r>
                    </w:p>
                  </w:txbxContent>
                </v:textbox>
                <w10:wrap type="none"/>
              </v:rect>
            </w:pict>
          </mc:Fallback>
        </mc:AlternateConten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spacing w:before="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 to 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001-42364</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CeriBell,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3121"/>
        <w:gridCol w:w="146"/>
        <w:gridCol w:w="826"/>
        <w:gridCol w:w="146"/>
        <w:gridCol w:w="3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CBLL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6, 2026, the registrant had 38,378,101</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9333" w:type="dxa"/>
        <w:jc w:val="left"/>
        <w:tblInd w:w="0" w:type="dxa"/>
        <w:tblLayout w:type="fixed"/>
        <w:tblCellMar>
          <w:top w:w="28" w:type="dxa"/>
          <w:left w:w="28" w:type="dxa"/>
          <w:bottom w:w="28" w:type="dxa"/>
          <w:right w:w="28" w:type="dxa"/>
        </w:tblCellMar>
      </w:tblPr>
      <w:tblGrid>
        <w:gridCol w:w="886"/>
        <w:gridCol w:w="7366"/>
        <w:gridCol w:w="108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563C1"/>
                  <w:sz w:val="20"/>
                  <w:u w:val="single"/>
                </w:rPr>
                <w:t>FINANCIAL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563C1"/>
                  <w:sz w:val="20"/>
                  <w:u w:val="single"/>
                </w:rPr>
                <w:t>Condensed Balance Sheets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563C1"/>
                  <w:sz w:val="20"/>
                  <w:u w:val="single"/>
                </w:rPr>
                <w:t>Condensed Statements of Operations and Comprehensive Loss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563C1"/>
                  <w:sz w:val="20"/>
                  <w:u w:val="single"/>
                </w:rPr>
                <w:t>Condensed Statements of</w:t>
              </w:r>
            </w:hyperlink>
            <w:hyperlink w:anchor="equity">
              <w:r>
                <w:rPr>
                  <w:rStyle w:val="InternetLink"/>
                  <w:rFonts w:ascii="Times New Roman" w:hAnsi="Times New Roman"/>
                  <w:color w:val="0563C1"/>
                  <w:sz w:val="20"/>
                </w:rPr>
                <w:t xml:space="preserve"> </w:t>
              </w:r>
            </w:hyperlink>
            <w:hyperlink w:anchor="equity">
              <w:r>
                <w:rPr>
                  <w:rStyle w:val="InternetLink"/>
                  <w:rFonts w:ascii="Times New Roman" w:hAnsi="Times New Roman"/>
                  <w:color w:val="0563C1"/>
                  <w:sz w:val="20"/>
                  <w:u w:val="single"/>
                </w:rPr>
                <w:t>Stockholders’ Equity</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563C1"/>
                  <w:sz w:val="20"/>
                  <w:u w:val="single"/>
                </w:rPr>
                <w:t>Condensed Statements of Cash Flows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563C1"/>
                  <w:sz w:val="20"/>
                  <w:u w:val="single"/>
                </w:rPr>
                <w:t>Notes to Condensed Financial Statements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563C1"/>
                  <w:sz w:val="20"/>
                  <w:u w:val="single"/>
                </w:rPr>
                <w:t>Management’s Discussion and Analysis of Financial Condition and Results of Operations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_q_disclosures">
              <w:r>
                <w:rPr>
                  <w:rStyle w:val="InternetLink"/>
                  <w:rFonts w:ascii="Times New Roman" w:hAnsi="Times New Roman"/>
                  <w:color w:val="0563C1"/>
                  <w:sz w:val="20"/>
                  <w:u w:val="single"/>
                </w:rPr>
                <w:t>Quantitative and Qualitative Disclosures About Market Risk</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563C1"/>
                  <w:sz w:val="20"/>
                  <w:u w:val="single"/>
                </w:rPr>
                <w:t>Controls and Procedures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30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bookmarkStart w:id="3" w:name="risk_factors"/>
              <w:bookmarkEnd w:id="3"/>
              <w:r>
                <w:rPr>
                  <w:rStyle w:val="InternetLink"/>
                  <w:rFonts w:ascii="Times New Roman" w:hAnsi="Times New Roman"/>
                  <w:color w:val="0563C1"/>
                  <w:sz w:val="20"/>
                  <w:u w:val="single"/>
                </w:rPr>
                <w:t>Risk Factors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563C1"/>
                  <w:sz w:val="20"/>
                  <w:u w:val="single"/>
                </w:rPr>
                <w:t>Unregistered Sales of Equity Securities and Use of Proceeds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563C1"/>
                  <w:sz w:val="20"/>
                  <w:u w:val="single"/>
                </w:rPr>
                <w:t>Other Information</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the forward-looking statements in this Quarterly Report on Form 10-Q by these cautionary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6" w:name="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39"/>
        <w:gridCol w:w="146"/>
        <w:gridCol w:w="196"/>
        <w:gridCol w:w="751"/>
        <w:gridCol w:w="166"/>
        <w:gridCol w:w="146"/>
        <w:gridCol w:w="220"/>
        <w:gridCol w:w="848"/>
        <w:gridCol w:w="393"/>
      </w:tblGrid>
      <w:tr>
        <w:trPr/>
        <w:tc>
          <w:tcPr>
            <w:tcW w:w="7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118,785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157,847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186,718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195,803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6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19,190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40,467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Commitments and contingencies</w:t>
            </w:r>
            <w:r>
              <w:rPr>
                <w:rFonts w:ascii="Times New Roman" w:hAnsi="Times New Roman"/>
                <w:color w:val="000000"/>
                <w:sz w:val="18"/>
              </w:rPr>
              <w:t xml:space="preserv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38,223,221</w:t>
            </w:r>
            <w:r>
              <w:rPr>
                <w:rFonts w:ascii="Times New Roman" w:hAnsi="Times New Roman"/>
                <w:color w:val="000000"/>
                <w:sz w:val="20"/>
              </w:rPr>
              <w:t> </w:t>
            </w:r>
            <w:r>
              <w:rPr>
                <w:rFonts w:ascii="Times New Roman" w:hAnsi="Times New Roman"/>
                <w:color w:val="000000"/>
                <w:sz w:val="18"/>
              </w:rPr>
              <w:t>and 37,485,124</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(220,356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155,336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195,803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7" w:name="stmt_of_operations_comp_los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b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0"/>
        <w:gridCol w:w="211"/>
        <w:gridCol w:w="1036"/>
        <w:gridCol w:w="166"/>
        <w:gridCol w:w="146"/>
        <w:gridCol w:w="211"/>
        <w:gridCol w:w="1036"/>
        <w:gridCol w:w="166"/>
        <w:gridCol w:w="146"/>
        <w:gridCol w:w="211"/>
        <w:gridCol w:w="1036"/>
        <w:gridCol w:w="166"/>
        <w:gridCol w:w="146"/>
        <w:gridCol w:w="211"/>
        <w:gridCol w:w="1036"/>
        <w:gridCol w:w="391"/>
      </w:tblGrid>
      <w:tr>
        <w:trPr/>
        <w:tc>
          <w:tcPr>
            <w:tcW w:w="3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38,031,928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36,293,559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37,848,625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8" w:name="equity"/>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2"/>
        <w:gridCol w:w="146"/>
        <w:gridCol w:w="146"/>
        <w:gridCol w:w="916"/>
        <w:gridCol w:w="146"/>
        <w:gridCol w:w="146"/>
        <w:gridCol w:w="189"/>
        <w:gridCol w:w="449"/>
        <w:gridCol w:w="146"/>
        <w:gridCol w:w="146"/>
        <w:gridCol w:w="196"/>
        <w:gridCol w:w="691"/>
        <w:gridCol w:w="146"/>
        <w:gridCol w:w="146"/>
        <w:gridCol w:w="522"/>
        <w:gridCol w:w="1165"/>
        <w:gridCol w:w="166"/>
        <w:gridCol w:w="146"/>
        <w:gridCol w:w="196"/>
        <w:gridCol w:w="751"/>
        <w:gridCol w:w="166"/>
        <w:gridCol w:w="146"/>
        <w:gridCol w:w="263"/>
        <w:gridCol w:w="929"/>
        <w:gridCol w:w="214"/>
      </w:tblGrid>
      <w:tr>
        <w:trPr/>
        <w:tc>
          <w:tcPr>
            <w:tcW w:w="1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37,485,124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375,495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(220,356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155,336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37,859,680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380,850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(240,093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140,813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38,223,221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387,727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128,313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0"/>
        <w:gridCol w:w="146"/>
        <w:gridCol w:w="146"/>
        <w:gridCol w:w="916"/>
        <w:gridCol w:w="166"/>
        <w:gridCol w:w="146"/>
        <w:gridCol w:w="171"/>
        <w:gridCol w:w="406"/>
        <w:gridCol w:w="146"/>
        <w:gridCol w:w="146"/>
        <w:gridCol w:w="196"/>
        <w:gridCol w:w="691"/>
        <w:gridCol w:w="166"/>
        <w:gridCol w:w="146"/>
        <w:gridCol w:w="510"/>
        <w:gridCol w:w="901"/>
        <w:gridCol w:w="166"/>
        <w:gridCol w:w="146"/>
        <w:gridCol w:w="196"/>
        <w:gridCol w:w="751"/>
        <w:gridCol w:w="166"/>
        <w:gridCol w:w="146"/>
        <w:gridCol w:w="241"/>
        <w:gridCol w:w="850"/>
        <w:gridCol w:w="214"/>
      </w:tblGrid>
      <w:tr>
        <w:trPr/>
        <w:tc>
          <w:tcPr>
            <w:tcW w:w="2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35,897,062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360,572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180,881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related to settlement or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36,599,663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(193,364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172,155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9" w:name="statements_of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br/>
        <w:t>(unaudited)</w:t>
      </w:r>
    </w:p>
    <w:p>
      <w:pPr>
        <w:pStyle w:val="TextBody"/>
        <w:bidi w:val="0"/>
        <w:jc w:val="left"/>
        <w:rPr/>
      </w:pPr>
      <w:r>
        <w:rPr/>
        <w:t> </w:t>
      </w:r>
    </w:p>
    <w:tbl>
      <w:tblPr>
        <w:tblW w:w="9864" w:type="dxa"/>
        <w:jc w:val="left"/>
        <w:tblInd w:w="0" w:type="dxa"/>
        <w:tblLayout w:type="fixed"/>
        <w:tblCellMar>
          <w:top w:w="28" w:type="dxa"/>
          <w:left w:w="28" w:type="dxa"/>
          <w:bottom w:w="28" w:type="dxa"/>
          <w:right w:w="28" w:type="dxa"/>
        </w:tblCellMar>
      </w:tblPr>
      <w:tblGrid>
        <w:gridCol w:w="6596"/>
        <w:gridCol w:w="146"/>
        <w:gridCol w:w="211"/>
        <w:gridCol w:w="736"/>
        <w:gridCol w:w="166"/>
        <w:gridCol w:w="146"/>
        <w:gridCol w:w="211"/>
        <w:gridCol w:w="841"/>
        <w:gridCol w:w="811"/>
      </w:tblGrid>
      <w:tr>
        <w:trPr/>
        <w:tc>
          <w:tcPr>
            <w:tcW w:w="6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accretion of premium on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 and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interest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recorder components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related to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(154,229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withholding related to settlement or vesting of equity awards in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0" w:name="notes_to_financial_statements"/>
      <w:bookmarkEnd w:id="10"/>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commercial-stage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Company’s principal sources of liquidity consisted of $129.3 million of cash, cash equivalents, and marketable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June 30, 2026, the Company had an accumulated deficit of $259.4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and marketable securities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Company's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cause customers to reduce their purchases. Changes in governmental banking, monetary, and fiscal policies to address liquidity and increase credit availability may not be effective. Continuation or further deterioration of these financial and macroeconomic conditions could harm the Company's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and Vietnam to supply key sub-assemblies for its primary products. In addition, political instability or the deterioration of trade relations between the United States and either of these countries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continues to maintain sufficient supplies of inventory of manufactured components and parts needed to meet forecast production demand.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and pursuant to the rules and regulations of the United States Securities and Exchange Commission (“SEC”).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unaudited interim condensed financial statements have been prepared on the same basis as the annual financial statements and, in the opinion of management, reflect all adjustments, which include only normal recurring adjustments, necessary to a fair statement of the Company’s financial position as of June 30, 2026, and the results of its operations for the three and six months ended June 30, 2026 and 2025 and cash flows for the six months ended June 30, 2026 and 2025. The condensed balance sheet at December 31, 2025, was derived from audited annual financial statements but does not contain all of the footnote disclosures from the annual financial statements.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Accounting Policies, Significant Judgments, and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revenue recognition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comprised 10% or more of the Company’s revenue for the three and six months ended June 30, 2026 and 2025. No customers comprised 10% or more of the Company’s accounts receivable balance as of June 30, 2026, or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headbands and headcaps (“Wearables”) that are intended for single patient use. Subscription revenue is generated by monthly subscription fees charged to the Company’s hospital customers for use of Clarity,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Accounting Standards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regularly provided to the CODM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annual financial statements. All of the Company’s revenue was in the United States for the three and six months ended June 30, 2026 and 2025. Long-lived assets held outside of the United States were $0.8 million and $0.9 million as of June 30, 2026 and December 31, 2025,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straight-line basis through May 2036.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International Emergency Economic Powers Act (“IEEPA”) 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20, 2026, a U.S. Supreme Court ruling invalidated tariffs imposed under the IEEPA. The Company estimates it has paid approximately $1.6 million under the IEEPA tariffs. On April 20, 2026, the U.S. Customs and Border Protection (“CBP”) launched an online portal referred to as the Consolidated Administration and Processing of Entries (“CAPE”) that can be used to submit IEEPA tariff refund requests. All requests are reviewed by the CBP to determine validity prior to the issuance of refunds.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the Company has recognized refunds of $1.6 million under the requirements of ASC 450, Contingencies. Of this refund amount, $1.0 million was recognized as a reduction of cost of goods sold for product that had been sold and the remaining $0.6 million relates to inventory on hand and remains capitalized in inventory as of June 30, 2026. $1.0 million of this refund is recorded in other current assets as of June 30, 2026, and was received in cash on July 1,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$48,000 for both the three months ended June 30, 2026 and 2025, and $97,000 for both the six months ended June 30,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this ASU will have on the Company's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00"/>
        <w:gridCol w:w="146"/>
        <w:gridCol w:w="225"/>
        <w:gridCol w:w="723"/>
        <w:gridCol w:w="155"/>
        <w:gridCol w:w="155"/>
        <w:gridCol w:w="225"/>
        <w:gridCol w:w="723"/>
        <w:gridCol w:w="146"/>
        <w:gridCol w:w="146"/>
        <w:gridCol w:w="211"/>
        <w:gridCol w:w="676"/>
        <w:gridCol w:w="146"/>
        <w:gridCol w:w="146"/>
        <w:gridCol w:w="211"/>
        <w:gridCol w:w="676"/>
        <w:gridCol w:w="195"/>
      </w:tblGrid>
      <w:tr>
        <w:trPr/>
        <w:tc>
          <w:tcPr>
            <w:tcW w:w="5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recorders and Wearables sales,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and recorder loans,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28,097</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9950" w:type="dxa"/>
        <w:jc w:val="left"/>
        <w:tblInd w:w="0" w:type="dxa"/>
        <w:tblLayout w:type="fixed"/>
        <w:tblCellMar>
          <w:top w:w="28" w:type="dxa"/>
          <w:left w:w="28" w:type="dxa"/>
          <w:bottom w:w="28" w:type="dxa"/>
          <w:right w:w="28" w:type="dxa"/>
        </w:tblCellMar>
      </w:tblPr>
      <w:tblGrid>
        <w:gridCol w:w="3841"/>
        <w:gridCol w:w="246"/>
        <w:gridCol w:w="744"/>
        <w:gridCol w:w="2016"/>
        <w:gridCol w:w="166"/>
        <w:gridCol w:w="146"/>
        <w:gridCol w:w="646"/>
        <w:gridCol w:w="1934"/>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00"/>
        <w:gridCol w:w="146"/>
        <w:gridCol w:w="930"/>
        <w:gridCol w:w="1668"/>
        <w:gridCol w:w="166"/>
        <w:gridCol w:w="146"/>
        <w:gridCol w:w="742"/>
        <w:gridCol w:w="1694"/>
        <w:gridCol w:w="213"/>
      </w:tblGrid>
      <w:tr>
        <w:trPr/>
        <w:tc>
          <w:tcPr>
            <w:tcW w:w="4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unfulfilled performance obligations for contracts in which the amount of revenue it recognizes is equal to the amount which the Company has a right to invoice. No revenue was recognized in the reporting period from performance obligations satisfied in previous periods. The short-term remaining performance obligations are expected to be recognized within 12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2276"/>
        <w:gridCol w:w="546"/>
        <w:gridCol w:w="211"/>
        <w:gridCol w:w="676"/>
        <w:gridCol w:w="146"/>
        <w:gridCol w:w="146"/>
        <w:gridCol w:w="211"/>
        <w:gridCol w:w="676"/>
        <w:gridCol w:w="146"/>
        <w:gridCol w:w="146"/>
        <w:gridCol w:w="239"/>
        <w:gridCol w:w="391"/>
        <w:gridCol w:w="146"/>
        <w:gridCol w:w="146"/>
        <w:gridCol w:w="211"/>
        <w:gridCol w:w="78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28,979</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48,166</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Notes and Bonds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34,916</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90,661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125,577</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790" w:type="dxa"/>
        <w:jc w:val="left"/>
        <w:tblInd w:w="0" w:type="dxa"/>
        <w:tblLayout w:type="fixed"/>
        <w:tblCellMar>
          <w:top w:w="28" w:type="dxa"/>
          <w:left w:w="28" w:type="dxa"/>
          <w:bottom w:w="28" w:type="dxa"/>
          <w:right w:w="28" w:type="dxa"/>
        </w:tblCellMar>
      </w:tblPr>
      <w:tblGrid>
        <w:gridCol w:w="2276"/>
        <w:gridCol w:w="546"/>
        <w:gridCol w:w="211"/>
        <w:gridCol w:w="676"/>
        <w:gridCol w:w="146"/>
        <w:gridCol w:w="146"/>
        <w:gridCol w:w="211"/>
        <w:gridCol w:w="781"/>
        <w:gridCol w:w="146"/>
        <w:gridCol w:w="146"/>
        <w:gridCol w:w="239"/>
        <w:gridCol w:w="391"/>
        <w:gridCol w:w="146"/>
        <w:gridCol w:w="146"/>
        <w:gridCol w:w="211"/>
        <w:gridCol w:w="78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Notes and Bonds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and amortized cost of Level 1 and 2 available-for-sale marketable securities as of June 30, 2026 and December 31, 2025 are presented in the following table (in thousands):</w:t>
      </w:r>
    </w:p>
    <w:p>
      <w:pPr>
        <w:pStyle w:val="TextBody"/>
        <w:bidi w:val="0"/>
        <w:spacing w:before="40" w:after="283"/>
        <w:jc w:val="left"/>
        <w:rPr/>
      </w:pPr>
      <w:r>
        <w:rPr/>
        <w:t> </w:t>
      </w:r>
    </w:p>
    <w:tbl>
      <w:tblPr>
        <w:tblW w:w="9709" w:type="dxa"/>
        <w:jc w:val="left"/>
        <w:tblInd w:w="0" w:type="dxa"/>
        <w:tblLayout w:type="fixed"/>
        <w:tblCellMar>
          <w:top w:w="28" w:type="dxa"/>
          <w:left w:w="28" w:type="dxa"/>
          <w:bottom w:w="28" w:type="dxa"/>
          <w:right w:w="28" w:type="dxa"/>
        </w:tblCellMar>
      </w:tblPr>
      <w:tblGrid>
        <w:gridCol w:w="2446"/>
        <w:gridCol w:w="146"/>
        <w:gridCol w:w="392"/>
        <w:gridCol w:w="1258"/>
        <w:gridCol w:w="146"/>
        <w:gridCol w:w="146"/>
        <w:gridCol w:w="510"/>
        <w:gridCol w:w="840"/>
        <w:gridCol w:w="146"/>
        <w:gridCol w:w="146"/>
        <w:gridCol w:w="495"/>
        <w:gridCol w:w="885"/>
        <w:gridCol w:w="166"/>
        <w:gridCol w:w="146"/>
        <w:gridCol w:w="392"/>
        <w:gridCol w:w="1258"/>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9689" w:type="dxa"/>
        <w:jc w:val="left"/>
        <w:tblInd w:w="0" w:type="dxa"/>
        <w:tblLayout w:type="fixed"/>
        <w:tblCellMar>
          <w:top w:w="28" w:type="dxa"/>
          <w:left w:w="28" w:type="dxa"/>
          <w:bottom w:w="28" w:type="dxa"/>
          <w:right w:w="28" w:type="dxa"/>
        </w:tblCellMar>
      </w:tblPr>
      <w:tblGrid>
        <w:gridCol w:w="2446"/>
        <w:gridCol w:w="146"/>
        <w:gridCol w:w="351"/>
        <w:gridCol w:w="1299"/>
        <w:gridCol w:w="146"/>
        <w:gridCol w:w="146"/>
        <w:gridCol w:w="449"/>
        <w:gridCol w:w="901"/>
        <w:gridCol w:w="146"/>
        <w:gridCol w:w="146"/>
        <w:gridCol w:w="522"/>
        <w:gridCol w:w="858"/>
        <w:gridCol w:w="146"/>
        <w:gridCol w:w="146"/>
        <w:gridCol w:w="351"/>
        <w:gridCol w:w="1299"/>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of available-for-sale marketable securities by contractual maturities as of June 30, 2026 are presented in the following table (in thousands):</w:t>
      </w:r>
    </w:p>
    <w:p>
      <w:pPr>
        <w:pStyle w:val="TextBody"/>
        <w:bidi w:val="0"/>
        <w:spacing w:before="40" w:after="283"/>
        <w:jc w:val="left"/>
        <w:rPr/>
      </w:pPr>
      <w:r>
        <w:rPr/>
        <w:t> </w:t>
      </w:r>
    </w:p>
    <w:tbl>
      <w:tblPr>
        <w:tblW w:w="3810" w:type="dxa"/>
        <w:jc w:val="left"/>
        <w:tblInd w:w="0" w:type="dxa"/>
        <w:tblLayout w:type="fixed"/>
        <w:tblCellMar>
          <w:top w:w="28" w:type="dxa"/>
          <w:left w:w="28" w:type="dxa"/>
          <w:bottom w:w="28" w:type="dxa"/>
          <w:right w:w="28" w:type="dxa"/>
        </w:tblCellMar>
      </w:tblPr>
      <w:tblGrid>
        <w:gridCol w:w="2446"/>
        <w:gridCol w:w="146"/>
        <w:gridCol w:w="211"/>
        <w:gridCol w:w="676"/>
        <w:gridCol w:w="3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less than one year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bottom w:val="single" w:sz="18" w:space="0" w:color="CCEEFF"/>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96,598</w:t>
            </w:r>
          </w:p>
        </w:tc>
        <w:tc>
          <w:tcPr>
            <w:tcW w:w="3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Cash equivalents are comprised of Level 1 financial instruments of money market fund investments. Level 1 financial instruments are comprised of cash equivalents and certain U.S. Treasury bills. Level 2 financial instruments are comprised of certain U.S. Treasury bills and U.S. Notes and Bonds. The Company's valuation technique used to measure the fair value of money market funds and Level 1 U.S. Treasury bills is derived from quoted prices in active markets for identical assets or liabilities. The fair value of Level 2 financial instruments is derived using observable inputs other than quoted prices.</w:t>
      </w:r>
    </w:p>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1861"/>
        <w:gridCol w:w="146"/>
        <w:gridCol w:w="211"/>
        <w:gridCol w:w="571"/>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4111"/>
        <w:gridCol w:w="146"/>
        <w:gridCol w:w="211"/>
        <w:gridCol w:w="571"/>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$0.2 million for both the three months ended June 30, 2026 and 2025 and $0.4 million and $0.5 million for the six months ended June 30, 2026 and 2025,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052" w:type="dxa"/>
        <w:jc w:val="left"/>
        <w:tblInd w:w="0" w:type="dxa"/>
        <w:tblLayout w:type="fixed"/>
        <w:tblCellMar>
          <w:top w:w="28" w:type="dxa"/>
          <w:left w:w="28" w:type="dxa"/>
          <w:bottom w:w="28" w:type="dxa"/>
          <w:right w:w="28" w:type="dxa"/>
        </w:tblCellMar>
      </w:tblPr>
      <w:tblGrid>
        <w:gridCol w:w="5446"/>
        <w:gridCol w:w="146"/>
        <w:gridCol w:w="211"/>
        <w:gridCol w:w="631"/>
        <w:gridCol w:w="166"/>
        <w:gridCol w:w="146"/>
        <w:gridCol w:w="274"/>
        <w:gridCol w:w="82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Recorder depreciation expense was $0.07 million and $0.09 million for the three months ended June 30, 2026 and 2025, respectively, and $0.1 million and $0.2 million for the six months ended June 30, 2026 and 2025,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5912" w:type="dxa"/>
        <w:jc w:val="left"/>
        <w:tblInd w:w="0" w:type="dxa"/>
        <w:tblLayout w:type="fixed"/>
        <w:tblCellMar>
          <w:top w:w="28" w:type="dxa"/>
          <w:left w:w="28" w:type="dxa"/>
          <w:bottom w:w="28" w:type="dxa"/>
          <w:right w:w="28" w:type="dxa"/>
        </w:tblCellMar>
      </w:tblPr>
      <w:tblGrid>
        <w:gridCol w:w="3301"/>
        <w:gridCol w:w="146"/>
        <w:gridCol w:w="211"/>
        <w:gridCol w:w="676"/>
        <w:gridCol w:w="146"/>
        <w:gridCol w:w="146"/>
        <w:gridCol w:w="260"/>
        <w:gridCol w:w="83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The Company contributed $0.4 million and $0.3 million during the three months ended June 30, 2026 and 2025, respectively, and $1.0 million and $0.5 million during the six months ended June 30, 2026 and 2025, respectively, to its 401(k) plan.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2025, we filed patent infringement complaints against Natus Medical Incorporated and related subsidiaries (“Natus”) with the U.S. International Trade Commission (“USITC”) and the U.S. District Court for the District of Delaware (the “District Court”). On August 6, 2025, the USITC instituted an investigation of these claims pursuant to Section 337 of the Tariff Act of 1930 and on August 12, 2025, the District Court stayed the pending patent infringement action until the final determination of the USITC investigation.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fees are expensed in the period in which they are incurred and are included in accrued liabilities. In addition to expenses incurred, as of June 30, 2026, the Company has a commitment to pay $2.9 million in deferred legal fees contingent upon the earlier of settlement or favorable Initial Determination by the Administrative Law Judge related to the Natus patent infringement complaints. The Company records a provision for a liability when management believes that it is both probable that a liability has been incurred and the amount of the loss can be reasonably estimated. No provision or accrual has been recorded related to the deferred legal fees based on currently available information. As of June 30, 2026, and December 31, 2025, there were no litigation liabilities recorded for the contingent deferred legal fees described above.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IEEPA Tariff Refunds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does not expect future IEEPA tariff refunds to be material, but will recognize the refunds when the requirements under ASC 450, Contingencies, have been met.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pPr>
      <w:r>
        <w:rPr>
          <w:rFonts w:ascii="Times New Roman" w:hAnsi="Times New Roman"/>
          <w:b/>
          <w:color w:val="000000"/>
          <w:sz w:val="20"/>
        </w:rPr>
        <w:t>Leases</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6657" w:type="dxa"/>
        <w:jc w:val="left"/>
        <w:tblInd w:w="0" w:type="dxa"/>
        <w:tblLayout w:type="fixed"/>
        <w:tblCellMar>
          <w:top w:w="28" w:type="dxa"/>
          <w:left w:w="28" w:type="dxa"/>
          <w:bottom w:w="28" w:type="dxa"/>
          <w:right w:w="28" w:type="dxa"/>
        </w:tblCellMar>
      </w:tblPr>
      <w:tblGrid>
        <w:gridCol w:w="3901"/>
        <w:gridCol w:w="146"/>
        <w:gridCol w:w="211"/>
        <w:gridCol w:w="571"/>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(in thousands):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95"/>
        <w:gridCol w:w="146"/>
        <w:gridCol w:w="280"/>
        <w:gridCol w:w="558"/>
        <w:gridCol w:w="193"/>
        <w:gridCol w:w="193"/>
        <w:gridCol w:w="280"/>
        <w:gridCol w:w="558"/>
        <w:gridCol w:w="146"/>
        <w:gridCol w:w="146"/>
        <w:gridCol w:w="259"/>
        <w:gridCol w:w="518"/>
        <w:gridCol w:w="179"/>
        <w:gridCol w:w="179"/>
        <w:gridCol w:w="259"/>
        <w:gridCol w:w="518"/>
        <w:gridCol w:w="198"/>
      </w:tblGrid>
      <w:tr>
        <w:trPr/>
        <w:tc>
          <w:tcPr>
            <w:tcW w:w="5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7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98"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w:t>
            </w:r>
          </w:p>
        </w:tc>
        <w:tc>
          <w:tcPr>
            <w:tcW w:w="1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811</w:t>
            </w:r>
          </w:p>
        </w:tc>
        <w:tc>
          <w:tcPr>
            <w:tcW w:w="17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w:t>
            </w:r>
          </w:p>
        </w:tc>
        <w:tc>
          <w:tcPr>
            <w:tcW w:w="1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5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w:t>
            </w:r>
          </w:p>
        </w:tc>
        <w:tc>
          <w:tcPr>
            <w:tcW w:w="1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623</w:t>
            </w:r>
          </w:p>
        </w:tc>
        <w:tc>
          <w:tcPr>
            <w:tcW w:w="17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604</w:t>
            </w:r>
          </w:p>
        </w:tc>
        <w:tc>
          <w:tcPr>
            <w:tcW w:w="198"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June 30, 2026, the future minimum lease payments under the non-cancelable operating lease are as follows (in thousands):</w:t>
      </w:r>
    </w:p>
    <w:p>
      <w:pPr>
        <w:pStyle w:val="TextBody"/>
        <w:bidi w:val="0"/>
        <w:jc w:val="both"/>
        <w:rPr/>
      </w:pPr>
      <w:r>
        <w:rPr/>
        <w:t> </w:t>
      </w:r>
    </w:p>
    <w:tbl>
      <w:tblPr>
        <w:tblW w:w="4525" w:type="dxa"/>
        <w:jc w:val="left"/>
        <w:tblInd w:w="0" w:type="dxa"/>
        <w:tblLayout w:type="fixed"/>
        <w:tblCellMar>
          <w:top w:w="28" w:type="dxa"/>
          <w:left w:w="28" w:type="dxa"/>
          <w:bottom w:w="28" w:type="dxa"/>
          <w:right w:w="28" w:type="dxa"/>
        </w:tblCellMar>
      </w:tblPr>
      <w:tblGrid>
        <w:gridCol w:w="2986"/>
        <w:gridCol w:w="546"/>
        <w:gridCol w:w="211"/>
        <w:gridCol w:w="57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execution of the VLSA, the Company drew down the entire first tranche of $20.0 million in principal (“Term Loan”), including $6.0 million from SVB (“SVB Loan”) and $14.0 million from Horizon (“Horizon Loan”). Subject to the VLSA terms, the Company is entitled to receive up to $30.0 million (“Outstanding Commitment”) in three additional tranches of $10.0 million each. On June 30, 2026, the first $10.0 million tranche expired and the Company did not draw down on the first tranche. $20.0 million remains available as of June 30, 2026.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 Loan is payable to the Lenders in twelve equal monthly installments between April 1, 2028 (“Amortization Date”) and March 1, 2029 (“Maturity Date”) subject to certain prepayment fees in accordance with the VLSA. The SVB Loan carries a variable per-annum interest rate at the Prime Rate (as published in the Wall Street Journal), subject to the floor of 6.00%. The Horizon Loan carries a variable per-annum interest rate at the Prime Rate plus 2.75%, subject to the floor of 9.25%.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 million (“Revolving Facility”). The Revolving Facility matured on February 6, 2026. No borrowings were made under the Revolving Facility, and the Revolving Facility is no longer available for borrowing.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Company was in compliance with debt covenants under the VLSA. The effective interest rate is 9.5%, inclusive of the end-of-term fee and debt issuance as of June 30, 2026. No amounts were drawn under the Outstanding Commitment through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532" w:type="dxa"/>
        <w:jc w:val="left"/>
        <w:tblInd w:w="0" w:type="dxa"/>
        <w:tblLayout w:type="fixed"/>
        <w:tblCellMar>
          <w:top w:w="28" w:type="dxa"/>
          <w:left w:w="28" w:type="dxa"/>
          <w:bottom w:w="28" w:type="dxa"/>
          <w:right w:w="28" w:type="dxa"/>
        </w:tblCellMar>
      </w:tblPr>
      <w:tblGrid>
        <w:gridCol w:w="2881"/>
        <w:gridCol w:w="146"/>
        <w:gridCol w:w="211"/>
        <w:gridCol w:w="676"/>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$60.0 million financing commitment. Warrants representing the right to purchase 41,345 shares of Series C-1 redeemable convertible preferred stock at a price of $11.49 per share were issued upon closing. Immediately prior to the Company’s IPO on October 15, 2024, all warrants exercisable for redeemable convertible preferred stock were converted into warrants exercisable for common stock and reclassified from liabilities to equity.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jc w:val="both"/>
        <w:rPr/>
      </w:pPr>
      <w:r>
        <w:rPr/>
        <w:t> </w:t>
      </w:r>
    </w:p>
    <w:tbl>
      <w:tblPr>
        <w:tblW w:w="7027" w:type="dxa"/>
        <w:jc w:val="left"/>
        <w:tblInd w:w="0" w:type="dxa"/>
        <w:tblLayout w:type="fixed"/>
        <w:tblCellMar>
          <w:top w:w="28" w:type="dxa"/>
          <w:left w:w="28" w:type="dxa"/>
          <w:bottom w:w="28" w:type="dxa"/>
          <w:right w:w="28" w:type="dxa"/>
        </w:tblCellMar>
      </w:tblPr>
      <w:tblGrid>
        <w:gridCol w:w="2476"/>
        <w:gridCol w:w="146"/>
        <w:gridCol w:w="289"/>
        <w:gridCol w:w="926"/>
        <w:gridCol w:w="146"/>
        <w:gridCol w:w="146"/>
        <w:gridCol w:w="289"/>
        <w:gridCol w:w="926"/>
        <w:gridCol w:w="146"/>
        <w:gridCol w:w="146"/>
        <w:gridCol w:w="189"/>
        <w:gridCol w:w="101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warrants are included in Additional paid-in capital as of June 30, 2026, and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500,000,000 shares of $0.001 par value common stock as of both June 30, 2026, and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As of June 30, 2026,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 had reserved common stock for future issuance as follows:</w:t>
      </w:r>
    </w:p>
    <w:p>
      <w:pPr>
        <w:pStyle w:val="TextBody"/>
        <w:bidi w:val="0"/>
        <w:jc w:val="both"/>
        <w:rPr/>
      </w:pPr>
      <w:r>
        <w:rPr/>
        <w:t> </w:t>
      </w:r>
    </w:p>
    <w:tbl>
      <w:tblPr>
        <w:tblW w:w="8694" w:type="dxa"/>
        <w:jc w:val="left"/>
        <w:tblInd w:w="0" w:type="dxa"/>
        <w:tblLayout w:type="fixed"/>
        <w:tblCellMar>
          <w:top w:w="28" w:type="dxa"/>
          <w:left w:w="28" w:type="dxa"/>
          <w:bottom w:w="28" w:type="dxa"/>
          <w:right w:w="28" w:type="dxa"/>
        </w:tblCellMar>
      </w:tblPr>
      <w:tblGrid>
        <w:gridCol w:w="5701"/>
        <w:gridCol w:w="146"/>
        <w:gridCol w:w="146"/>
        <w:gridCol w:w="1036"/>
        <w:gridCol w:w="146"/>
        <w:gridCol w:w="146"/>
        <w:gridCol w:w="146"/>
        <w:gridCol w:w="103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Company's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12,589,590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11,079,014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2014 Stock Incentive Plan (the “2014 Plan”), 2024 Equity Incentive Plan (the “2024 EIP”), and 2024 Incentive Award Plan (the “2024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28"/>
        <w:gridCol w:w="146"/>
        <w:gridCol w:w="146"/>
        <w:gridCol w:w="931"/>
        <w:gridCol w:w="166"/>
        <w:gridCol w:w="146"/>
        <w:gridCol w:w="289"/>
        <w:gridCol w:w="788"/>
        <w:gridCol w:w="146"/>
        <w:gridCol w:w="146"/>
        <w:gridCol w:w="251"/>
        <w:gridCol w:w="812"/>
        <w:gridCol w:w="146"/>
        <w:gridCol w:w="146"/>
        <w:gridCol w:w="198"/>
        <w:gridCol w:w="924"/>
        <w:gridCol w:w="196"/>
      </w:tblGrid>
      <w:tr>
        <w:trPr/>
        <w:tc>
          <w:tcPr>
            <w:tcW w:w="4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628"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8"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4,135,501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54,842</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4,306,372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38,699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six months ended June 30, 2026 and 2025 was $11.40 and $10.47 per share, respectively. The aggregate intrinsic value of options exercised during the six months ended June 30, 2026 and 2025 was $5.6 million and $9.5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tbl>
      <w:tblPr>
        <w:tblW w:w="6107" w:type="dxa"/>
        <w:jc w:val="left"/>
        <w:tblInd w:w="0" w:type="dxa"/>
        <w:tblLayout w:type="fixed"/>
        <w:tblCellMar>
          <w:top w:w="28" w:type="dxa"/>
          <w:left w:w="28" w:type="dxa"/>
          <w:bottom w:w="28" w:type="dxa"/>
          <w:right w:w="28" w:type="dxa"/>
        </w:tblCellMar>
      </w:tblPr>
      <w:tblGrid>
        <w:gridCol w:w="2761"/>
        <w:gridCol w:w="146"/>
        <w:gridCol w:w="146"/>
        <w:gridCol w:w="931"/>
        <w:gridCol w:w="166"/>
        <w:gridCol w:w="146"/>
        <w:gridCol w:w="435"/>
        <w:gridCol w:w="1185"/>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1,561,534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2,625,877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six months ended June 30, 2026 and 2025 was $5.7 million and $1.5 million, respectively.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aggregate unrecognized compensation costs related to outstanding unvested options and RSUs under the 2014 Plan, 2024 EIP, and 2024 Plan was $60.1 million. The Company expects to recognize those costs over a weighted average period of 3.1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RSUs is based on the Company’s closing stock price on the date of grant. The fair value of service-based stock options and RSUs are amortized on a straight-line basis over the requisite service period of the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 for the three and six months ended June 30, 2026 and 2025:</w:t>
      </w:r>
    </w:p>
    <w:p>
      <w:pPr>
        <w:pStyle w:val="TextBody"/>
        <w:bidi w:val="0"/>
        <w:jc w:val="both"/>
        <w:rPr/>
      </w:pPr>
      <w:r>
        <w:rPr/>
        <w:t> </w:t>
      </w:r>
    </w:p>
    <w:tbl>
      <w:tblPr>
        <w:tblW w:w="7060" w:type="dxa"/>
        <w:jc w:val="left"/>
        <w:tblInd w:w="0" w:type="dxa"/>
        <w:tblLayout w:type="fixed"/>
        <w:tblCellMar>
          <w:top w:w="28" w:type="dxa"/>
          <w:left w:w="28" w:type="dxa"/>
          <w:bottom w:w="28" w:type="dxa"/>
          <w:right w:w="28" w:type="dxa"/>
        </w:tblCellMar>
      </w:tblPr>
      <w:tblGrid>
        <w:gridCol w:w="2086"/>
        <w:gridCol w:w="197"/>
        <w:gridCol w:w="630"/>
        <w:gridCol w:w="366"/>
        <w:gridCol w:w="197"/>
        <w:gridCol w:w="197"/>
        <w:gridCol w:w="630"/>
        <w:gridCol w:w="271"/>
        <w:gridCol w:w="146"/>
        <w:gridCol w:w="180"/>
        <w:gridCol w:w="575"/>
        <w:gridCol w:w="334"/>
        <w:gridCol w:w="180"/>
        <w:gridCol w:w="180"/>
        <w:gridCol w:w="57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well as the Company's historical volatility.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8251" w:type="dxa"/>
        <w:jc w:val="left"/>
        <w:tblInd w:w="0" w:type="dxa"/>
        <w:tblLayout w:type="fixed"/>
        <w:tblCellMar>
          <w:top w:w="28" w:type="dxa"/>
          <w:left w:w="28" w:type="dxa"/>
          <w:bottom w:w="28" w:type="dxa"/>
          <w:right w:w="28" w:type="dxa"/>
        </w:tblCellMar>
      </w:tblPr>
      <w:tblGrid>
        <w:gridCol w:w="3526"/>
        <w:gridCol w:w="252"/>
        <w:gridCol w:w="683"/>
        <w:gridCol w:w="174"/>
        <w:gridCol w:w="174"/>
        <w:gridCol w:w="252"/>
        <w:gridCol w:w="683"/>
        <w:gridCol w:w="146"/>
        <w:gridCol w:w="146"/>
        <w:gridCol w:w="230"/>
        <w:gridCol w:w="623"/>
        <w:gridCol w:w="159"/>
        <w:gridCol w:w="159"/>
        <w:gridCol w:w="230"/>
        <w:gridCol w:w="623"/>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27,236 and 40,854 of option awards outstanding as of June 30, 2026 and December 31, 2025, respectively and stock-based compensation related to performance-based awards was not material. Total stock-based compensation expense includes non-employee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stock-based compensation of $0.2 million and $0.3 million for the three months ended June 30, 2026 and 2025, respectively, and $0.5 million and $0.7 million for the six months ended June 30, 2026 and 2025, respectively.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In January 2026, the number of shares of common stock available for issuance under the ESPP was increased by 374,848 shares as a result of the automatic increase provision in the ESPP.</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1,101,668 shares under the ESPP remain available for purchase. The offering period and purchase period is determined by the board of directors. Stock-based compensation related to the ESPP was not material and is included in the Company’s total stock-based compensation expense table above.</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9745" w:type="dxa"/>
        <w:jc w:val="left"/>
        <w:tblInd w:w="0" w:type="dxa"/>
        <w:tblLayout w:type="fixed"/>
        <w:tblCellMar>
          <w:top w:w="28" w:type="dxa"/>
          <w:left w:w="28" w:type="dxa"/>
          <w:bottom w:w="28" w:type="dxa"/>
          <w:right w:w="28" w:type="dxa"/>
        </w:tblCellMar>
      </w:tblPr>
      <w:tblGrid>
        <w:gridCol w:w="4651"/>
        <w:gridCol w:w="146"/>
        <w:gridCol w:w="212"/>
        <w:gridCol w:w="741"/>
        <w:gridCol w:w="167"/>
        <w:gridCol w:w="146"/>
        <w:gridCol w:w="212"/>
        <w:gridCol w:w="741"/>
        <w:gridCol w:w="166"/>
        <w:gridCol w:w="146"/>
        <w:gridCol w:w="211"/>
        <w:gridCol w:w="736"/>
        <w:gridCol w:w="166"/>
        <w:gridCol w:w="146"/>
        <w:gridCol w:w="211"/>
        <w:gridCol w:w="736"/>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8110" w:type="dxa"/>
        <w:jc w:val="left"/>
        <w:tblInd w:w="0" w:type="dxa"/>
        <w:tblLayout w:type="fixed"/>
        <w:tblCellMar>
          <w:top w:w="28" w:type="dxa"/>
          <w:left w:w="28" w:type="dxa"/>
          <w:bottom w:w="28" w:type="dxa"/>
          <w:right w:w="28" w:type="dxa"/>
        </w:tblCellMar>
      </w:tblPr>
      <w:tblGrid>
        <w:gridCol w:w="3241"/>
        <w:gridCol w:w="146"/>
        <w:gridCol w:w="187"/>
        <w:gridCol w:w="734"/>
        <w:gridCol w:w="187"/>
        <w:gridCol w:w="187"/>
        <w:gridCol w:w="187"/>
        <w:gridCol w:w="734"/>
        <w:gridCol w:w="146"/>
        <w:gridCol w:w="146"/>
        <w:gridCol w:w="171"/>
        <w:gridCol w:w="670"/>
        <w:gridCol w:w="171"/>
        <w:gridCol w:w="171"/>
        <w:gridCol w:w="171"/>
        <w:gridCol w:w="670"/>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an effective tax rate of 0.0% for both of the three and six months ended June 30, 2026 and 2025. The Company continues to incur operating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evaluated all available evidence, both positive and negative, including historical levels of income, expectations and risks associated with estimates of future taxable income and determined that it is more likely than not that its net deferred tax assets will not be realized. Due to uncertainties surrounding the realization of the deferred tax assets, the Company continues to maintain a full valuation allowance against its net deferred tax assets. </w:t>
      </w:r>
    </w:p>
    <w:p>
      <w:pPr>
        <w:pStyle w:val="TextBody"/>
        <w:bidi w:val="0"/>
        <w:spacing w:before="160" w:after="283"/>
        <w:jc w:val="both"/>
        <w:rPr>
          <w:rFonts w:ascii="Times New Roman" w:hAnsi="Times New Roman"/>
          <w:sz w:val="20"/>
        </w:rPr>
      </w:pPr>
      <w:r>
        <w:rPr>
          <w:rFonts w:ascii="Times New Roman" w:hAnsi="Times New Roman"/>
          <w:b/>
          <w:color w:val="000000"/>
          <w:sz w:val="20"/>
        </w:rPr>
        <w:t>14.</w:t>
      </w:r>
      <w:r>
        <w:rPr>
          <w:rFonts w:ascii="Times New Roman" w:hAnsi="Times New Roman"/>
          <w:color w:val="000000"/>
          <w:sz w:val="20"/>
        </w:rPr>
        <w:t xml:space="preserve"> </w:t>
      </w:r>
      <w:r>
        <w:rPr>
          <w:rFonts w:ascii="Times New Roman" w:hAnsi="Times New Roman"/>
          <w:b/>
          <w:color w:val="000000"/>
          <w:sz w:val="20"/>
        </w:rPr>
        <w:t>Subsequent Events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On August 5, 2026, the Company entered into a Credit, Security and Guaranty Agreement (the “Credit Agreement”) by and among the Company, as borrower, MidCap Funding IV Trust, as agent, MidCap Financial Trust, as term loan servicer, and the lenders from time to time party thereto (the “Lenders”). The Credit Agreement provides for (i) a term loan facility, consisting of a $30.0 million commitment and an additional $25.0 million of uncommitted capital that may be available at the Lender's discretion, and (ii) a revolving loan facility in an aggregate principal amount of up to $20.0 million, which may be increased to up to $30.0 million at the Company's discretion upon satisfaction of certain conditions set forth therein. The $20.0 million revolving credit facility operates on a non-formula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basis through December 31, 2027, after which time, availability under the facility will be subject to a borrowing base based on eligible accounts receivable and inventory. The term loan is callable at the Company's request at any time before December 31, 2028. At closing, the Company borrowed $20.0 million under the revolving facility and has no balance drawn under the term loan. The proceeds of borrowings under the Credit Agreement were used to repay in full the Company's outstanding obligations under the VLSA described in Note 9. Future borrowings will be used for working capital and general corporate purposes. The VLSA was terminated on August 5,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foregoing description of the Credit Agreement is qualified in its entirety by reference to the full text of the Credit Agreement, filed as Exhibit 10.1 to this Quarterly Report on Form 10-Q. The Company has evaluated subsequent events through the date these financial statements were issued.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1" w:name="item_2_managements_discussion"/>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financial statements and related notes included elsewhere in this Quarterly Report on Form 10-Q and our audited financial statements and the related notes and the discussion under the heading “Management’s Discussion and Analysis of Financial Condition and Results of Operations” for the year ended December 31, 2025 included in our Annual Report on Form 10-K. In addition to historical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Quarterly Report on Form 10-Q,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initially focused on becoming the standard of care for the detection and management of seizures in the acute care setting, where the technological and operational limitations of conventional EEG systems have contributed to significant delays in seizure and delirium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and delirium in the acute care setting, resulting in improved patient outcomes and hospital and payer economics. As of June 30, 2026, the Ceribell System has been adopted by more than 700 hospitals, ranging from top academic centers to small community hospitals. For information regarding how patient care and clinical outcomes are measured, see “Business—Market Overview—Challenges of Managing Seizures in the Acute Care Setting” included in our Annual Report on Form 10-K filed with the Securities and Exchange Commission (“SEC”) on February 24,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disposable, flexible headbands and headcaps (“Wearables”) and a pocket-sized, rechargeable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algorithms, which continuously monitor the patient’s EEG signal and can support the clinician’s real-time assessment of seizure activity and delirium.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In May 2023, Clarity® became the first device to receive 510(k) clearance from the U.S. Food and Drug Administration (“FDA”) for diagnosing electrographic status epilepticus. In December 2025, the FDA granted 510(k) clearance for Ceribell’s proprietary Delirium Monitor System, the first and only FDA cleared delirium screening and monitoring device. In June 2026, we received a new FDA 510(k) clearance that encompasses two separate neurology focused algorithms, EEG Artifact Reduction and Epileptiform Abnormality Detection. We also received FDA clearance on the full next-generation hardware platform that we anticipate will support our expansion into new indications and new application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approximately 6,000 acute care facilities in the United States that we believe could benefit from the Ceribell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Wearables and recorder from our facilities in Sunnyvale, California. Contract manufacturers in China and Vietnam assemble the headbands, with final inspection and labeling completed at our California facilities. We have dual sources for major components of the Wearables. The components for our recorder are procured from various suppliers and shipped to our facilities for final testing and assembly.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240" w:after="283"/>
        <w:jc w:val="both"/>
        <w:rPr>
          <w:rFonts w:ascii="Times New Roman" w:hAnsi="Times New Roman"/>
          <w:color w:val="000000"/>
          <w:sz w:val="20"/>
        </w:rPr>
      </w:pPr>
      <w:bookmarkStart w:id="12" w:name="page89"/>
      <w:bookmarkEnd w:id="12"/>
      <w:r>
        <w:rPr>
          <w:rFonts w:ascii="Times New Roman" w:hAnsi="Times New Roman"/>
          <w:color w:val="000000"/>
          <w:sz w:val="20"/>
        </w:rPr>
        <w:t xml:space="preserve">As of June 30, 2026, we had an accumulated deficit of $259.4 million. To date, we have funded our operations primarily through proceeds from the sale of shares of our stock, including common stock and redeemable convertible preferred stock, term loan proceeds, and cash generated from the sale of Wearables and subscriptions. As of June 30, 2026, we had $129.3 million in cash, cash equivalents, and marketable securities. Based on our current operating plan, we believe that the net proceeds from our IPO, together with the expected cash generated from revenue transactions with customers and our existing cash and cash equivalents and marketable securities,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by new accounts. </w:t>
      </w:r>
      <w:r>
        <w:rPr>
          <w:rFonts w:ascii="Times New Roman" w:hAnsi="Times New Roman"/>
          <w:color w:val="000000"/>
          <w:sz w:val="20"/>
        </w:rPr>
        <w:t>There are</w:t>
      </w:r>
      <w:r>
        <w:rPr>
          <w:color w:val="000000"/>
        </w:rPr>
        <w:t xml:space="preserve"> </w:t>
      </w:r>
      <w:r>
        <w:rPr>
          <w:rFonts w:ascii="Times New Roman" w:hAnsi="Times New Roman"/>
          <w:color w:val="000000"/>
          <w:sz w:val="20"/>
        </w:rPr>
        <w:t>approximately 6,000 acute care facilities with an Intensive Care Unit (“ICU”) or Emergency Department (“ED”) or both in the United States that we believe could benefit from the Ceribell System because the patients arriving at such facilities may experience seizures or delirium triggered by the conditions leading them to seek acute medical care. As of June 30, 2026, we have successfully deployed the Ceribell System to more than 700 hospitals, ranging from top academic centers to small community hospitals. We believe that all acute care facilities in the United States can benefit from the Ceribell System, and our goal is to establish the Ceribell System as the standard of care for the detection and management of seizures in critically ill patients. To drive further adoption of the Ceribell System, we leverage our commercial infrastructure including Territory Managers (“TMs”), who focus on new account acquisition and onboarding, and Clinical Account Managers (“CAMs”), who focus on ongoing account coverage to increase utilization and further support hospital onboarding. Our commercial team engages with customers to communicate the value proposition of the Ceribell System, leveraging our large base of clinical evidence.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We believe there are over three million acute care patients in the 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and the risks of delayed treatment. Even at facilities with access to the Ceribell System, clinicians may not use Ceribell on all eligible patients if they are not fully aware of the risks of seizures and the benefits of our solution. We aim to support hospitals in their efforts to integrate Ceribell into protocols for different patient populations, based on established guidelines. We are also continuing our efforts to expand to new hospital departments and provide training to more providers.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the Ceribell System for diagnosing and monitoring seizures and delirium in the acute care setting. We believe the platform nature of the Ceribell System will enable us to efficiently deploy it for use in other serious neurological conditions beyond seizures and delirium to additional indications.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Wearables that are intended for single patient use. Subscription revenue is generated by monthly subscription fees charged to our hospital customers for use of Clarity, recorders, and our portal. Revenue from sales of Wearables is recognized at a point in time upon transfer of control of the product. We generally recognize subscription revenue ratably over the related contractual term beginning on the date that the Ceribell System is made available to a customer. Our revenue fluctuates primarily based on the number of active accounts and the volume of Wearable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the Ceribell System in existing accounts. For purposes of managing our business, we do not separately track increases in revenue solely attributable to new accounts. We may experience fluctuations in the number of Wearables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Wearables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Our gross margin may fluctuate from period to period, based upon the factors described above and in the section titled “Risk Factors” included elsewhere in this Quarterly Report on Form 10-Q.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are incurred in connection with the advancement of the Ceribell System with the goal to improve and expand on the existing Ceribell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the Ceribell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products, leverage our platform to expand indications, and develop products for use beyond the acute care setting.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and delirium in critically ill patient populations, including expenses related to travel, conferences, trade shows, and consulting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sales and marketing expenses to increase for the foreseeable future as we continue to increase the size of our sales organization and market penetration in the United States, expand indications, and potentially establish an international presence by pursuing marketing authorizations and engaging in other market access initiatives in international regions in which we see significant potential opportunity.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and intellectual property enforcement activities.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cash equivalents, and marketable securities. Interest expense primarily consists of interest on our term loans and a non-cash interest charge related to amortization of debt issuance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three and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9454" w:type="dxa"/>
        <w:jc w:val="left"/>
        <w:tblInd w:w="0" w:type="dxa"/>
        <w:tblLayout w:type="fixed"/>
        <w:tblCellMar>
          <w:top w:w="28" w:type="dxa"/>
          <w:left w:w="28" w:type="dxa"/>
          <w:bottom w:w="28" w:type="dxa"/>
          <w:right w:w="28" w:type="dxa"/>
        </w:tblCellMar>
      </w:tblPr>
      <w:tblGrid>
        <w:gridCol w:w="3791"/>
        <w:gridCol w:w="146"/>
        <w:gridCol w:w="212"/>
        <w:gridCol w:w="741"/>
        <w:gridCol w:w="167"/>
        <w:gridCol w:w="146"/>
        <w:gridCol w:w="212"/>
        <w:gridCol w:w="741"/>
        <w:gridCol w:w="166"/>
        <w:gridCol w:w="146"/>
        <w:gridCol w:w="211"/>
        <w:gridCol w:w="676"/>
        <w:gridCol w:w="166"/>
        <w:gridCol w:w="146"/>
        <w:gridCol w:w="243"/>
        <w:gridCol w:w="628"/>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25,938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(19,981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tbl>
      <w:tblPr>
        <w:tblW w:w="9501" w:type="dxa"/>
        <w:jc w:val="left"/>
        <w:tblInd w:w="0" w:type="dxa"/>
        <w:tblLayout w:type="fixed"/>
        <w:tblCellMar>
          <w:top w:w="28" w:type="dxa"/>
          <w:left w:w="28" w:type="dxa"/>
          <w:bottom w:w="28" w:type="dxa"/>
          <w:right w:w="28" w:type="dxa"/>
        </w:tblCellMar>
      </w:tblPr>
      <w:tblGrid>
        <w:gridCol w:w="3791"/>
        <w:gridCol w:w="146"/>
        <w:gridCol w:w="211"/>
        <w:gridCol w:w="736"/>
        <w:gridCol w:w="166"/>
        <w:gridCol w:w="146"/>
        <w:gridCol w:w="211"/>
        <w:gridCol w:w="736"/>
        <w:gridCol w:w="166"/>
        <w:gridCol w:w="146"/>
        <w:gridCol w:w="211"/>
        <w:gridCol w:w="736"/>
        <w:gridCol w:w="166"/>
        <w:gridCol w:w="146"/>
        <w:gridCol w:w="224"/>
        <w:gridCol w:w="647"/>
        <w:gridCol w:w="916"/>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13,160</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9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9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49,060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36,689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12,371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916"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21,295</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916"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(40,726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(11,567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91" w:type="dxa"/>
            <w:tcBorders/>
            <w:shd w:fill="CAEEFB"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4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three and six months ended June 30, 2026, increased $5.3 million and $9.9 million, or 33% and 31%, respectively, compared to the same period of fiscal year 2025. Product revenue growth was primarily driven by the addition of new customers and an increase in utilization of Wearables and resulting sales of Wearables,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the three and six months ended June 30, 2026, increased $1.6 million and $3.0 million, respectively, or 30%, compared to the same period of fiscal year 2025. Subscription revenue growth was primarily driven by the addition of new customers.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the three months ended June 30, 2026, decreased $0.5 million, or 22% compared to the same period of fiscal year 2025. Product cost of revenue for the six months ended June 30, 2026 increased $0.2 million, or 4%, compared to the same period of fiscal year 2025. The decrease in cost of goods sold for products for the three months ended June 30, 2026 was primarily due to tariff refund of $1.0 million, offset by an increase in Wearables sales to new and existing active accounts. The increase in cost of goods sold for products for the six months ended June 30, 2026 was primarily due to an increase in Wearables sales to new and existing active accounts, partially offset by the tariff refund.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three and six months ended June 30, 2026, increased $0.2 million and $0.3 million, or 98% and 118%, respectively, compared to the same period of fiscal year 2025. The increase in subscription cost of revenue was primarily due to increased hosting costs for new and existing active accounts for subscriptions and incremental recorder depreciation associated with new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(in thousands) and Gross Margin</w:t>
      </w:r>
    </w:p>
    <w:p>
      <w:pPr>
        <w:pStyle w:val="TextBody"/>
        <w:bidi w:val="0"/>
        <w:jc w:val="both"/>
        <w:rPr/>
      </w:pPr>
      <w:r>
        <w:rPr/>
        <w:t> </w:t>
      </w:r>
    </w:p>
    <w:tbl>
      <w:tblPr>
        <w:tblW w:w="7291" w:type="dxa"/>
        <w:jc w:val="left"/>
        <w:tblInd w:w="0" w:type="dxa"/>
        <w:tblLayout w:type="fixed"/>
        <w:tblCellMar>
          <w:top w:w="28" w:type="dxa"/>
          <w:left w:w="28" w:type="dxa"/>
          <w:bottom w:w="28" w:type="dxa"/>
          <w:right w:w="28" w:type="dxa"/>
        </w:tblCellMar>
      </w:tblPr>
      <w:tblGrid>
        <w:gridCol w:w="2236"/>
        <w:gridCol w:w="146"/>
        <w:gridCol w:w="213"/>
        <w:gridCol w:w="685"/>
        <w:gridCol w:w="274"/>
        <w:gridCol w:w="147"/>
        <w:gridCol w:w="213"/>
        <w:gridCol w:w="685"/>
        <w:gridCol w:w="271"/>
        <w:gridCol w:w="146"/>
        <w:gridCol w:w="214"/>
        <w:gridCol w:w="582"/>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356" w:type="dxa"/>
        <w:jc w:val="left"/>
        <w:tblInd w:w="0" w:type="dxa"/>
        <w:tblLayout w:type="fixed"/>
        <w:tblCellMar>
          <w:top w:w="28" w:type="dxa"/>
          <w:left w:w="28" w:type="dxa"/>
          <w:bottom w:w="28" w:type="dxa"/>
          <w:right w:w="28" w:type="dxa"/>
        </w:tblCellMar>
      </w:tblPr>
      <w:tblGrid>
        <w:gridCol w:w="2236"/>
        <w:gridCol w:w="146"/>
        <w:gridCol w:w="211"/>
        <w:gridCol w:w="676"/>
        <w:gridCol w:w="271"/>
        <w:gridCol w:w="146"/>
        <w:gridCol w:w="211"/>
        <w:gridCol w:w="676"/>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Gross profit for the three and six months ended June 30, 2026 increased $7.3 million and $12.4 million, or 39% and 34%, respectively, compared to the same period of fiscal year 2025. The increase is primarily due to increased revenue and decreased cost of goods sold due to cost reduction strategies and tariff refunds.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$1.9 million, or 39%, for the three months ended June 30, 2026, compared to the same period of fiscal year 2025. The increase was primarily due to an increase of $1.5 million in personnel and related expenses directly associated with an increase in headcount.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$3.8 million, or 42%, for the six months ended June 30, 2026, compared to the same period of fiscal year 2025. The increase was primarily due to an increase of $3.2 million in personnel and related expenses directly associated with an increase in headcount.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$7.0 million, or 40%, for the three months ended June 30, 2026, compared to the same period of fiscal year 2025. The increase was primarily due to an increase in personnel and related expenses directly associated with an increase in headcount.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$11.4 million, or 32%, for the six months ended June 30, 2026, compared to the same period of fiscal year 2025. The increase was primarily due to an increase in personnel and related expenses directly associated with an increase in headcount.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$3.4 million, or 30%, for the three months ended June 30, 2026, compared to the same period of fiscal year 2025. The increase was primarily due to an increase of $1.4 million in personnel and related expenses directly associated with an increase in headcount, as well as an increase in professional services of $2.0 million driven by legal costs associated with intellectual property enforcement activities, including a patent infringement suit initiated in July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$8.8 million, or 41%, for the six months ended June 30, 2026, compared to the same period of fiscal year 2025. The increase was primarily due to an increase of $2.0 million in personnel and related expenses directly associated with an increase in headcount, as well as an increase in professional services of $6.8 million driven by legal costs associated with intellectual property enforcement activities, including a patent infringement suit initiated in July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net decreased $0.6 million, or 46% for the three months ended June 30, 2026, compared to the same period for fiscal year 2025. The decrease in interest income was primarily due to lower balances of cash equivalents and marketable securities, compared to the same period of the prior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net decreased $1.0 million, or 37% for the six months ended June 30, 2026, compared to the same period for fiscal year 2025. The decrease in interest income was primarily due to lower balances of cash equivalents and marketable securities, compared to the same period of the prior year.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 (in thousands):</w:t>
      </w:r>
    </w:p>
    <w:p>
      <w:pPr>
        <w:pStyle w:val="TextBody"/>
        <w:bidi w:val="0"/>
        <w:jc w:val="both"/>
        <w:rPr/>
      </w:pPr>
      <w:r>
        <w:rPr/>
        <w:t> </w:t>
      </w:r>
    </w:p>
    <w:tbl>
      <w:tblPr>
        <w:tblW w:w="686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84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six months ended June 30, 2026, consisted primarily of our net loss of $39.0 million and net amortization premiums on marketable securities of $1.3 million, offset by non-cash charges of stock-based compensation of $9.7 million and depreciation and amortization of $0.5 million. Additionally we had a net increase in operating assets of $0.5 million and a net decrease in operating liabilities of $1.8 million. Net operating assets increased and net operating liabilities decreased primarily due to timing of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the six months ended June 30, 2025, consisted primarily of our net loss of $26.4 million, offset by non-cash charges of stock-based compensation of $5.5 million, and depreciation and amortization of $0.7 million. Additionally we had a net decrease in operating assets of $0.2 million and a net increase in operating liabilities of $1.4 million. Net operating assets decreased due to decreases in prepaid expenses and inventory due to lower inventory purchases in the six months ended June 30, 2025. Net operating liabilities increased primarily due to timing of payments.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during the six months ended June 30, 2026 was $21.8 million, and consisted of maturities of marketable securities, offset by purchases of marketable securities, equipment, and recorders provided to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the six months ended June 30, 2025 was $137.3 million, and consisted of purchases of marketable securities, equipment, and recorders provided to customers.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the six months ended June 30, 2026, consisted of proceeds from the exercise of options and purchase of shares in accordance with our ESPP.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in financing activities during the six months ended June 30, 2025, consisted of proceeds from the exercise of options, and offset by debt issuance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IEEPA Tariffs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February 2026, the U.S. Supreme Court ruled to invalidate the U.S. administration’s tariff program implemented under IEEPA.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the Company has recognized refunds of $1.6 million. Of this refund amount, $1.0 million was recognized as a reduction of cost of goods sold for product that had been sold and the remaining $0.6 million relates to inventory on hand and remains capitalized in inventory as of June 30, 2026. $1.0 million of this refund is recorded in other current assets as of June 30, 2026, and was received in cash on July 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financial results determined in accordance with GAAP, we believe the following EBITDA and Adjusted EBITDA non-GAAP measures are useful in evaluating our operating performance. We use EBITDA and Adjusted EBITDA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Investors are encouraged to review the related GAAP financial measures and the reconciliation of these non-GAAP financial measures to its most directly comparable GAAP financial measure set forth below, and not to rely on any single financial measure to evaluate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EBITDA and Adjusted EBITDA are key performance measures that we use to assess our operating performance. Because EBITDA and Adjusted EBITDA facilitate internal comparisons of our historical operating performance on a more consistent basis, we use these measures for business planning purposes.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calculate EBITDA as net loss adjusted to exclude (i) provision for income taxes (zero for each of the periods presented) (ii) depreciation and amortization expense, and (iii) interest income and interest expense, net (which consists primarily of interest income on our cash equivalents and marketable securities and interest expense on our term loans and non-cash interest charges related to amortization of debt issuance costs). We then adjust EBITDA to exclude (iv) stock-based compensation expense and (v) legal fees and related professional services costs incurred in connection with the patent infringement action we filed against Natus Medical Incorporated and certain of its subsidiaries ("Natus") in July 2025, as further described in Part II, Item 1 — Legal Proceedings of this Quarterly Report on Form 10-Q (the "Natus IP Matter"), to arrive at Adjusted EBITDA.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involved from time to time in routine intellectual property activities in the ordinary course of business, including patent prosecution and portfolio maintenance, and the costs of those activities are not excluded from Adjusted EBITDA. The expenses excluded as the “Natus IP Matter” relate solely to that specific, discrete enforcement action, which we believe is outside the ordinary course of our business and materially larger in magnitude than our historical intellectual property enforcement spending. Management excludes these expenses from Adjusted EBITDA because they are not representative of our underlying operating performance and because excluding them facilitates more meaningful period-over-period comparison of our results. We periodically reassess whether the costs associated with this matter continue to be appropriately excluded from Adjusted EBITDA.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use of EBITDA and Adjusted EBITDA has limitations as an analytical tool and should not be considered in isolation or as a substitute for analysis of our results as reported under GAAP. Some of these limitations 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EBITDA and Adjusted EBITDA do not reflect changes in, or cash requirements for, our working capital needs;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EBITDA and Adjusted EBITDA do not reflect capital expenditure requirements for such replacements;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interest expense on our outstanding indebtedness or interest income earned on our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any provision for, or cash requirements associated with, income taxes that we may be required to pay in future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companies, including companies in our industry, may calculate EBITDA and Adjusted EBITDA measures differently, which reduces its usefulness as a comparative measure.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evaluating EBITDA and Adjusted EBITDA, we anticipate that we will continue to incur expenses similar to those reflected in the adjustments above. Accordingly, our presentation of EBITDA and Adjusted EBITDA should not be construed as suggesting that our future results will be unaffected by these expenses. When evaluating our financial results, EBITDA and Adjusted EBITDA should be considered alongside other financial performance measures, including our net loss and other GAAP results.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a reconciliation of EBITDA and Adjusted EBITDA to our net loss, the most directly comparable U.S. GAAP financial measure, for each of the periods indicated (in thousands):</w:t>
      </w:r>
    </w:p>
    <w:p>
      <w:pPr>
        <w:pStyle w:val="TextBody"/>
        <w:bidi w:val="0"/>
        <w:spacing w:before="120" w:after="283"/>
        <w:jc w:val="both"/>
        <w:rPr/>
      </w:pPr>
      <w:r>
        <w:rPr/>
        <w:t> </w:t>
      </w:r>
    </w:p>
    <w:tbl>
      <w:tblPr>
        <w:tblW w:w="8635" w:type="dxa"/>
        <w:jc w:val="left"/>
        <w:tblInd w:w="0" w:type="dxa"/>
        <w:tblLayout w:type="fixed"/>
        <w:tblCellMar>
          <w:top w:w="28" w:type="dxa"/>
          <w:left w:w="28" w:type="dxa"/>
          <w:bottom w:w="28" w:type="dxa"/>
          <w:right w:w="28" w:type="dxa"/>
        </w:tblCellMar>
      </w:tblPr>
      <w:tblGrid>
        <w:gridCol w:w="3161"/>
        <w:gridCol w:w="146"/>
        <w:gridCol w:w="212"/>
        <w:gridCol w:w="741"/>
        <w:gridCol w:w="167"/>
        <w:gridCol w:w="146"/>
        <w:gridCol w:w="212"/>
        <w:gridCol w:w="741"/>
        <w:gridCol w:w="166"/>
        <w:gridCol w:w="146"/>
        <w:gridCol w:w="211"/>
        <w:gridCol w:w="736"/>
        <w:gridCol w:w="166"/>
        <w:gridCol w:w="146"/>
        <w:gridCol w:w="211"/>
        <w:gridCol w:w="736"/>
        <w:gridCol w:w="5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(19,268</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(39,005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(26,420</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expense, net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EBITDA (Non-GAAP)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(19,735</w:t>
            </w:r>
          </w:p>
        </w:tc>
        <w:tc>
          <w:tcPr>
            <w:tcW w:w="16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(14,627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(40,222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(28,500</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 litigation matter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9,507</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Wearables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principal sources of liquidity consisted of $129.3 million of cash, cash equivalents, and marketable securities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first $10.0 million tranche expired on June 30, 2026 and no amount was drawn. The maturity date of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matured on February 6, 2026 and no amounts were drawn.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5, 2026, subsequent to June 30, 2026, we entered into a Credit, Security and Guaranty Agreement (the “Credit Agreement”) with MidCap Funding IV Trust, as agent, MidCap Financial Trust, as term loan servicer, and the lenders party thereto, providing for (i) a term loan facility, consisting of a $30.0 million commitment and an additional $25.0 million of uncommitted capital that may be available at the Lender's discretion, and (ii) a revolving loan facility in an aggregate principal amount of up to $20.0 million, which may be increased to up to $30.0 million at the Company's discretion upon satisfaction of certain conditions set forth therein. The $20.0 million revolving credit facility operates on a non-formula basis through December 31, 2027, after which time, availability under the facility will be subject to a borrowing base based on eligible accounts receivable and inventory. The term loan is callable at the Company's request at any time before December 31, 2028. At closing, the Company borrowed $20.0 million under the revolving facility and has no balance drawn under the term loan. The proceeds of borrowings under the Credit Agreement were used to repay in full the Company's outstanding obligations under the VLSA described in Note 9. Future borrowings will be used for working capital and general corporate purposes. The VLSA was terminated on August 5, 2026.</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For additional information, see Note 14, “Subsequent Events,” to our financial statements included elsewhere in this Quarterly Report on Form 10-Q.</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expected cash generated from revenue transactions with customers and our existing cash, cash equivalents, and marketable securities,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at June 30, 2026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at June 30, 2026, was $20.0 million. Subsequent to June 30, 2026, we entered into the Credit Agreement, which provides for (i) a term loan facility, consisting of a $30.0 million commitment and an additional $25.0 million of uncommitted capital that may be available at the Lender's discretion, and (ii) a revolving loan facility in an aggregate principal amount of up to $20.0 million, which may be increased to up to $30.0 million at the Company's discretion upon satisfaction of certain conditions set forth therein, and materially increased our borrowing capacity and secured indebtedness; see Note 14, “Subsequent Events.”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June 30, 2026, estimated contractual obligations for operating lease payments were $2.0 million due within 19 months.</w:t>
      </w:r>
    </w:p>
    <w:p>
      <w:pPr>
        <w:pStyle w:val="TextBody"/>
        <w:bidi w:val="0"/>
        <w:spacing w:before="240" w:after="283"/>
        <w:jc w:val="both"/>
        <w:rPr>
          <w:rFonts w:ascii="Times New Roman" w:hAnsi="Times New Roman"/>
          <w:sz w:val="20"/>
        </w:rPr>
      </w:pPr>
      <w:r>
        <w:rPr>
          <w:rFonts w:ascii="Times New Roman" w:hAnsi="Times New Roman"/>
          <w:i/>
          <w:color w:val="000000"/>
          <w:sz w:val="20"/>
        </w:rPr>
        <w:t>Litigation</w:t>
      </w:r>
      <w:r>
        <w:rPr>
          <w:rFonts w:ascii="Times New Roman" w:hAnsi="Times New Roman"/>
          <w:color w:val="000000"/>
          <w:sz w:val="20"/>
        </w:rPr>
        <w:t xml:space="preserve"> — As of June 30, 2026, we have a commitment to pay $2.9 million in deferred legal fees contingent upon the earlier of settlement or favorable Initial Determination by the Administrative Law Judge related to the Natus patent infringement complaints. The Company records a provision for a liability when management believes that it is both probable that a liability has been incurred and the amount of the loss can be reasonably estimated. No provision or accrual has been recorded related to the deferred legal fees based on currently available information; see Note 7, “Commitments and Contingencies.”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about our significant accounting policies and how estimates are involved in the preparation of our financial statements are described in our Annual Report on Form 10-K filed with the SEC on February 24, 2026. There have been no material changes to our significant accounting policies and estimates during the six months ended June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to our financial statements included elsewhere in this Quarterly Report on Form 10-Q 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3" w:name="item_3_q_q_disclosures"/>
      <w:bookmarkEnd w:id="13"/>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4" w:name="item_4_controls_and_procedures"/>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Chief Executive Officer and Chief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of the end of the period covered by this Quarterly Report. Based on such evaluation, our Chief Executive Officer and Chief Financial Officer have concluded that these disclosure controls and procedures were effective at a reasonable assurance level as of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June 30, 2026 covered by this Quarterly Report on Form 10-Q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5" w:name="part_ii_other_information"/>
      <w:bookmarkEnd w:id="15"/>
      <w:r>
        <w:rPr>
          <w:rFonts w:ascii="Times New Roman" w:hAnsi="Times New Roman"/>
          <w:b/>
          <w:color w:val="000000"/>
          <w:sz w:val="20"/>
        </w:rPr>
        <w:t>PART II—OTHER INFORMATION</w:t>
      </w:r>
    </w:p>
    <w:p>
      <w:pPr>
        <w:pStyle w:val="TextBody"/>
        <w:bidi w:val="0"/>
        <w:spacing w:before="360" w:after="283"/>
        <w:jc w:val="both"/>
        <w:rPr>
          <w:rFonts w:ascii="Times New Roman" w:hAnsi="Times New Roman"/>
          <w:b/>
          <w:color w:val="000000"/>
          <w:sz w:val="20"/>
        </w:rPr>
      </w:pPr>
      <w:bookmarkStart w:id="16" w:name="item_1_legal_proceedings"/>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through Natus’s making, using, selling, offering for sale in the United States, and/or importing into the United States, of rapid point-of-care EEG monitoring products (the “Natus Products”), and that Natus is engaging in unfair competition. We have requested that the USITC investigate these claims and issue an exclusion order to bar the importation of any infringing Natus Products into the United States. We have also requested in the District Court a permanent injunction against the Natus Products and an award of damages sufficient to compensate us for the alleged infringement, as well as other costs and expenses in this action. On August 6, 2025, the USITC instituted an investigation of these claims pursuant to Section 337 of the Tariff Act of 1930 and on August 12, 2025, the District Court granted a stay of the pending patent infringement action until the final determination of the USITC investigation. Trial proceedings in the USITC investigation concluded as of June 12, 2026, and the parties are now in the process of post-trial briefing. An initial determination is expected by November 19, 2026, and a final determination by March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Quarterly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rapid growth, which may strain our resources and make it difficult to evaluate our business and future prospects. If we are unable to manage our expansion effectively, our business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and our growth to over 300 employees as of March 31, 2026. Accordingly, we have a limited operating history, which makes evaluation of our future prospects difficult. In that time, we have experienced periods of significant growth in revenue and employees and rapid changes in our business, which have required us to scale the size of our organization and infrastructure.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growth that we experience in the future will require us to further expand our sales and marketing and research and development personnel (including those with software and hardware expertise), our manufacturing operations, and our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unanticipated costs, and disruptions to our operations, and could also pose challenges to retaining our existing employees, including through increased reliance on overtime that could result in greater attrition and reduced productivity. While our quarterly revenues have generally increased since our commercial launch, our results of operations have fluctuated in the past, and our future quarterly and annual results of operations may fluctuate as we focus on increasing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require us to develop and improve our operational, financial and other internal controls, reporting systems, and procedures at a pace consistent with our growth. Continued growth increases challenges in areas such as recruiting and retaining sufficient skilled personnel, providing adequate training and supervision to maintain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changes in scale, quality, or compliance assurance, including those related to any future additional indications for the Ceribell System, will be successfully implemented or that appropriate personnel will be available to facilitate the management of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growth and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six months ended June 30, 2026, we incurred a net loss of $39.0 million. As of June 30, 2026, we had an accumulated deficit of $259.4 million. We also expect our operating expenses to increase in future periods, and if our revenue growth does not increase to more than offset these anticipated increases in our operating expenses, we may not be able to achieve or maintain profitability, and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on marketing and brand-building initiatives to increase market awareness of the Ceribell System, reinforce the importance of prompt diagnosis of non-convulsive status epilepticus, and highlight the limitations of conventional EEG systems. We believe these programs are essential to increasing adoption; however, these initiatives may not be successful or cost-effective. If our marketing efforts prove less successful than anticipated, we may not be able to recover our spend, and our rates of customer acquisition or retention may fail to meet market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produced by the Ceribell System. In addition, building a strong brand is critical to our success, but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the Ceribell algorithm and overall Ceribell System, the technologies we work with are novel and complex, and we cannot assure you that there will not be additional negative reports on the Ceribell System in the future. Further, customers who are dissatisfied with their experiences with the Ceribell System may post negative reviews, and we have been, and may in the future become, the subject of blog, forum, or other social media postings that contain negative statements about us, which are outside of our control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emerging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Wearables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Wearables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trade policy, tariffs, and our reliance on international manufacturing and supply chain operations expose us to foreign operational and trade risks that may adversely affect our business, results of operations, and financial condition.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government has implemented or proposed changes to international trade policy through the renegotiation or potential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of existing trade agreements and the imposition of tariffs on a wide range of products from China, Vietnam, countries in EMEA, and other regions. In response, China and other countries have imposed or proposed additional tariffs and trade restrictions on imports from the United States. Trade relations between the United States and China remain volatile and uncertain. In 2025, the U.S. imposed additional tariffs on imports from China, Vietnam, and other regions and announced and subsequently paused implementation of certain tariffs. These actions and related retaliation have created significant market uncertainty and may affect the prices of and demand for our products, negatively impacting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manufacturing facilities and third-party suppliers outside the United States, including in China and Vietnam, for the primary assembly and inspection of our Wearables and for a significant portion of our components. We rely on two primary contract manufacturers in China and maintain contractors in China who perform monitoring and quality inspection services. Our operations also depend on the availability of raw materials and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suppliers and manufacturers in China expose us to political, legal, and economic risks, including deterioration of U.S.–China relations and changes in U.S. and Chinese laws and regulations relating to sanctions, taxation, import and export restrictions, tariffs, environmental protection, intellectual property, currency controls, cybersecurity, labor and human rights practices, privacy, and public health. Tariffs on products imported from China could adversely affect our suppliers’ operations, potentially causing disruptions or requiring us to transition to alternative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Uyghur Forced Labor Prevention Act could prohibit the importation of products or components if any portion of our supply chain is determined to involve forced labor in the Xinjiang Uyghur Autonomous Region. Trade regulations in China remain fluid, and sustained geopolitical tensions could result in additional tariffs, trade restrictions, or a global economic slowdown.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tariffs and countermeasures could raise costs, limit material availability, disrupt global supply chains, increase market volatility, and create operational challenges, materially adversely affecting our sales, gross margins, and customer demand.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engaged vendors and a contract manufacturer in Vietnam to mitigate certain supply chain risks, these efforts may not be effective, may increase capital and operating costs, and could adversely affect our operating results. Labor costs in China have increased and may continue to rise, and shortages of qualified workers could further constrain production and increase costs passed on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international operations also expose us to risks including logistics disruptions, higher component costs, quality control issues, political and economic instability, geopolitical conflicts, outbreaks of contagious diseases, regulatory restrictions, intellectual property protection challenges, currency fluctuations, adverse tax consequences, lack of long-term supplier commitments, supplier failures, and labor disputes or natural disasters.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Geopolitical conflicts may increase our costs and disrupt our supply chain.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Ongoing geopolitical tensions and military conflict in the Middle East, including the conflict involving Iran, have disrupted, and may continue to disrupt, global energy and transportation markets, including shipping through the Strait of Hormuz, a critical corridor for international trade. These developments may result in increased fuel and logistics costs, reduced shipping availability, and broader supply chain constraints.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manufacturers and suppliers, including in China and Vietnam, for the production and assembly of our products and components. As a result, supply chain and transportation disruptions, as well as increases in supplier and logistics costs, may delay our ability to obtain components and deliver finished products and increase our operating costs. In addition, increased costs incurred by our suppliers or contract manufacturers may be passed through to us, which could adversely affect our gross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Geopolitical instability may also contribute to broader macroeconomic impacts, including inflationary pressures and financial market volatility. The duration and severity of these developments are uncertain, and any escalation could exacerbate these risks. If we are unable to effectively manage these impacts, our business, financial condition, results of operations, and prospects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require our employees to continue learning and adapting to new technologies, and will require us to compete for highly skilled talent in a competitive market. Our operating results depend to a significant extent on our ability to anticipate and adapt to technological changes in the EEG monitoring market, maintain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AI presents risks and challenges that can impact our business, including by posing security risks to our confidential information, proprietary information, and personal data.</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in the development and use of AI, including the algorithms used in the Clarity platform and other AI-enabled features of the Ceribell System, combined with an uncertain regulatory environment, may result in reputational harm, liability, or other adverse consequences to our business operations. As with many technological innovations, AI presents risks and challenges that could impact our business. We may adopt and integrate AI tools, including generative AI tools, for specific use cases reviewed by legal and information security.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our vendors, or our third-party partners experience an actual or perceived breach or privacy or security incident because of the use of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“We face risks related to obtaining necessary foreign regulatory clearance or approvals.” In addition, expansion into foreign markets will impose additional burdens on our executive and administrative personnel, finance and legal teams, sales and marketing teams, and general managerial resources.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the conflict involving Iran, as well as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we have experienced, and may continue to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Shutdowns of the U.S. federal government could materially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federal government has shut down multiple times in the past, and certain regulatory agencies, including the FDA, the Centers for Medicare &amp; Medicaid Services (“CMS”), the USITC, the U.S. Patent and Trademark Office (“USPTO”), the U.S. Department of Defense, and the U.S. Department of Veterans Affairs, have had to furlough employees and suspend some of their activities. A prolonged shutdown could delay regulatory reviews and approvals,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In August 2026, CMS granted an NTAP under the Medicare inpatient prospective payment system for eligible Medicare patient cases utilizing our Delirium Monitor System, effective October 1, 2026. The NTAP designation for a product lasts for no more than three years for a specific indication. Once an applicable NTAP expires or our products are otherwise no longer eligible for such NTAP, our customers may no longer receive additional reimbursement to offset the costs associated with the use of our products, which could adversely affect their profit margins. In light of the potential unreimbursed costs,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as amended by the Health Information Technology for Economic and Clinical Health Act of 2009, and regulations implemented thereunder (collectively, “HIPAA”), which, in 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 recently, the OBBB Act was signed into law, which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whether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in January 2026, we received Breakthrough Device Designation from the FDA for our Ceribell LVO System, a portable EEG-based stroke detection and monitoring system in development intended for use in hospital settings to monitor adult patients for whom a reliable neurological exam for LVO stroke are often challenging and to notify medical professionals of suspected LVO stroke, which notifications are intended to be confirmed by CT or MR angiography prior to initiation of treatment.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Even where our product candidates have received Breakthrough Device Designation,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designated indication.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and earlier clinical trials have nonetheless failed to replicate results in later clinical trials, or have viewed such data in different ways than regulators.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ongoing and extensive regulatory requirements governing, among other things, the manufacture, marketing, advertising, medical device reporting, sale, promotion, import, export, registration, and listing of devices. For example, medical device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Wearables used as part of the Ceribell System may cause skin irritation to patients or break down sooner than expected. Use of the Ceribell System, including both the Wearables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adverse event-related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healthcare professionals may misuse our products or use improper techniques if they are not adequately trained, potentially leading to injury and an increased risk of product liability. For example, healthcare professionals may misuse our single use, disposable Wearables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February 2, 2026, the FDA’s final rule implementing the FDA’s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 2016 are substantially similar to those set forth in the QSR, and although our quality management system is designed to comply with ISO 13485, the FDA has indicated that ISO 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Xinjiang Uyghur Autonomous Region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Wearables supplied by third-party manufacturers located in China and Vietnam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QMSR.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QMSR,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QMSR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QMSR and other applicable legal and regulatory requirements in our agreements and contracts, and we perform incoming inspection, testing, or other acceptance activities 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have complete control over all aspects of the manufacturing process of, and are dependent on our manufacturing partners for compliance with cGMP regulations applicable to certain components of our products. Third-party manufacturers may not be able, or fail, to comply with cGMP regulations. If our third-party manufacturers cannot successfully manufacture our products that conform to our specifications and the strict regulatory requirements of the FDA, they will not be able to secure and/or maintain registration for their manufacturing facilities. In addition, we do not have complete control over the ability of our third-party manufacturers to maintain adequate quality control, quality assurance and qualified personnel. The failure of our manufacturing partners to maintain acceptable quality requirements could result in quality issues, including recalls of our products. If one of our manufacturing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partners fails to maintain acceptable quality requirements or perform as agreed, we may have to identify and qualify a new supplier or develop in-house manufacturing capabilities, which could require significant capital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which are now set forth in the QMSR (and were previously set forth in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Switching or adding third parties to conduct or support portions of our preclinical studies and clinical trials involves substantial cost and requires extensive management time and focus. In addition, there is a natural transition period when a new third party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For example, Washington State enacted the Washington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and the United Kingdom General Data Protection Regulation and Data Protection Act 2018 (the “UK GDPR” and together with the EU GDPR referred to as the “GDPR”) governs the collection, use, disclosure, transfer, and other processing of personal data of individuals within the European Economic Area (the “EEA”) and United Kingdom (the “UK”) and imposes stringent requirements for data processors and controllers of such personal data or in the context of their activities within the EEA or UK.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the regulatory guidance and enforcement landscape in relation to data transfers continue to develop, we could suffer additional costs, complaints and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Trade Commission (the “FTC”) also has authority to initiate enforcement actions against entities that mislead customers about HIPAA compliance, make deceptive statements about privacy and data sharing in privacy policies, fail to limit third-party use of health information, fail to implement policies to protect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health-related and other personal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the Ceribell System and business and the way in which we use AI Technologies. We may need to expend resources to adjust the Ceribell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(collectively, “Confidential Information”). We may also share Confidential Information with our partners or other third parties in conjunction with our business. It is critical that we do so in a secure manner to maintain the confidentiality and integrity of such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information technology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AI –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information technology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There could also be delays at the USPTO caused by staffing cuts and other U.S. government actions as a result of the U.S. Department of Government Efficiency or other executive actions to reduce the size of the U.S. government.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medical device industry is highly competitive and litigious with respect to patents, trademarks, trade secrets, and other intellectual property rights. Companies in the medical device industry have used intellectual property litigation to gain a competitive advantage. 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against Natus, which is more fully described in “Part II, Item 1. Legal Proceedings” of this report,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amount of any monetary damages may be inadequate to compensate us for damage as a result of the infringement and the proceedings. A legal proceeding, regardless of the outcome, could drain our financial resources and divert the time and effort of our management. Protracted litigation to defend or prosecute our intellectual property rights could result in our customers or potential customers deferring or limiting their purchase or use of the affected products until resolution of the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products in any jurisdiction. Patent applications in the United States, the European Union and elsewhere are published approximately 18 months after the earliest filing for which priority is claimed, with such earliest filing date being commonly referred to as the priority date. Additionally, pending patent applications that have been published can, subject to certain limitations, be later amended in a manner that could cover our products or the use of our products.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the European Union or elsewhere that we consider relevant may be incorrect, which may negatively impact our ability to develop and market our products. Our failure to identify and correctly interpret relevant patents may negatively impact our ability to develop and market our products,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agreements with third-party manufacturing partners generally seek to prevent them from misusing our intellectual property and trade secrets, or using our designs to manufacture products for our competitors, we may be unsuccessful in monitoring and enforcing our intellectual property rights against these manufacturing partners and may find counterfeit goods in the market being sold as our products or future products similar to ours produced for our competitors using our intellectual property. Although we take steps to stop counterfeits, we may not be successful and network operators who purchase these counterfeit goods may experience product defects or failures, harming our reputation and brand and causing us to lose future sales. Any of the foregoing could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in addition to paying monetary damages, we may lose valuable intellectual property rights, such as exclusive ownership of, or the right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in our Annual Report on Form 10-K. During the quarter ended June 30, 2025, we exercised our option to extend exclusivity under certain licensed patent rights owned or controlled by Stanford University through the expiration date of the last-to-expire licensed patent. While we believe this extension strengthens our intellectual property position,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manufacture, commercialization, import or use of our current and/or future products, services, or technologies, in which case we would need to acquire or obtain a license to such intellectual property rights from such third party. A third party that perceives us to be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2025, we had NOLs of approximately $165.6 million for federal income tax purposes and $157.6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Credit Agreement contains financial covenants and other restrictions that limit our flexibility in operating our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5, 2026, we entered into the Credit Agreement, which provides for term loan and revolving loan facilities. At closing, we borrowed $20.0 million under the revolving loan facility and no term loans and used the proceeds to repay in full all amounts outstanding under the VLSA, which was terminated in connection with the repayment. Our obligations under the Credit Agreement are secured by a security interest in substantially all of our assets, including our intellectual property, subject to customary exclusions. The Credit Agreement contains customary affirmative and negative covenants that limit our ability to engage in specified types of transactions. The Credit Agreement also contains financial covenants that, during applicable testing periods, require us to maintain minimum net revenue of $70.0 million or, in certain circumstances, minimum unrestricted cash of $65.0 million. These covenants limit our ability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license or otherwise dispose of assets, other than permitted asset dispositions;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otherwise become liable with respect to additional indebtedness or contingent obligations, other than permitted indebtedness and contingent obligations;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or permit liens on our assets, other than permitted liens;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distributions, including paying dividends on, repurchasing or making other payments with respect to our capital stock, other than permitted distributions;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or amalgamate with another person, other than specified permitted transactions;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investments or acquisitions, including acquisitions of businesses, assets, products, product lines or intellectual property, other than permitted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enter into joint ventures or partnerships;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Credit Agreement. The covenants in the Credit Agreement limit our ability to take certain actions and could adversely affect our ability to finance our operations, make needed capital expenditures, engage in business combinations or otherwise pursue our business strategies. In addition, if we fail to comply with a covenant or other obligation under the Credit Agreement and an event of default occurs and continues, the lenders may suspend or terminate their lending commitments, accelerate all or a portion of the amounts outstanding under the Credit Agreement, together with accrued interest, and exercise remedies against the collateral securing such indebtedness, including substantially all of our assets and intellectual property. Any such acceleration or exercise of remedies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240" w:after="283"/>
        <w:jc w:val="both"/>
        <w:rPr>
          <w:rFonts w:ascii="Times New Roman" w:hAnsi="Times New Roman"/>
          <w:sz w:val="20"/>
        </w:rPr>
      </w:pPr>
      <w:r>
        <w:rPr>
          <w:rFonts w:ascii="Times New Roman" w:hAnsi="Times New Roman"/>
          <w:b/>
          <w:i/>
          <w:color w:val="000000"/>
          <w:sz w:val="20"/>
        </w:rPr>
        <w:t>We incur significant costs as a result of operating as a public company. We may fail to comply with the rules that apply to public companies, including Section 404 of the Sarbanes-Oxley Act of 2002, which could result in sanctions or other penalties that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Section 404 of The Sarbanes-Oxley Act of 2002 (“Section 404”) and the related rules of the SEC, which generally require our management to report on the effectiveness of our internal control over financial reporting. Our compliance with Section 404 requires that we incur substantial expense and expend significant management efforts.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Credit Agreement,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the guidance provided to the public or the expectations of investment analysts,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Quarterly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6, 2026, our executive officers, directors, owners of more than 5% of our capital stock and their respective affiliates beneficially owned approximately 45%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are the exclusive forum for the resolution of any complaint asserting a cause of action against us or any of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factors,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or the anticipation of such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continue to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8" w:name="item_2_unregistered_sales_of_equity"/>
      <w:bookmarkEnd w:id="18"/>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15, 2024, we completed our IPO, in which we issued and sold 12,196,969 shares of our common stock, which includes an additional 1,590,909 shares of common stock purchased by the underwriters pursuant to their option to purchase additional shares, at a price to the public of $17.00 per share. The proceeds to the Company from the IPO were approximately $188.2 million, net of underwriting discounts and commissions and estimated offering costs. There has been no material change in the intended use of proceeds from our IPO as described in our final prospectus pursuant to Rule 424(b), filed with the SEC on October 11, 2024.</w:t>
      </w:r>
    </w:p>
    <w:p>
      <w:pPr>
        <w:pStyle w:val="TextBody"/>
        <w:bidi w:val="0"/>
        <w:spacing w:before="360" w:after="283"/>
        <w:jc w:val="both"/>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1" w:name="item_5_other_information"/>
      <w:bookmarkEnd w:id="21"/>
      <w:r>
        <w:rPr>
          <w:rFonts w:ascii="Times New Roman" w:hAnsi="Times New Roman"/>
          <w:b/>
          <w:color w:val="000000"/>
          <w:sz w:val="20"/>
        </w:rPr>
        <w:t>Item 5. Other Information.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Entry into a Material Definitive Agreement</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On August 5, 2026, the Company entered into a Credit, Security and Guaranty Agreement (the “Credit Agreement”) by and among the Company, as borrower, MidCap Funding IV Trust, as agent, MidCap Financial Trust, as term loan servicer, and the lenders from time to time party thereto. The Credit Agreement provides for (i) a term loan facility, consisting of a $30.0 million commitment and an additional $25.0 million of uncommitted capital that may be available at the Lender's discretion, and (ii) a revolving loan facility in an aggregate principal amount of up to $20.0 million, which may be increased to up to $30.0 million at the Company's discretion upon satisfaction of certain conditions set forth therein. The $20.0 million revolving credit facility operates on a non-formula basis through December 31, 2027, after which time, availability under the facility will be subject to a borrowing base based on eligible accounts receivable and inventory. The term loan is callable at the Company's request at any time before December 31, 2028.</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At closing, the Company borrowed $20.0 million under the revolving facility and has no balance drawn under the term loan. The proceeds of borrowings under the Credit Agreement were used to repay in full the Company's outstanding obligations under the VLSA described in Note 9. Future borrowings will be used for working capital and general corporate purposes. The Company’s obligations under the Credit Agreement are secured by a security interest in substantially all of the Company’s assets, including its intellectual property. A financial covenant is only effective if the sum of the aggregate outstanding principal balance of the term loans plus the aggregate amount of the revolving credit facility commitment exceeds $35.0 million. When effective, the financial covenant requires that the company maintain either (a) minimum trailing 12 months net revenue of at least $70.0 million or (b) cash, cash equivalents, and marketable securities of at least $65.0 million. Term loans bear interest at Term SOFR (subject to a 1.00% floor) plus 5.00% per annum, and revolving loans bear interest at Term SOFR (subject to a 1.00% floor) plus 3.75% per annum, in each case payable monthly in arrears in cash, and the loans mature on August 5, 2031. The term loan and revolver may be voluntarily prepaid subject to a prepayment premium and exit fee.</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The foregoing description of the Credit Agreement does not purport to be complete and is qualified in its entirety by reference to the full text of the Credit Agreement, a copy of which is filed as Exhibit 10.1 to this Quarterly Report on Form 10-Q and is incorporated herein by reference. </w:t>
      </w:r>
    </w:p>
    <w:p>
      <w:pPr>
        <w:pStyle w:val="TextBody"/>
        <w:bidi w:val="0"/>
        <w:spacing w:before="360" w:after="283"/>
        <w:jc w:val="both"/>
        <w:rPr/>
      </w:pPr>
      <w:r>
        <w:rPr>
          <w:rFonts w:ascii="Times New Roman" w:hAnsi="Times New Roman"/>
          <w:color w:val="000000"/>
          <w:sz w:val="20"/>
        </w:rPr>
        <w:t>The information contained in this Item 5 is intended to satisfy the Company</w:t>
      </w:r>
      <w:hyperlink w:anchor="equity">
        <w:r>
          <w:rPr>
            <w:rStyle w:val="InternetLink"/>
            <w:rFonts w:ascii="Times New Roman" w:hAnsi="Times New Roman"/>
            <w:color w:val="0563C1"/>
            <w:sz w:val="20"/>
            <w:u w:val="single"/>
          </w:rPr>
          <w:t>’</w:t>
        </w:r>
      </w:hyperlink>
      <w:r>
        <w:rPr>
          <w:rFonts w:ascii="Times New Roman" w:hAnsi="Times New Roman"/>
          <w:color w:val="000000"/>
          <w:sz w:val="20"/>
        </w:rPr>
        <w:t>s reporting obligations under Item 1.01 (Entry into a Material Definitive Agreement) and Item 2.03 (Creation of a Direct Financial Obligation or an Obligation under an Off-Balance Sheet Arrangement of a Registrant) of Form 8-K.</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2368"/>
        <w:gridCol w:w="661"/>
        <w:gridCol w:w="1106"/>
        <w:gridCol w:w="1113"/>
        <w:gridCol w:w="1587"/>
        <w:gridCol w:w="1742"/>
        <w:gridCol w:w="1628"/>
      </w:tblGrid>
      <w:tr>
        <w:trPr/>
        <w:tc>
          <w:tcPr>
            <w:tcW w:w="236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2368"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6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1106"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00"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Arrangement</w:t>
            </w:r>
          </w:p>
        </w:tc>
        <w:tc>
          <w:tcPr>
            <w:tcW w:w="1742"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Shares to be Sold</w:t>
            </w:r>
          </w:p>
        </w:tc>
        <w:tc>
          <w:tcPr>
            <w:tcW w:w="1628"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Expiration Date</w:t>
            </w:r>
          </w:p>
        </w:tc>
      </w:tr>
      <w:tr>
        <w:trPr/>
        <w:tc>
          <w:tcPr>
            <w:tcW w:w="236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6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106"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11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w:t>
            </w:r>
          </w:p>
        </w:tc>
        <w:tc>
          <w:tcPr>
            <w:tcW w:w="15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Non-Rule 10b5-1**</w:t>
            </w:r>
          </w:p>
        </w:tc>
        <w:tc>
          <w:tcPr>
            <w:tcW w:w="1742"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628"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2368"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Foehr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Senior Vice President, Finance</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106"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May 21, 2026</w:t>
            </w:r>
          </w:p>
          <w:p>
            <w:pPr>
              <w:pStyle w:val="TableContents"/>
              <w:bidi w:val="0"/>
              <w:spacing w:before="0" w:after="283"/>
              <w:jc w:val="left"/>
              <w:rPr/>
            </w:pPr>
            <w:r>
              <w:rPr/>
              <w:t> </w:t>
            </w:r>
          </w:p>
        </w:tc>
        <w:tc>
          <w:tcPr>
            <w:tcW w:w="111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5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742"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20,400</w:t>
            </w:r>
          </w:p>
          <w:p>
            <w:pPr>
              <w:pStyle w:val="TableContents"/>
              <w:bidi w:val="0"/>
              <w:spacing w:before="0" w:after="283"/>
              <w:jc w:val="left"/>
              <w:rPr/>
            </w:pPr>
            <w:r>
              <w:rPr/>
              <w:t> </w:t>
            </w:r>
          </w:p>
        </w:tc>
        <w:tc>
          <w:tcPr>
            <w:tcW w:w="1628"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September 9, 2027</w:t>
            </w:r>
          </w:p>
          <w:p>
            <w:pPr>
              <w:pStyle w:val="TableContents"/>
              <w:bidi w:val="0"/>
              <w:spacing w:before="0" w:after="283"/>
              <w:jc w:val="left"/>
              <w:rPr/>
            </w:pPr>
            <w:r>
              <w:rPr/>
              <w:t> </w:t>
            </w:r>
          </w:p>
        </w:tc>
      </w:tr>
      <w:tr>
        <w:trPr/>
        <w:tc>
          <w:tcPr>
            <w:tcW w:w="2368"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Raymond Woo</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Technology Officer</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1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5, 2026</w:t>
            </w:r>
          </w:p>
        </w:tc>
        <w:tc>
          <w:tcPr>
            <w:tcW w:w="111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587"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74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85,821</w:t>
            </w:r>
          </w:p>
        </w:tc>
        <w:tc>
          <w:tcPr>
            <w:tcW w:w="162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31, 2027</w:t>
            </w:r>
          </w:p>
        </w:tc>
      </w:tr>
    </w:tbl>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146"/>
        <w:gridCol w:w="6527"/>
        <w:gridCol w:w="531"/>
        <w:gridCol w:w="720"/>
        <w:gridCol w:w="691"/>
        <w:gridCol w:w="828"/>
      </w:tblGrid>
      <w:tr>
        <w:trPr/>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2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0_1.htm">
              <w:r>
                <w:rPr>
                  <w:rStyle w:val="InternetLink"/>
                  <w:rFonts w:ascii="Times New Roman" w:hAnsi="Times New Roman"/>
                  <w:color w:val="0000FF"/>
                  <w:sz w:val="20"/>
                  <w:u w:val="single"/>
                </w:rPr>
                <w:t>Credit, Security and Guaranty Agreement, dated as of August 5, 2026, by and among CeriBell, Inc., as Borrower, MidCap Funding IV Trust, as Agent, and MidCap Financial Trust, as Term Loan Servicer.</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10_2.htm">
              <w:r>
                <w:rPr>
                  <w:rStyle w:val="InternetLink"/>
                  <w:rFonts w:ascii="Times New Roman" w:hAnsi="Times New Roman"/>
                  <w:color w:val="0000FF"/>
                  <w:sz w:val="20"/>
                  <w:u w:val="single"/>
                </w:rPr>
                <w:t>Non-Employee Director Compensation Program</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the exhibit, marked by [###], have been omitted because the omitted information is (i) not material and (ii) the type of information that the registrant customarily and actually treats as private or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certifications attached as Exhibit 32.1 and Exhibit 32.2 that accompany this Quarterly Report on Form 10-Q pursuant to 18 U.S.C. Section 1350, as adopted pursuant to Section 906 of the Sarbanes-Oxley Act of 2002, are not deemed “filed” by the Registrant for purposes of Section 18 of the Securities Exchange Act of 1934, as amended.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1951"/>
        <w:gridCol w:w="146"/>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CERIBELL,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4" w:name="cbll-ex10_1.htm"/>
      <w:bookmarkStart w:id="25" w:name="kscbllex10_1"/>
      <w:bookmarkEnd w:id="24"/>
      <w:bookmarkEnd w:id="25"/>
      <w:r>
        <w:rPr>
          <w:rFonts w:ascii="Times New Roman" w:hAnsi="Times New Roman"/>
          <w:b/>
          <w:color w:val="000000"/>
          <w:sz w:val="22"/>
        </w:rPr>
        <w:t>Exhibit 10.1</w:t>
      </w:r>
      <w:r>
        <w:br w:type="page"/>
      </w:r>
    </w:p>
    <w:p>
      <w:pPr>
        <w:pStyle w:val="TextBody"/>
        <w:bidi w:val="0"/>
        <w:spacing w:before="0" w:after="480"/>
        <w:jc w:val="left"/>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CREDIT, SECURITY AND GUARANTY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 xml:space="preserve">dated as of August 5, 2026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by and among</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Ceribell,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as Borrower and any additional borrower that hereafter becomes party hereto, each as Borrower, and collectively as Borrowers,</w:t>
      </w:r>
    </w:p>
    <w:p>
      <w:pPr>
        <w:pStyle w:val="TextBody"/>
        <w:bidi w:val="0"/>
        <w:spacing w:before="0" w:after="240"/>
        <w:jc w:val="center"/>
        <w:rPr>
          <w:rFonts w:ascii="Times New Roman" w:hAnsi="Times New Roman"/>
          <w:sz w:val="20"/>
        </w:rPr>
      </w:pPr>
      <w:r>
        <w:rPr>
          <w:rFonts w:ascii="Times New Roman" w:hAnsi="Times New Roman"/>
          <w:b/>
          <w:color w:val="000000"/>
          <w:sz w:val="22"/>
        </w:rPr>
        <w:t>and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any guarantor that hereafter becomes party hereto, each as Guarantor, and collectively as Guarantors,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MIDCAP FUNDING IV TRUST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as Agent,</w:t>
      </w:r>
    </w:p>
    <w:p>
      <w:pPr>
        <w:pStyle w:val="TextBody"/>
        <w:bidi w:val="0"/>
        <w:spacing w:before="0" w:after="240"/>
        <w:jc w:val="center"/>
        <w:rPr>
          <w:rFonts w:ascii="Times New Roman" w:hAnsi="Times New Roman"/>
          <w:sz w:val="20"/>
        </w:rPr>
      </w:pPr>
      <w:r>
        <w:rPr>
          <w:rFonts w:ascii="Times New Roman" w:hAnsi="Times New Roman"/>
          <w:b/>
          <w:color w:val="000000"/>
          <w:sz w:val="22"/>
        </w:rPr>
        <w:t>MIDCAP FINANCIAL TRUST,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as Term Loan Servicer,</w:t>
      </w:r>
    </w:p>
    <w:p>
      <w:pPr>
        <w:pStyle w:val="TextBody"/>
        <w:bidi w:val="0"/>
        <w:spacing w:before="0" w:after="240"/>
        <w:jc w:val="center"/>
        <w:rPr>
          <w:rFonts w:ascii="Times New Roman" w:hAnsi="Times New Roman"/>
          <w:sz w:val="20"/>
        </w:rPr>
      </w:pPr>
      <w:r>
        <w:rPr>
          <w:rFonts w:ascii="Times New Roman" w:hAnsi="Times New Roman"/>
          <w:b/>
          <w:color w:val="000000"/>
          <w:sz w:val="22"/>
        </w:rPr>
        <w:t>and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THE LENDERS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FROM TIME TO TIME PARTY HERETO</w:t>
      </w:r>
    </w:p>
    <w:p>
      <w:pPr>
        <w:pStyle w:val="TextBody"/>
        <w:bidi w:val="0"/>
        <w:spacing w:before="0" w:after="240"/>
        <w:jc w:val="center"/>
        <w:rPr/>
      </w:pPr>
      <w:r>
        <w:rPr/>
        <w:drawing>
          <wp:inline distT="0" distB="0" distL="0" distR="0">
            <wp:extent cx="2714625" cy="6191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5"/>
                    <a:stretch>
                      <a:fillRect/>
                    </a:stretch>
                  </pic:blipFill>
                  <pic:spPr bwMode="auto">
                    <a:xfrm>
                      <a:off x="0" y="0"/>
                      <a:ext cx="2714625" cy="619125"/>
                    </a:xfrm>
                    <a:prstGeom prst="rect">
                      <a:avLst/>
                    </a:prstGeom>
                  </pic:spPr>
                </pic:pic>
              </a:graphicData>
            </a:graphic>
          </wp:inline>
        </w:drawing>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rFonts w:ascii="Times New Roman" w:hAnsi="Times New Roman"/>
          <w:color w:val="000000"/>
          <w:sz w:val="16"/>
        </w:rPr>
      </w:pPr>
      <w:r>
        <w:rPr>
          <w:rFonts w:ascii="Times New Roman" w:hAnsi="Times New Roman"/>
          <w:color w:val="000000"/>
          <w:sz w:val="16"/>
        </w:rPr>
        <w:t>MidCap / CeriBell / Credit, Security and Guaranty Agreement</w:t>
      </w:r>
    </w:p>
    <w:p>
      <w:pPr>
        <w:pStyle w:val="TextBody"/>
        <w:bidi w:val="0"/>
        <w:spacing w:before="0" w:after="48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Table of Contents</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Page</w:t>
      </w:r>
    </w:p>
    <w:tbl>
      <w:tblPr>
        <w:tblW w:w="10205" w:type="dxa"/>
        <w:jc w:val="left"/>
        <w:tblInd w:w="0" w:type="dxa"/>
        <w:tblLayout w:type="fixed"/>
        <w:tblCellMar>
          <w:top w:w="28" w:type="dxa"/>
          <w:left w:w="28" w:type="dxa"/>
          <w:bottom w:w="28" w:type="dxa"/>
          <w:right w:w="28" w:type="dxa"/>
        </w:tblCellMar>
      </w:tblPr>
      <w:tblGrid>
        <w:gridCol w:w="3512"/>
        <w:gridCol w:w="3781"/>
        <w:gridCol w:w="2912"/>
      </w:tblGrid>
      <w:tr>
        <w:trPr/>
        <w:tc>
          <w:tcPr>
            <w:tcW w:w="351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1 - DEFINITIONS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1</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Certain Defined Terms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Accounting Terms and Determinations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38</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Other Definitional and Interpretive Provisions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39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1.4</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Settlement and Funding Mechanics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39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1.5</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Time is of the Essence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39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1.6</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Time of Day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39</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2 - LOANS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40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2.1</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Loans.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2.2</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Interest, Interest Calculations and Certain Fees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43</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2.3</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47</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2.4</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47</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2.5</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47</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2.6</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General Provisions Regarding Payment; Loan Accounts.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47</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2.7</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Maximum Interest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48</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2.8</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Taxes; Capital Adequacy; Increased Costs; Inability to Determine Rates; Illegality.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48</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2.9</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Appointment of Borrower Representative.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53</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2.10</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Joint and Several Liability; Rights of Contribution; Subordination and Subrogation.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54</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2.11</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Collections and Lockbox Account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56</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2.12</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Termination; Restriction on Termination.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58</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3 - REPRESENTATIONS AND WARRANTIES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59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Existence and Power</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Organization and Governmental Authorization; No Contravention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3.3</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Binding Effect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3.4</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Capitalization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59</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3.5</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Financial Information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3.6</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Litigation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3.7</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Ownership of Property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3.8</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 Default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3.9</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Labor Matters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3.10</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Investment Company Act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3.11</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Margin Regulations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60</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3.12</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Laws; Anti-Terrorism Laws.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61</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3.13</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Taxes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61</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3.14</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ERISA.</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61</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3.15</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Consummation of Financing Documents; Brokers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62</w:t>
            </w:r>
          </w:p>
        </w:tc>
      </w:tr>
      <w:tr>
        <w:trPr/>
        <w:tc>
          <w:tcPr>
            <w:tcW w:w="35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3.16</w:t>
            </w:r>
          </w:p>
        </w:tc>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39"/>
        <w:gridCol w:w="3754"/>
        <w:gridCol w:w="2912"/>
      </w:tblGrid>
      <w:tr>
        <w:trPr/>
        <w:tc>
          <w:tcPr>
            <w:tcW w:w="3539"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3.17</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Material Contracts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62</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3.18</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Environmental Requirements; No Hazardous Materials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62</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3.19</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Intellectual Property and License Agreements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3.20</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Solvency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3.21</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Full Disclosure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3.22</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3.23</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Subsidiaries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3.24</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Accuracy of Schedules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64</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3.25</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Eligible Account; Eligible Inventory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64</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3.26</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Regulatory Matters.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64</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3.27</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Senior Indebtedness Status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65</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4 - AFFIRMATIVE COVENANTS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65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Financial Statements, Other Reports and Notices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4.2</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 and Performance of Obligations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67</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4.3</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Maintenance of Existence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68</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4.4</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Maintenance of Property; Insurance.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68</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4.5</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Laws and Material Contracts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69</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4.6</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Inspection of Property, Books and Records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69</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4.7</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Use of Proceeds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69</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4.8</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70</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4.9</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Notices of Material Contracts, Litigation and Defaults.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70</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4.10</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Hazardous Materials; Remediation.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70</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4.11</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Further Assurances; Joinder.</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71</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4.12</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72</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4.13</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Power of Attorney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72</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4.14</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Borrowing Base Collateral Administration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72</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4.15</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Schedule Updates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4.16</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Intellectual Property and Licensing.</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73</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4.17</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Regulatory Covenants.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74</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5 - NEGATIVE COVENANTS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74</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Debt; Contingent Obligations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74</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5.2</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Liens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5.3</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Distributions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5.4</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Restrictive Agreements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5.5</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Payments and Modifications of Subordinated Debt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5.6</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Consolidations, Mergers and Sales of Assets; Change in Control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75</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5.7</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Purchase of Assets, Investments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76</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5.8</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Transactions with Affiliates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76</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5.9</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Modification of Organizational Documents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76</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5.10</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Modification of Certain Agreements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76</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5.11</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Conduct of Business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76</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5.12</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[Reserved]</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77</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5.13</w:t>
            </w:r>
          </w:p>
        </w:tc>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Limitation on Sale and Leaseback Transactions</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97"/>
        <w:gridCol w:w="3796"/>
        <w:gridCol w:w="2912"/>
      </w:tblGrid>
      <w:tr>
        <w:trPr/>
        <w:tc>
          <w:tcPr>
            <w:tcW w:w="3497"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5.14</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Deposit Accounts and Securities Accounts; Payroll and Benefits Accounts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77</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5.15</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Compliance with Anti-Terrorism Laws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77</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5.16</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Change in Accounting</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5.17</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Investment Company Act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5.18</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Agreements Regarding Receivables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78</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6 – FINANCIAL COVENANTS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78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6.1</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Minimum Net Revenue.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6.2</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Minimum Unrestricted Cash</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6.3</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Evidence of Compliance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78</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7 – CONDITIONS</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79</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7.1</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Conditions to Closing</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79</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7.2</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Conditions to Each Loan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79</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7.3</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Searches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80</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7.4</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Post-Closing Requirements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81</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8 – RESERVED</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aps/>
                <w:color w:val="000000"/>
                <w:sz w:val="22"/>
              </w:rPr>
            </w:pPr>
            <w:r>
              <w:rPr>
                <w:rFonts w:ascii="Times New Roman" w:hAnsi="Times New Roman"/>
                <w:caps/>
                <w:color w:val="000000"/>
                <w:sz w:val="22"/>
              </w:rPr>
              <w:t>81</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9 – SECURITY AGREEMENT</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81</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9.1</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Generally</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81</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9.2</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Representations and Warranties and Covenants Relating to Collateral.</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81</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10 - EVENTS OF DEFAULT</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85</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10.1</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Events of Default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85</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10.2</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Acceleration and Suspension or Termination of Revolving Loan Commitment and Term Loan Commitment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87</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10.3</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UCC Remedies.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88</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10.4</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Protective Payments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89</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10.5</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Default Rate of Interest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90</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10.6</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Setoff Rights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90</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10.7</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Application of Proceeds.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90</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10.8</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Waivers.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91</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10.9</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Injunctive Relief</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93</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10.10</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Marshalling; Payments Set Aside</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93</w:t>
            </w:r>
          </w:p>
        </w:tc>
      </w:tr>
      <w:tr>
        <w:trPr/>
        <w:tc>
          <w:tcPr>
            <w:tcW w:w="729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11 - AGENT</w:t>
            </w:r>
          </w:p>
        </w:tc>
        <w:tc>
          <w:tcPr>
            <w:tcW w:w="291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93</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Appointment and Authorization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93</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11.2</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Agents and Affiliates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94</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11.3</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Action by Agent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94</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11.4</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Consultation with Experts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94</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11.5</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Liability of Agent</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94</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11.6</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Indemnification</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94</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11.7</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Right to Request and Act on Instructions</w:t>
            </w:r>
          </w:p>
        </w:tc>
        <w:tc>
          <w:tcPr>
            <w:tcW w:w="291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95</w:t>
            </w:r>
          </w:p>
        </w:tc>
      </w:tr>
      <w:tr>
        <w:trPr/>
        <w:tc>
          <w:tcPr>
            <w:tcW w:w="3497"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11.8</w:t>
            </w:r>
          </w:p>
        </w:tc>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Credit Decision</w:t>
            </w:r>
          </w:p>
        </w:tc>
        <w:tc>
          <w:tcPr>
            <w:tcW w:w="2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22"/>
        <w:gridCol w:w="3651"/>
        <w:gridCol w:w="3032"/>
      </w:tblGrid>
      <w:tr>
        <w:trPr/>
        <w:tc>
          <w:tcPr>
            <w:tcW w:w="3522" w:type="dxa"/>
            <w:tcBorders/>
            <w:vAlign w:val="center"/>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11.9</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Collateral Matters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11.10</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Agency for Perfection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11.11</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Notice of Default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96</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11.12</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Assignment by Agent; Resignation of Agent; Successor Agent.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96</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11.13</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 and Sharing of Payment.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11.14</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Right to Perform, Preserve and Protect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11.15</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Additional Titled Agents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99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11.16</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Amendments and Waivers.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100</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11.17</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Assignments and Participations.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101</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11.18</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Funding and Settlement Provisions Applicable When Non-Funding Lenders Exist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103</w:t>
            </w:r>
          </w:p>
        </w:tc>
      </w:tr>
      <w:tr>
        <w:trPr/>
        <w:tc>
          <w:tcPr>
            <w:tcW w:w="717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12 – Guaranty</w:t>
            </w:r>
          </w:p>
        </w:tc>
        <w:tc>
          <w:tcPr>
            <w:tcW w:w="303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104</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12.1</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Guaranty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104</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12.2</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Payment of Amounts Owed</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104</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12.3</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Certain Waivers by Guarantor</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12.4</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Guarantor’s Obligations Not Affected by Modifications of Financing Documents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12.5</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Reinstatement; Deficiency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12.6</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Subordination of Borrowers’ Obligations to Guarantors; Claims in Bankruptcy.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12.7</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Maximum Liability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108</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12.8</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Guarantor’s Investigation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108</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12.9</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Termination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108</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12.10</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Representative</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12.11</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Guarantor Acknowledgement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2"/>
              </w:rPr>
            </w:pPr>
            <w:r>
              <w:rPr>
                <w:rFonts w:ascii="Times New Roman" w:hAnsi="Times New Roman"/>
                <w:color w:val="000000"/>
                <w:sz w:val="22"/>
              </w:rPr>
              <w:t>109</w:t>
            </w:r>
          </w:p>
        </w:tc>
      </w:tr>
      <w:tr>
        <w:trPr/>
        <w:tc>
          <w:tcPr>
            <w:tcW w:w="717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aps/>
                <w:color w:val="0000FF"/>
                <w:sz w:val="24"/>
              </w:rPr>
            </w:pPr>
            <w:r>
              <w:rPr>
                <w:rFonts w:ascii="Times New Roman" w:hAnsi="Times New Roman"/>
                <w:caps/>
                <w:color w:val="0000FF"/>
                <w:sz w:val="24"/>
              </w:rPr>
              <w:t>Article 13 - MISCELLANEOUS</w:t>
            </w:r>
          </w:p>
        </w:tc>
        <w:tc>
          <w:tcPr>
            <w:tcW w:w="3032" w:type="dxa"/>
            <w:tcBorders/>
            <w:shd w:fill="FFFFFF" w:val="clear"/>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aps/>
                <w:color w:val="000000"/>
                <w:sz w:val="22"/>
              </w:rPr>
            </w:pPr>
            <w:r>
              <w:rPr>
                <w:rFonts w:ascii="Times New Roman" w:hAnsi="Times New Roman"/>
                <w:caps/>
                <w:color w:val="000000"/>
                <w:sz w:val="22"/>
              </w:rPr>
              <w:t>109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Survival</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13.2</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 Waivers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109</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13.3</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Notices.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110</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13.4</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Severability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111</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13.5</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Headings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111</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13.6</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Confidentiality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111</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13.7</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Waiver of Consequential and Other Damages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112</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13.8</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GOVERNING LAW; SUBMISSION TO JURISDICTION.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112</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13.9</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FF"/>
                <w:sz w:val="24"/>
              </w:rPr>
            </w:pPr>
            <w:r>
              <w:rPr>
                <w:rFonts w:ascii="Times New Roman" w:hAnsi="Times New Roman"/>
                <w:b/>
                <w:color w:val="0000FF"/>
                <w:sz w:val="24"/>
              </w:rPr>
              <w:t>WAIVER OF JURY TRIAL</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113</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13.10</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Publication; Advertisement.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114</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13.11</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Counterparts; Integration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114</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13.12</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No Strict Construction</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13.13</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Lender Approvals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13.14</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Expenses; Indemnity</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115</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13.15</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FF"/>
                <w:sz w:val="24"/>
              </w:rPr>
            </w:pPr>
            <w:r>
              <w:rPr>
                <w:rFonts w:ascii="Times New Roman" w:hAnsi="Times New Roman"/>
                <w:caps/>
                <w:color w:val="0000FF"/>
                <w:sz w:val="24"/>
              </w:rPr>
              <w:t>reserved</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13.16</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Reinstatement</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13.17</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Successors and Assigns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117</w:t>
            </w:r>
          </w:p>
        </w:tc>
      </w:tr>
      <w:tr>
        <w:trPr/>
        <w:tc>
          <w:tcPr>
            <w:tcW w:w="352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13.18</w:t>
            </w:r>
          </w:p>
        </w:tc>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USA PATRIOT Act Notification</w:t>
            </w:r>
          </w:p>
        </w:tc>
        <w:tc>
          <w:tcPr>
            <w:tcW w:w="3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39"/>
        <w:gridCol w:w="3634"/>
        <w:gridCol w:w="3032"/>
      </w:tblGrid>
      <w:tr>
        <w:trPr/>
        <w:tc>
          <w:tcPr>
            <w:tcW w:w="3539" w:type="dxa"/>
            <w:tcBorders/>
            <w:vAlign w:val="center"/>
          </w:tcPr>
          <w:p>
            <w:pPr>
              <w:pStyle w:val="TableContents"/>
              <w:bidi w:val="0"/>
              <w:spacing w:before="0" w:after="283"/>
              <w:jc w:val="left"/>
              <w:rPr>
                <w:sz w:val="4"/>
                <w:szCs w:val="4"/>
              </w:rPr>
            </w:pPr>
            <w:r>
              <w:rPr>
                <w:sz w:val="4"/>
                <w:szCs w:val="4"/>
              </w:rPr>
            </w:r>
          </w:p>
        </w:tc>
        <w:tc>
          <w:tcPr>
            <w:tcW w:w="3634"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13.19</w:t>
            </w:r>
          </w:p>
        </w:tc>
        <w:tc>
          <w:tcPr>
            <w:tcW w:w="3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Acknowledgement and Consent to Bail-In of Affected Financial Institutions</w:t>
            </w:r>
          </w:p>
        </w:tc>
        <w:tc>
          <w:tcPr>
            <w:tcW w:w="3032"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2"/>
              </w:rPr>
            </w:pPr>
            <w:r>
              <w:rPr>
                <w:rFonts w:ascii="Times New Roman" w:hAnsi="Times New Roman"/>
                <w:color w:val="000000"/>
                <w:sz w:val="22"/>
              </w:rPr>
              <w:t>117</w:t>
            </w:r>
          </w:p>
        </w:tc>
      </w:tr>
      <w:tr>
        <w:trPr/>
        <w:tc>
          <w:tcPr>
            <w:tcW w:w="3539" w:type="dxa"/>
            <w:tcBorders/>
            <w:shd w:fill="FFFFFF" w:val="clear"/>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FF"/>
                <w:sz w:val="24"/>
              </w:rPr>
            </w:pPr>
            <w:r>
              <w:rPr>
                <w:rFonts w:ascii="Times New Roman" w:hAnsi="Times New Roman"/>
                <w:color w:val="0000FF"/>
                <w:sz w:val="24"/>
              </w:rPr>
              <w:t>Section 13.20</w:t>
            </w:r>
          </w:p>
        </w:tc>
        <w:tc>
          <w:tcPr>
            <w:tcW w:w="3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4"/>
              </w:rPr>
            </w:pPr>
            <w:r>
              <w:rPr>
                <w:rFonts w:ascii="Times New Roman" w:hAnsi="Times New Roman"/>
                <w:color w:val="0000FF"/>
                <w:sz w:val="24"/>
              </w:rPr>
              <w:t>Erroneous Payments.</w:t>
            </w:r>
          </w:p>
        </w:tc>
        <w:tc>
          <w:tcPr>
            <w:tcW w:w="30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CREDIT, SECURITY AND GUARANTY AGREEMENT</w:t>
      </w:r>
    </w:p>
    <w:p>
      <w:pPr>
        <w:pStyle w:val="TextBody"/>
        <w:bidi w:val="0"/>
        <w:spacing w:before="0" w:after="240"/>
        <w:jc w:val="both"/>
        <w:rPr>
          <w:rFonts w:ascii="Times New Roman" w:hAnsi="Times New Roman"/>
          <w:sz w:val="20"/>
        </w:rPr>
      </w:pP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b/>
          <w:color w:val="000000"/>
          <w:sz w:val="22"/>
        </w:rPr>
        <w:t>CREDIT, SECURITY AND GUARANTY AGREEMENT</w:t>
      </w:r>
      <w:r>
        <w:rPr>
          <w:rFonts w:ascii="Times New Roman" w:hAnsi="Times New Roman"/>
          <w:color w:val="000000"/>
          <w:sz w:val="20"/>
        </w:rPr>
        <w:t xml:space="preserve"> </w:t>
      </w:r>
      <w:r>
        <w:rPr>
          <w:rFonts w:ascii="Times New Roman" w:hAnsi="Times New Roman"/>
          <w:color w:val="000000"/>
          <w:sz w:val="22"/>
        </w:rPr>
        <w:t>(as the same may be amended, supplemented, restated or otherwise modified from time to time,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xml:space="preserve">) is dated as of August 5, 2026 by and among </w:t>
      </w:r>
      <w:r>
        <w:rPr>
          <w:rFonts w:ascii="Times New Roman" w:hAnsi="Times New Roman"/>
          <w:b/>
          <w:color w:val="000000"/>
          <w:sz w:val="22"/>
        </w:rPr>
        <w:t>CERIBELL, INC.</w:t>
      </w:r>
      <w:r>
        <w:rPr>
          <w:rFonts w:ascii="Times New Roman" w:hAnsi="Times New Roman"/>
          <w:color w:val="000000"/>
          <w:sz w:val="22"/>
        </w:rPr>
        <w:t>, a Delaware corporation (“</w:t>
      </w:r>
      <w:r>
        <w:rPr>
          <w:rFonts w:ascii="Times New Roman" w:hAnsi="Times New Roman"/>
          <w:b/>
          <w:color w:val="000000"/>
          <w:sz w:val="22"/>
        </w:rPr>
        <w:t>CeriBell</w:t>
      </w:r>
      <w:r>
        <w:rPr>
          <w:rFonts w:ascii="Times New Roman" w:hAnsi="Times New Roman"/>
          <w:color w:val="000000"/>
          <w:sz w:val="20"/>
        </w:rPr>
        <w:t>”</w:t>
      </w:r>
      <w:r>
        <w:rPr>
          <w:rFonts w:ascii="Times New Roman" w:hAnsi="Times New Roman"/>
          <w:color w:val="000000"/>
          <w:sz w:val="22"/>
        </w:rPr>
        <w:t>), and any additional borrower that may hereafter be added to this Agreement and each of their successors and permitted assigns (with CeriBell, each individually as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and collectively, the “</w:t>
      </w:r>
      <w:r>
        <w:rPr>
          <w:rFonts w:ascii="Times New Roman" w:hAnsi="Times New Roman"/>
          <w:b/>
          <w:color w:val="000000"/>
          <w:sz w:val="22"/>
        </w:rPr>
        <w:t>Borrowers</w:t>
      </w:r>
      <w:r>
        <w:rPr>
          <w:rFonts w:ascii="Times New Roman" w:hAnsi="Times New Roman"/>
          <w:color w:val="000000"/>
          <w:sz w:val="20"/>
        </w:rPr>
        <w:t>”</w:t>
      </w:r>
      <w:r>
        <w:rPr>
          <w:rFonts w:ascii="Times New Roman" w:hAnsi="Times New Roman"/>
          <w:color w:val="000000"/>
          <w:sz w:val="22"/>
        </w:rPr>
        <w:t>), any entities that become party hereto as Guarantors and each of their successors and permitted assigns (each individually, a “</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and collectively, with each of their successors and assigns, the “</w:t>
      </w:r>
      <w:r>
        <w:rPr>
          <w:rFonts w:ascii="Times New Roman" w:hAnsi="Times New Roman"/>
          <w:b/>
          <w:color w:val="000000"/>
          <w:sz w:val="22"/>
        </w:rPr>
        <w:t>Guarantors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MIDCAP FUNDING IV TRUST , </w:t>
      </w:r>
      <w:r>
        <w:rPr>
          <w:rFonts w:ascii="Times New Roman" w:hAnsi="Times New Roman"/>
          <w:color w:val="000000"/>
          <w:sz w:val="22"/>
        </w:rPr>
        <w:t xml:space="preserve">as Agent </w:t>
      </w:r>
      <w:r>
        <w:rPr>
          <w:rFonts w:ascii="Times New Roman" w:hAnsi="Times New Roman"/>
          <w:b/>
          <w:color w:val="000000"/>
          <w:sz w:val="22"/>
        </w:rPr>
        <w:t>MIDCAP FINANCIAL TRUST</w:t>
      </w:r>
      <w:r>
        <w:rPr>
          <w:rFonts w:ascii="Times New Roman" w:hAnsi="Times New Roman"/>
          <w:color w:val="000000"/>
          <w:sz w:val="22"/>
        </w:rPr>
        <w:t>, as Term Loan Servicer, and the financial institutions or other entities from time to time parties hereto, each as a Lender.</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RECITALS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Credit Parties have requested that Lenders make available to Borrowers the financing facilities as described herein. Lenders are willing to extend such credit to Borrowers under the terms and conditions herein set forth.</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AGREEMENT</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the agreements, provisions and covenants herein contained, Credit Parties, Lenders, Agent and Term Loan Servicer agree as follows: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1 - DEFINITIONS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 </w:t>
      </w:r>
      <w:r>
        <w:rPr>
          <w:rFonts w:ascii="Times New Roman" w:hAnsi="Times New Roman"/>
          <w:color w:val="000000"/>
          <w:sz w:val="22"/>
          <w:u w:val="single"/>
        </w:rPr>
        <w:t>Certain Defined Terms</w:t>
      </w:r>
      <w:r>
        <w:rPr>
          <w:rFonts w:ascii="Times New Roman" w:hAnsi="Times New Roman"/>
          <w:color w:val="000000"/>
          <w:sz w:val="22"/>
        </w:rPr>
        <w:t>. The terms below have the following meanings:</w:t>
      </w:r>
    </w:p>
    <w:p>
      <w:pPr>
        <w:pStyle w:val="TextBody"/>
        <w:bidi w:val="0"/>
        <w:spacing w:before="0" w:after="240"/>
        <w:jc w:val="both"/>
        <w:rPr/>
      </w:pPr>
      <w:r>
        <w:rPr>
          <w:color w:val="000000"/>
        </w:rPr>
        <w:t>“</w:t>
      </w:r>
      <w:r>
        <w:rPr>
          <w:rFonts w:ascii="Times New Roman" w:hAnsi="Times New Roman"/>
          <w:b/>
          <w:color w:val="000000"/>
          <w:sz w:val="22"/>
        </w:rPr>
        <w:t>Acceleration Event</w:t>
      </w:r>
      <w:r>
        <w:rPr>
          <w:rFonts w:ascii="Times New Roman" w:hAnsi="Times New Roman"/>
          <w:color w:val="000000"/>
          <w:sz w:val="20"/>
        </w:rPr>
        <w:t xml:space="preserve">” </w:t>
      </w:r>
      <w:r>
        <w:rPr>
          <w:rFonts w:ascii="Times New Roman" w:hAnsi="Times New Roman"/>
          <w:color w:val="000000"/>
          <w:sz w:val="22"/>
        </w:rPr>
        <w:t>means the occurrence of an Event of Default (a) in respect of which Agent has declared all or any portion of the Obligations to be immediately due and payable pursuant to Section 10.2, (b) pursuant to Section 10.1(a), and in respect of which Agent has suspended or terminated the Revolving Loan Commitment or Term Loan Commitment pursuant to Section 10.2, and/or (c) pursuant to either Section 10.1(e) and/or Section 10.1(f).</w:t>
      </w:r>
    </w:p>
    <w:p>
      <w:pPr>
        <w:pStyle w:val="TextBody"/>
        <w:bidi w:val="0"/>
        <w:spacing w:before="0" w:after="240"/>
        <w:jc w:val="both"/>
        <w:rPr/>
      </w:pPr>
      <w:r>
        <w:rPr>
          <w:color w:val="000000"/>
        </w:rPr>
        <w:t>“</w:t>
      </w:r>
      <w:r>
        <w:rPr>
          <w:rFonts w:ascii="Times New Roman" w:hAnsi="Times New Roman"/>
          <w:b/>
          <w:color w:val="000000"/>
          <w:sz w:val="22"/>
        </w:rPr>
        <w:t>Account Debtor</w:t>
      </w:r>
      <w:r>
        <w:rPr>
          <w:rFonts w:ascii="Times New Roman" w:hAnsi="Times New Roman"/>
          <w:color w:val="000000"/>
          <w:sz w:val="20"/>
        </w:rPr>
        <w:t xml:space="preserve">” </w:t>
      </w:r>
      <w:r>
        <w:rPr>
          <w:rFonts w:ascii="Times New Roman" w:hAnsi="Times New Roman"/>
          <w:color w:val="000000"/>
          <w:sz w:val="22"/>
        </w:rPr>
        <w:t>means “account debtor”, as defined in Article 9 of the UCC, and any other obligor in respect of an Account.</w:t>
      </w:r>
    </w:p>
    <w:p>
      <w:pPr>
        <w:pStyle w:val="TextBody"/>
        <w:bidi w:val="0"/>
        <w:spacing w:before="0" w:after="240"/>
        <w:jc w:val="both"/>
        <w:rPr/>
      </w:pPr>
      <w:r>
        <w:rPr>
          <w:color w:val="000000"/>
        </w:rPr>
        <w:t>“</w:t>
      </w:r>
      <w:r>
        <w:rPr>
          <w:rFonts w:ascii="Times New Roman" w:hAnsi="Times New Roman"/>
          <w:b/>
          <w:color w:val="000000"/>
          <w:sz w:val="22"/>
        </w:rPr>
        <w:t>Accounts</w:t>
      </w:r>
      <w:r>
        <w:rPr>
          <w:rFonts w:ascii="Times New Roman" w:hAnsi="Times New Roman"/>
          <w:color w:val="000000"/>
          <w:sz w:val="20"/>
        </w:rPr>
        <w:t xml:space="preserve">” </w:t>
      </w:r>
      <w:r>
        <w:rPr>
          <w:rFonts w:ascii="Times New Roman" w:hAnsi="Times New Roman"/>
          <w:color w:val="000000"/>
          <w:sz w:val="22"/>
        </w:rPr>
        <w:t>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and (d) all Proceeds of any of the foregoing.</w:t>
      </w:r>
    </w:p>
    <w:p>
      <w:pPr>
        <w:pStyle w:val="TextBody"/>
        <w:bidi w:val="0"/>
        <w:spacing w:before="0" w:after="240"/>
        <w:jc w:val="both"/>
        <w:rPr/>
      </w:pPr>
      <w:r>
        <w:rPr>
          <w:color w:val="000000"/>
        </w:rPr>
        <w:t>“</w:t>
      </w:r>
      <w:r>
        <w:rPr>
          <w:rFonts w:ascii="Times New Roman" w:hAnsi="Times New Roman"/>
          <w:b/>
          <w:color w:val="000000"/>
          <w:sz w:val="22"/>
        </w:rPr>
        <w:t>Acquisition</w:t>
      </w:r>
      <w:r>
        <w:rPr>
          <w:rFonts w:ascii="Times New Roman" w:hAnsi="Times New Roman"/>
          <w:color w:val="000000"/>
          <w:sz w:val="20"/>
        </w:rPr>
        <w:t xml:space="preserve">” </w:t>
      </w:r>
      <w:r>
        <w:rPr>
          <w:rFonts w:ascii="Times New Roman" w:hAnsi="Times New Roman"/>
          <w:color w:val="000000"/>
          <w:sz w:val="22"/>
        </w:rPr>
        <w:t>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fifty percent (50%) or more of the Equity Interests of any Person, whether or not involving a merger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consolidation with such other Person, or otherwise causing any Person to become a Subsidiary of a Credit Party, (c) any merger or consolidation or any other combination with another Person or (d) the acquisition (including through licensing) of any Product, Product line or Intellectual Property of or from any other Person (but in each case excluding in-bound licenses of, and purchases of, over-the-counter and other software that is commercially available to the public and open source licenses in the Ordinary Course of Business) or any assets constituting a business unit, line of business or division of such other Person.</w:t>
      </w:r>
    </w:p>
    <w:p>
      <w:pPr>
        <w:pStyle w:val="TextBody"/>
        <w:bidi w:val="0"/>
        <w:spacing w:before="0" w:after="240"/>
        <w:jc w:val="both"/>
        <w:rPr/>
      </w:pPr>
      <w:r>
        <w:rPr>
          <w:color w:val="000000"/>
        </w:rPr>
        <w:t>“</w:t>
      </w:r>
      <w:r>
        <w:rPr>
          <w:rFonts w:ascii="Times New Roman" w:hAnsi="Times New Roman"/>
          <w:b/>
          <w:color w:val="000000"/>
          <w:sz w:val="22"/>
        </w:rPr>
        <w:t>Additional Titled Agents</w:t>
      </w:r>
      <w:r>
        <w:rPr>
          <w:rFonts w:ascii="Times New Roman" w:hAnsi="Times New Roman"/>
          <w:color w:val="000000"/>
          <w:sz w:val="20"/>
        </w:rPr>
        <w:t xml:space="preserve">” </w:t>
      </w:r>
      <w:r>
        <w:rPr>
          <w:rFonts w:ascii="Times New Roman" w:hAnsi="Times New Roman"/>
          <w:color w:val="000000"/>
          <w:sz w:val="22"/>
        </w:rPr>
        <w:t>has the meaning set forth in Section 11.15.</w:t>
      </w:r>
    </w:p>
    <w:p>
      <w:pPr>
        <w:pStyle w:val="TextBody"/>
        <w:bidi w:val="0"/>
        <w:spacing w:before="0" w:after="240"/>
        <w:jc w:val="both"/>
        <w:rPr/>
      </w:pPr>
      <w:r>
        <w:rPr>
          <w:color w:val="000000"/>
        </w:rPr>
        <w:t>“</w:t>
      </w:r>
      <w:r>
        <w:rPr>
          <w:rFonts w:ascii="Times New Roman" w:hAnsi="Times New Roman"/>
          <w:b/>
          <w:color w:val="000000"/>
          <w:sz w:val="22"/>
        </w:rPr>
        <w:t>Additional Tranche</w:t>
      </w:r>
      <w:r>
        <w:rPr>
          <w:rFonts w:ascii="Times New Roman" w:hAnsi="Times New Roman"/>
          <w:color w:val="000000"/>
          <w:sz w:val="20"/>
        </w:rPr>
        <w:t xml:space="preserve">” </w:t>
      </w:r>
      <w:r>
        <w:rPr>
          <w:rFonts w:ascii="Times New Roman" w:hAnsi="Times New Roman"/>
          <w:color w:val="000000"/>
          <w:sz w:val="22"/>
        </w:rPr>
        <w:t>means an additional amount of Revolving Loan Commitment equal to $10,000,000 (it being acknowledged that up to two Additional Tranches are permitted pursuant to Section 2.1(c) in minimum amounts of $5,000,000</w:t>
      </w:r>
      <w:r>
        <w:rPr>
          <w:rFonts w:ascii="Times New Roman" w:hAnsi="Times New Roman"/>
          <w:color w:val="000000"/>
          <w:sz w:val="20"/>
        </w:rPr>
        <w:t xml:space="preserve"> </w:t>
      </w:r>
      <w:r>
        <w:rPr>
          <w:rFonts w:ascii="Times New Roman" w:hAnsi="Times New Roman"/>
          <w:color w:val="000000"/>
          <w:sz w:val="22"/>
        </w:rPr>
        <w:t>each, up to, in the aggregate, the amount of the Additional Tranche).</w:t>
      </w:r>
    </w:p>
    <w:p>
      <w:pPr>
        <w:pStyle w:val="TextBody"/>
        <w:bidi w:val="0"/>
        <w:spacing w:before="0" w:after="240"/>
        <w:jc w:val="both"/>
        <w:rPr/>
      </w:pPr>
      <w:r>
        <w:rPr>
          <w:color w:val="000000"/>
        </w:rPr>
        <w:t>“</w:t>
      </w:r>
      <w:r>
        <w:rPr>
          <w:rFonts w:ascii="Times New Roman" w:hAnsi="Times New Roman"/>
          <w:b/>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Affected Lenders”</w:t>
      </w:r>
      <w:r>
        <w:rPr>
          <w:rFonts w:ascii="Times New Roman" w:hAnsi="Times New Roman"/>
          <w:color w:val="000000"/>
          <w:sz w:val="20"/>
        </w:rPr>
        <w:t xml:space="preserve"> </w:t>
      </w:r>
      <w:r>
        <w:rPr>
          <w:rFonts w:ascii="Times New Roman" w:hAnsi="Times New Roman"/>
          <w:color w:val="000000"/>
          <w:sz w:val="22"/>
        </w:rPr>
        <w:t>has the meaning set forth in Section 11.17(c).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As used in this definition, the term “control” of a Person means the possession, directly or indirectly, of the power to vote twenty percent (20%) or more of any class of voting securities of such Person or to direct or cause the direction of the management or policies of a Person, whether through the ownership of voting securities, by contract or otherwise.</w:t>
      </w:r>
    </w:p>
    <w:p>
      <w:pPr>
        <w:pStyle w:val="TextBody"/>
        <w:bidi w:val="0"/>
        <w:spacing w:before="0" w:after="240"/>
        <w:jc w:val="both"/>
        <w:rPr/>
      </w:pPr>
      <w:r>
        <w:rPr>
          <w:color w:val="000000"/>
        </w:rPr>
        <w:t>“</w:t>
      </w:r>
      <w:r>
        <w:rPr>
          <w:rFonts w:ascii="Times New Roman" w:hAnsi="Times New Roman"/>
          <w:b/>
          <w:color w:val="000000"/>
          <w:sz w:val="22"/>
        </w:rPr>
        <w:t>Agent</w:t>
      </w:r>
      <w:r>
        <w:rPr>
          <w:rFonts w:ascii="Times New Roman" w:hAnsi="Times New Roman"/>
          <w:color w:val="000000"/>
          <w:sz w:val="20"/>
        </w:rPr>
        <w:t xml:space="preserve">” </w:t>
      </w:r>
      <w:r>
        <w:rPr>
          <w:rFonts w:ascii="Times New Roman" w:hAnsi="Times New Roman"/>
          <w:color w:val="000000"/>
          <w:sz w:val="22"/>
        </w:rPr>
        <w:t>means MidCap Funding IV Trust , in its capacity as administrative agent for itself and for Lenders hereunder, as such capacity is established in, and subject to the provisions of, Article 11, and the successors and assigns of MidCap Funding IV Trust in such capacity.</w:t>
      </w:r>
    </w:p>
    <w:p>
      <w:pPr>
        <w:pStyle w:val="TextBody"/>
        <w:bidi w:val="0"/>
        <w:spacing w:before="0" w:after="240"/>
        <w:jc w:val="both"/>
        <w:rPr/>
      </w:pPr>
      <w:r>
        <w:rPr>
          <w:color w:val="000000"/>
        </w:rPr>
        <w:t>“</w:t>
      </w:r>
      <w:r>
        <w:rPr>
          <w:rFonts w:ascii="Times New Roman" w:hAnsi="Times New Roman"/>
          <w:b/>
          <w:color w:val="000000"/>
          <w:sz w:val="22"/>
        </w:rPr>
        <w:t>Anti-Terrorism Laws</w:t>
      </w:r>
      <w:r>
        <w:rPr>
          <w:rFonts w:ascii="Times New Roman" w:hAnsi="Times New Roman"/>
          <w:color w:val="000000"/>
          <w:sz w:val="20"/>
        </w:rPr>
        <w:t xml:space="preserve">” </w:t>
      </w:r>
      <w:r>
        <w:rPr>
          <w:rFonts w:ascii="Times New Roman" w:hAnsi="Times New Roman"/>
          <w:color w:val="000000"/>
          <w:sz w:val="22"/>
        </w:rPr>
        <w:t>means any Laws relating to terrorism or money laundering, including, without limitation, Executive Order No. 13224 (effective September 24, 2001), the USA PATRIOT Act, the Laws comprising or implementing the Bank Secrecy Act, and the Laws or general or specific licenses</w:t>
      </w:r>
      <w:r>
        <w:rPr>
          <w:rFonts w:ascii="Times New Roman" w:hAnsi="Times New Roman"/>
          <w:color w:val="000000"/>
          <w:sz w:val="20"/>
          <w:u w:val="single"/>
        </w:rPr>
        <w:t xml:space="preserve"> </w:t>
      </w:r>
      <w:r>
        <w:rPr>
          <w:rFonts w:ascii="Times New Roman" w:hAnsi="Times New Roman"/>
          <w:color w:val="000000"/>
          <w:sz w:val="22"/>
        </w:rPr>
        <w:t>administered by OFAC.</w:t>
      </w:r>
    </w:p>
    <w:p>
      <w:pPr>
        <w:pStyle w:val="TextBody"/>
        <w:bidi w:val="0"/>
        <w:spacing w:before="0" w:after="240"/>
        <w:jc w:val="both"/>
        <w:rPr/>
      </w:pPr>
      <w:r>
        <w:rPr>
          <w:color w:val="000000"/>
        </w:rPr>
        <w:t>“</w:t>
      </w:r>
      <w:r>
        <w:rPr>
          <w:rFonts w:ascii="Times New Roman" w:hAnsi="Times New Roman"/>
          <w:b/>
          <w:color w:val="000000"/>
          <w:sz w:val="22"/>
        </w:rPr>
        <w:t>Applicable Margin</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with respect to Revolving Loans, three and seventy-five hundredths percent (3.75%)</w:t>
      </w:r>
      <w:r>
        <w:rPr>
          <w:rFonts w:ascii="Times New Roman" w:hAnsi="Times New Roman"/>
          <w:color w:val="000000"/>
          <w:sz w:val="20"/>
        </w:rPr>
        <w:t xml:space="preserve"> </w:t>
      </w:r>
      <w:r>
        <w:rPr>
          <w:rFonts w:ascii="Times New Roman" w:hAnsi="Times New Roman"/>
          <w:color w:val="000000"/>
          <w:sz w:val="22"/>
        </w:rPr>
        <w:t>and (b) with respect to Term Loans and all other Obligations,</w:t>
      </w:r>
      <w:r>
        <w:rPr>
          <w:rFonts w:ascii="Times New Roman" w:hAnsi="Times New Roman"/>
          <w:color w:val="000000"/>
          <w:sz w:val="20"/>
        </w:rPr>
        <w:t xml:space="preserve"> </w:t>
      </w:r>
      <w:r>
        <w:rPr>
          <w:rFonts w:ascii="Times New Roman" w:hAnsi="Times New Roman"/>
          <w:color w:val="000000"/>
          <w:sz w:val="22"/>
        </w:rPr>
        <w:t>five percent (5.00%).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Approved Fund</w:t>
      </w:r>
      <w:r>
        <w:rPr>
          <w:rFonts w:ascii="Times New Roman" w:hAnsi="Times New Roman"/>
          <w:color w:val="000000"/>
          <w:sz w:val="20"/>
        </w:rPr>
        <w:t xml:space="preserve">” </w:t>
      </w:r>
      <w:r>
        <w:rPr>
          <w:rFonts w:ascii="Times New Roman" w:hAnsi="Times New Roman"/>
          <w:color w:val="000000"/>
          <w:sz w:val="22"/>
        </w:rPr>
        <w:t>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pStyle w:val="TextBody"/>
        <w:bidi w:val="0"/>
        <w:spacing w:before="0" w:after="240"/>
        <w:jc w:val="both"/>
        <w:rPr/>
      </w:pPr>
      <w:r>
        <w:rPr>
          <w:color w:val="000000"/>
        </w:rPr>
        <w:t>“</w:t>
      </w:r>
      <w:r>
        <w:rPr>
          <w:rFonts w:ascii="Times New Roman" w:hAnsi="Times New Roman"/>
          <w:b/>
          <w:color w:val="000000"/>
          <w:sz w:val="22"/>
        </w:rPr>
        <w:t>Asset Disposition</w:t>
      </w:r>
      <w:r>
        <w:rPr>
          <w:rFonts w:ascii="Times New Roman" w:hAnsi="Times New Roman"/>
          <w:color w:val="000000"/>
          <w:sz w:val="20"/>
        </w:rPr>
        <w:t xml:space="preserve">” </w:t>
      </w:r>
      <w:r>
        <w:rPr>
          <w:rFonts w:ascii="Times New Roman" w:hAnsi="Times New Roman"/>
          <w:color w:val="000000"/>
          <w:sz w:val="22"/>
        </w:rPr>
        <w:t>means any sale, lease, license, transfer, assignment or other disposition (including by merger, allocation of assets (including allocation of assets to any series of a limited liability company), division, consolidation or amalgamation, but excluding dispositions resulting from any casualty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other damage to, any property or asset) by any Credit Party or any Subsidiary thereof of any asset of such Credit Party or such Subsidiary.</w:t>
      </w:r>
    </w:p>
    <w:p>
      <w:pPr>
        <w:pStyle w:val="TextBody"/>
        <w:bidi w:val="0"/>
        <w:spacing w:before="0" w:after="240"/>
        <w:jc w:val="both"/>
        <w:rPr/>
      </w:pPr>
      <w:r>
        <w:rPr>
          <w:color w:val="000000"/>
        </w:rPr>
        <w:t>“</w:t>
      </w:r>
      <w:r>
        <w:rPr>
          <w:rFonts w:ascii="Times New Roman" w:hAnsi="Times New Roman"/>
          <w:b/>
          <w:color w:val="000000"/>
          <w:sz w:val="22"/>
        </w:rPr>
        <w:t>Assignment Agreement</w:t>
      </w:r>
      <w:r>
        <w:rPr>
          <w:rFonts w:ascii="Times New Roman" w:hAnsi="Times New Roman"/>
          <w:color w:val="000000"/>
          <w:sz w:val="20"/>
        </w:rPr>
        <w:t xml:space="preserve">” </w:t>
      </w:r>
      <w:r>
        <w:rPr>
          <w:rFonts w:ascii="Times New Roman" w:hAnsi="Times New Roman"/>
          <w:color w:val="000000"/>
          <w:sz w:val="22"/>
        </w:rPr>
        <w:t xml:space="preserve">means an assignment agreement in substantially the form attached hereto as </w:t>
      </w:r>
      <w:r>
        <w:rPr>
          <w:rFonts w:ascii="Times New Roman" w:hAnsi="Times New Roman"/>
          <w:color w:val="000000"/>
          <w:sz w:val="22"/>
          <w:u w:val="single"/>
        </w:rPr>
        <w:t>Exhibit G</w:t>
      </w:r>
      <w:r>
        <w:rPr>
          <w:rFonts w:ascii="Times New Roman" w:hAnsi="Times New Roman"/>
          <w:color w:val="000000"/>
          <w:sz w:val="20"/>
        </w:rPr>
        <w:t xml:space="preserve"> </w:t>
      </w:r>
      <w:r>
        <w:rPr>
          <w:rFonts w:ascii="Times New Roman" w:hAnsi="Times New Roman"/>
          <w:color w:val="000000"/>
          <w:sz w:val="22"/>
        </w:rPr>
        <w:t>or such other form that is acceptable to Agent and, as applicable, Borrower Representative.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Available Tenor</w:t>
      </w:r>
      <w:r>
        <w:rPr>
          <w:rFonts w:ascii="Times New Roman" w:hAnsi="Times New Roman"/>
          <w:color w:val="000000"/>
          <w:sz w:val="20"/>
        </w:rPr>
        <w:t xml:space="preserve">” </w:t>
      </w:r>
      <w:r>
        <w:rPr>
          <w:rFonts w:ascii="Times New Roman" w:hAnsi="Times New Roman"/>
          <w:color w:val="000000"/>
          <w:sz w:val="22"/>
        </w:rPr>
        <w:t>means, as of any date of determination with respect to the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or similar term pursuant to Section 2.2(o).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color w:val="000000"/>
          <w:sz w:val="22"/>
        </w:rPr>
        <w:t>Bankruptcy Code</w:t>
      </w:r>
      <w:r>
        <w:rPr>
          <w:rFonts w:ascii="Times New Roman" w:hAnsi="Times New Roman"/>
          <w:color w:val="000000"/>
          <w:sz w:val="20"/>
        </w:rPr>
        <w:t xml:space="preserve">” </w:t>
      </w:r>
      <w:r>
        <w:rPr>
          <w:rFonts w:ascii="Times New Roman" w:hAnsi="Times New Roman"/>
          <w:color w:val="000000"/>
          <w:sz w:val="22"/>
        </w:rPr>
        <w:t>means Title 11 of the United States Code entitled “Bankruptcy”, as the same may be amended, modified or supplemented from time to time, and any successor statute thereto.</w:t>
      </w:r>
    </w:p>
    <w:p>
      <w:pPr>
        <w:pStyle w:val="TextBody"/>
        <w:bidi w:val="0"/>
        <w:spacing w:before="0" w:after="240"/>
        <w:jc w:val="both"/>
        <w:rPr/>
      </w:pPr>
      <w:r>
        <w:rPr>
          <w:color w:val="000000"/>
        </w:rPr>
        <w:t>“</w:t>
      </w:r>
      <w:r>
        <w:rPr>
          <w:rFonts w:ascii="Times New Roman" w:hAnsi="Times New Roman"/>
          <w:b/>
          <w:color w:val="000000"/>
          <w:sz w:val="22"/>
        </w:rPr>
        <w:t>Base Rate</w:t>
      </w:r>
      <w:r>
        <w:rPr>
          <w:rFonts w:ascii="Times New Roman" w:hAnsi="Times New Roman"/>
          <w:color w:val="000000"/>
          <w:sz w:val="20"/>
        </w:rPr>
        <w:t xml:space="preserve">” </w:t>
      </w:r>
      <w:r>
        <w:rPr>
          <w:rFonts w:ascii="Times New Roman" w:hAnsi="Times New Roman"/>
          <w:color w:val="000000"/>
          <w:sz w:val="22"/>
        </w:rPr>
        <w:t>means a per annum rate of interest equal to the greater of (a) the Floor and (b) a per annum rate of interest equal to the rate of interest announced, from time to time, within Wells Fargo Bank, National Association (“</w:t>
      </w:r>
      <w:r>
        <w:rPr>
          <w:rFonts w:ascii="Times New Roman" w:hAnsi="Times New Roman"/>
          <w:b/>
          <w:color w:val="000000"/>
          <w:sz w:val="22"/>
        </w:rPr>
        <w:t>Wells Fargo</w:t>
      </w:r>
      <w:r>
        <w:rPr>
          <w:rFonts w:ascii="Times New Roman" w:hAnsi="Times New Roman"/>
          <w:color w:val="000000"/>
          <w:sz w:val="20"/>
        </w:rPr>
        <w:t>”</w:t>
      </w:r>
      <w:r>
        <w:rPr>
          <w:rFonts w:ascii="Times New Roman" w:hAnsi="Times New Roman"/>
          <w:color w:val="000000"/>
          <w:sz w:val="22"/>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Agent may, upon prior written notice to Borrower, choose a reasonably comparable index or source to use as the basis for the Base Rate.</w:t>
      </w:r>
    </w:p>
    <w:p>
      <w:pPr>
        <w:pStyle w:val="TextBody"/>
        <w:bidi w:val="0"/>
        <w:spacing w:before="0" w:after="240"/>
        <w:jc w:val="both"/>
        <w:rPr/>
      </w:pPr>
      <w:r>
        <w:rPr>
          <w:color w:val="000000"/>
        </w:rPr>
        <w:t>“</w:t>
      </w:r>
      <w:r>
        <w:rPr>
          <w:rFonts w:ascii="Times New Roman" w:hAnsi="Times New Roman"/>
          <w:b/>
          <w:color w:val="000000"/>
          <w:sz w:val="22"/>
        </w:rPr>
        <w:t>Base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Base Rate.</w:t>
      </w:r>
    </w:p>
    <w:p>
      <w:pPr>
        <w:pStyle w:val="TextBody"/>
        <w:bidi w:val="0"/>
        <w:spacing w:before="0" w:after="240"/>
        <w:jc w:val="both"/>
        <w:rPr/>
      </w:pPr>
      <w:r>
        <w:rPr>
          <w:color w:val="000000"/>
        </w:rPr>
        <w:t>“</w:t>
      </w:r>
      <w:r>
        <w:rPr>
          <w:rFonts w:ascii="Times New Roman" w:hAnsi="Times New Roman"/>
          <w:b/>
          <w:color w:val="000000"/>
          <w:sz w:val="22"/>
        </w:rPr>
        <w:t>Benchmark</w:t>
      </w:r>
      <w:r>
        <w:rPr>
          <w:rFonts w:ascii="Times New Roman" w:hAnsi="Times New Roman"/>
          <w:color w:val="000000"/>
          <w:sz w:val="20"/>
        </w:rPr>
        <w:t xml:space="preserve">” </w:t>
      </w:r>
      <w:r>
        <w:rPr>
          <w:rFonts w:ascii="Times New Roman" w:hAnsi="Times New Roman"/>
          <w:color w:val="000000"/>
          <w:sz w:val="22"/>
        </w:rPr>
        <w:t>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2.2(o).</w:t>
      </w:r>
    </w:p>
    <w:p>
      <w:pPr>
        <w:pStyle w:val="TextBody"/>
        <w:bidi w:val="0"/>
        <w:spacing w:before="0" w:after="240"/>
        <w:jc w:val="both"/>
        <w:rPr/>
      </w:pPr>
      <w:r>
        <w:rPr>
          <w:color w:val="000000"/>
        </w:rPr>
        <w:t>“</w:t>
      </w:r>
      <w:r>
        <w:rPr>
          <w:rFonts w:ascii="Times New Roman" w:hAnsi="Times New Roman"/>
          <w:b/>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means, with respect to any Benchmark Transition Event, the sum of: (a) the alternate benchmark rate that has been selected by Agent (in consultation with Borrower Representative) giving due consideration to (i) any selection or recommendation of a replacement benchmark rate or the mechanism for determining such a rate by the Relevant Governmental Body or (ii)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Financing Documents.</w:t>
      </w:r>
    </w:p>
    <w:p>
      <w:pPr>
        <w:pStyle w:val="TextBody"/>
        <w:bidi w:val="0"/>
        <w:spacing w:before="0" w:after="240"/>
        <w:jc w:val="both"/>
        <w:rPr/>
      </w:pPr>
      <w:r>
        <w:rPr>
          <w:color w:val="000000"/>
        </w:rPr>
        <w:t>“</w:t>
      </w:r>
      <w:r>
        <w:rPr>
          <w:rFonts w:ascii="Times New Roman" w:hAnsi="Times New Roman"/>
          <w:b/>
          <w:color w:val="000000"/>
          <w:sz w:val="22"/>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giving due consideration to any selection or recommendation by the Relevant Governmental Body, or any evolving or then-prevailing market convention at such time, for determining a spread adjustment, or method for calculating or determining such spread adjustment, for such type of replacement for U.S. dollar-denominated syndicated credit facilities at such time.</w:t>
      </w:r>
    </w:p>
    <w:p>
      <w:pPr>
        <w:pStyle w:val="TextBody"/>
        <w:bidi w:val="0"/>
        <w:spacing w:before="0" w:after="240"/>
        <w:jc w:val="both"/>
        <w:rPr/>
      </w:pPr>
      <w:r>
        <w:rPr>
          <w:color w:val="000000"/>
        </w:rPr>
        <w:t>“</w:t>
      </w:r>
      <w:r>
        <w:rPr>
          <w:rFonts w:ascii="Times New Roman" w:hAnsi="Times New Roman"/>
          <w:b/>
          <w:color w:val="000000"/>
          <w:sz w:val="22"/>
        </w:rPr>
        <w:t>Benchmark Replacement Date</w:t>
      </w:r>
      <w:r>
        <w:rPr>
          <w:rFonts w:ascii="Times New Roman" w:hAnsi="Times New Roman"/>
          <w:color w:val="000000"/>
          <w:sz w:val="20"/>
        </w:rPr>
        <w:t xml:space="preserve">” </w:t>
      </w:r>
      <w:r>
        <w:rPr>
          <w:rFonts w:ascii="Times New Roman" w:hAnsi="Times New Roman"/>
          <w:color w:val="000000"/>
          <w:sz w:val="22"/>
        </w:rPr>
        <w:t>means the earlier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2"/>
        </w:rPr>
        <w:t>Benchmark Transition Event</w:t>
      </w:r>
      <w:r>
        <w:rPr>
          <w:rFonts w:ascii="Times New Roman" w:hAnsi="Times New Roman"/>
          <w:color w:val="000000"/>
          <w:sz w:val="20"/>
        </w:rPr>
        <w:t xml:space="preserve">” </w:t>
      </w:r>
      <w:r>
        <w:rPr>
          <w:rFonts w:ascii="Times New Roman" w:hAnsi="Times New Roman"/>
          <w:color w:val="000000"/>
          <w:sz w:val="22"/>
        </w:rPr>
        <w:t>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or resolution authority with jurisdiction over the administrator for such Benchmark (or such component), or a court or an entity with similar insolvency or resolution authority,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2"/>
        </w:rPr>
        <w:t>Benchmark Transition Start Date</w:t>
      </w:r>
      <w:r>
        <w:rPr>
          <w:rFonts w:ascii="Times New Roman" w:hAnsi="Times New Roman"/>
          <w:color w:val="000000"/>
          <w:sz w:val="20"/>
        </w:rPr>
        <w:t xml:space="preserve">” </w:t>
      </w:r>
      <w:r>
        <w:rPr>
          <w:rFonts w:ascii="Times New Roman" w:hAnsi="Times New Roman"/>
          <w:color w:val="000000"/>
          <w:sz w:val="22"/>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Times New Roman" w:hAnsi="Times New Roman"/>
          <w:b/>
          <w:color w:val="000000"/>
          <w:sz w:val="22"/>
        </w:rPr>
        <w:t>Benchmark Unavailability Period</w:t>
      </w:r>
      <w:r>
        <w:rPr>
          <w:rFonts w:ascii="Times New Roman" w:hAnsi="Times New Roman"/>
          <w:color w:val="000000"/>
          <w:sz w:val="20"/>
        </w:rPr>
        <w:t xml:space="preserve">” </w:t>
      </w:r>
      <w:r>
        <w:rPr>
          <w:rFonts w:ascii="Times New Roman" w:hAnsi="Times New Roman"/>
          <w:color w:val="000000"/>
          <w:sz w:val="22"/>
        </w:rPr>
        <w:t>means the period (if any) (a) beginning at the time that a Benchmark Replacement Date pursuant to clauses (a) or (b) of that definition has occurred if, at such time, no Benchmark Replacement has replaced the then-current Benchmark for all purposes hereunder and under any Financing Document in accordance with Section 2.2(o) and (b) ending at the time that a Benchmark Replacement has replaced the then-current Benchmark for all purposes hereunder and under any Financing Document in accordance with Section 2.2(o).</w:t>
      </w:r>
    </w:p>
    <w:p>
      <w:pPr>
        <w:pStyle w:val="TextBody"/>
        <w:bidi w:val="0"/>
        <w:spacing w:before="0" w:after="240"/>
        <w:jc w:val="both"/>
        <w:rPr/>
      </w:pPr>
      <w:r>
        <w:rPr>
          <w:color w:val="000000"/>
        </w:rPr>
        <w:t>“</w:t>
      </w:r>
      <w:r>
        <w:rPr>
          <w:rFonts w:ascii="Times New Roman" w:hAnsi="Times New Roman"/>
          <w:b/>
          <w:color w:val="000000"/>
          <w:sz w:val="22"/>
        </w:rPr>
        <w:t>Blocked Person</w:t>
      </w:r>
      <w:r>
        <w:rPr>
          <w:rFonts w:ascii="Times New Roman" w:hAnsi="Times New Roman"/>
          <w:color w:val="000000"/>
          <w:sz w:val="20"/>
        </w:rPr>
        <w:t xml:space="preserve">” </w:t>
      </w:r>
      <w:r>
        <w:rPr>
          <w:rFonts w:ascii="Times New Roman" w:hAnsi="Times New Roman"/>
          <w:color w:val="000000"/>
          <w:sz w:val="22"/>
        </w:rPr>
        <w:t>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(e) that is named a “specially designated national” or “blocked person” on the most current list published by OFAC or other similar sanctions list or is named as a “listed person” or “listed entity” on other lists made under any Anti-Terrorism Law, or (f) any Person resident in, organized under the laws of or incorporated in a Sanctioned Country.</w:t>
      </w:r>
    </w:p>
    <w:p>
      <w:pPr>
        <w:pStyle w:val="TextBody"/>
        <w:bidi w:val="0"/>
        <w:spacing w:before="0" w:after="240"/>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has the meaning set forth in the introductory paragraph 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Borrower Representative</w:t>
      </w:r>
      <w:r>
        <w:rPr>
          <w:rFonts w:ascii="Times New Roman" w:hAnsi="Times New Roman"/>
          <w:color w:val="000000"/>
          <w:sz w:val="20"/>
        </w:rPr>
        <w:t xml:space="preserve">” </w:t>
      </w:r>
      <w:r>
        <w:rPr>
          <w:rFonts w:ascii="Times New Roman" w:hAnsi="Times New Roman"/>
          <w:color w:val="000000"/>
          <w:sz w:val="22"/>
        </w:rPr>
        <w:t>means CeriBell, in its capacity as Borrower Representative pursuant to the provisions of Section 2.9, or any successor Borrower Representative selected by Borrowers and approved by Agent.</w:t>
      </w:r>
    </w:p>
    <w:p>
      <w:pPr>
        <w:pStyle w:val="TextBody"/>
        <w:bidi w:val="0"/>
        <w:spacing w:before="0" w:after="240"/>
        <w:jc w:val="both"/>
        <w:rPr/>
      </w:pPr>
      <w:r>
        <w:rPr>
          <w:color w:val="000000"/>
        </w:rPr>
        <w:t>“</w:t>
      </w:r>
      <w:r>
        <w:rPr>
          <w:rFonts w:ascii="Times New Roman" w:hAnsi="Times New Roman"/>
          <w:b/>
          <w:color w:val="000000"/>
          <w:sz w:val="22"/>
        </w:rPr>
        <w:t>Borrowing Base</w:t>
      </w:r>
      <w:r>
        <w:rPr>
          <w:rFonts w:ascii="Times New Roman" w:hAnsi="Times New Roman"/>
          <w:color w:val="000000"/>
          <w:sz w:val="20"/>
        </w:rPr>
        <w:t xml:space="preserve">” </w:t>
      </w:r>
      <w:r>
        <w:rPr>
          <w:rFonts w:ascii="Times New Roman" w:hAnsi="Times New Roman"/>
          <w:color w:val="000000"/>
          <w:sz w:val="22"/>
        </w:rPr>
        <w:t>means, the sum 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product of (i) eighty-five percent (85%)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 xml:space="preserve">(ii) the aggregate net amount at such time of the Eligible Accounts; </w:t>
      </w:r>
      <w:r>
        <w:rPr>
          <w:rFonts w:ascii="Times New Roman" w:hAnsi="Times New Roman"/>
          <w:i/>
          <w:color w:val="000000"/>
          <w:sz w:val="22"/>
        </w:rPr>
        <w:t>plus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product of forty percent (40%) </w:t>
      </w:r>
      <w:r>
        <w:rPr>
          <w:rFonts w:ascii="Times New Roman" w:hAnsi="Times New Roman"/>
          <w:i/>
          <w:color w:val="000000"/>
          <w:sz w:val="22"/>
        </w:rPr>
        <w:t>multiplied</w:t>
      </w:r>
      <w:r>
        <w:rPr>
          <w:rFonts w:ascii="Times New Roman" w:hAnsi="Times New Roman"/>
          <w:color w:val="000000"/>
          <w:sz w:val="20"/>
        </w:rPr>
        <w:t xml:space="preserve"> </w:t>
      </w:r>
      <w:r>
        <w:rPr>
          <w:rFonts w:ascii="Times New Roman" w:hAnsi="Times New Roman"/>
          <w:color w:val="000000"/>
          <w:sz w:val="22"/>
        </w:rPr>
        <w:t xml:space="preserve">by the value of Eligible Inventory, valued in accordance with GAAP, and after factoring in all rebates, discounts and other incentives or rewards associated with the purchase of the applicable Inventory; </w:t>
      </w:r>
      <w:r>
        <w:rPr>
          <w:rFonts w:ascii="Times New Roman" w:hAnsi="Times New Roman"/>
          <w:i/>
          <w:color w:val="000000"/>
          <w:sz w:val="22"/>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amount of any reserves and/or other adjustments provided for in this Agreement;</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that the Borrowing Base shall automatically be adjusted down, if necessary, such that the aggregate availability from Eligible Inventory in the Borrowing Base shall never exceed an amount equal to twenty five percent (25%) of the Revolving Loan Limit, as of any date of determination.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on the Closing Date through the Deemed Borrowing Base Termination Date, if, as of any applicable date of determination, the Borrowing Base is less than $20,000,000,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shall adjust the Borrowing Base such that it is equal to $20,000,000 (the “</w:t>
      </w:r>
      <w:r>
        <w:rPr>
          <w:rFonts w:ascii="Times New Roman" w:hAnsi="Times New Roman"/>
          <w:b/>
          <w:color w:val="000000"/>
          <w:sz w:val="22"/>
        </w:rPr>
        <w:t>Deemed Borrowing Base</w:t>
      </w:r>
      <w:r>
        <w:rPr>
          <w:rFonts w:ascii="Times New Roman" w:hAnsi="Times New Roman"/>
          <w:color w:val="000000"/>
          <w:sz w:val="20"/>
        </w:rPr>
        <w:t>”</w:t>
      </w:r>
      <w:r>
        <w:rPr>
          <w:rFonts w:ascii="Times New Roman" w:hAnsi="Times New Roman"/>
          <w:color w:val="000000"/>
          <w:sz w:val="22"/>
        </w:rPr>
        <w:t xml:space="preserve">); and, prior to the Deemed Borrowing Base Termination Date, Agent shall not impose or increase any reserve, change any eligibility criteria, or otherwise take any action (other than upon the Termination Date or pursuant to Section 10.2) that would reduce the Deemed Borrowing Base or maximum amount available to be borrowed under the Revolving Loans below the Deemed Borrowing Base;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on and after the Deemed Borrowing Base Termination Date, the Borrowing Base shall equal the amount determined by the Administrative Agent based on the most recent Borrowing Base Certificate delivered to Agent in accordance with this Agreement (absent manifest error) and such other information as may be available to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Borrowing Base Certificate</w:t>
      </w:r>
      <w:r>
        <w:rPr>
          <w:rFonts w:ascii="Times New Roman" w:hAnsi="Times New Roman"/>
          <w:color w:val="000000"/>
          <w:sz w:val="20"/>
        </w:rPr>
        <w:t xml:space="preserve">” </w:t>
      </w:r>
      <w:r>
        <w:rPr>
          <w:rFonts w:ascii="Times New Roman" w:hAnsi="Times New Roman"/>
          <w:color w:val="000000"/>
          <w:sz w:val="22"/>
        </w:rPr>
        <w:t xml:space="preserve">means a certificate, duly executed by a Responsible Officer of Borrower Representative, appropriately completed and substantially in the form of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hereto.</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 xml:space="preserve">means any day except a Saturday, Sunday or other day on which either the New York Stock Exchange is closed, or on which commercial banks in Washington, DC and New York City are authorized by Law to close;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when used in the context of a SOFR Loan, the term “Business Day” shall also exclude any day that is not also a SOFR Business Day.</w:t>
      </w:r>
    </w:p>
    <w:p>
      <w:pPr>
        <w:pStyle w:val="TextBody"/>
        <w:bidi w:val="0"/>
        <w:spacing w:before="0" w:after="240"/>
        <w:jc w:val="both"/>
        <w:rPr/>
      </w:pPr>
      <w:r>
        <w:rPr>
          <w:color w:val="000000"/>
        </w:rPr>
        <w:t>“</w:t>
      </w:r>
      <w:r>
        <w:rPr>
          <w:rFonts w:ascii="Times New Roman" w:hAnsi="Times New Roman"/>
          <w:b/>
          <w:color w:val="000000"/>
          <w:sz w:val="22"/>
        </w:rPr>
        <w:t>Capital</w:t>
      </w:r>
      <w:r>
        <w:rPr>
          <w:rFonts w:ascii="Times New Roman" w:hAnsi="Times New Roman"/>
          <w:color w:val="000000"/>
          <w:sz w:val="20"/>
        </w:rPr>
        <w:t xml:space="preserve"> </w:t>
      </w:r>
      <w:r>
        <w:rPr>
          <w:rFonts w:ascii="Times New Roman" w:hAnsi="Times New Roman"/>
          <w:b/>
          <w:color w:val="000000"/>
          <w:sz w:val="22"/>
        </w:rPr>
        <w:t>Lease</w:t>
      </w:r>
      <w:r>
        <w:rPr>
          <w:rFonts w:ascii="Times New Roman" w:hAnsi="Times New Roman"/>
          <w:color w:val="000000"/>
          <w:sz w:val="20"/>
        </w:rPr>
        <w:t xml:space="preserve">” </w:t>
      </w:r>
      <w:r>
        <w:rPr>
          <w:rFonts w:ascii="Times New Roman" w:hAnsi="Times New Roman"/>
          <w:color w:val="000000"/>
          <w:sz w:val="22"/>
        </w:rPr>
        <w:t>of any Person means any lease of any property by such Person as lessee which would, in accordance with GAAP, be required to be accounted for as a capital lease or finance lease on the balance sheet of such Person.</w:t>
      </w:r>
    </w:p>
    <w:p>
      <w:pPr>
        <w:pStyle w:val="TextBody"/>
        <w:bidi w:val="0"/>
        <w:spacing w:before="0" w:after="240"/>
        <w:jc w:val="both"/>
        <w:rPr/>
      </w:pPr>
      <w:r>
        <w:rPr>
          <w:color w:val="000000"/>
        </w:rPr>
        <w:t>“</w:t>
      </w:r>
      <w:r>
        <w:rPr>
          <w:rFonts w:ascii="Times New Roman" w:hAnsi="Times New Roman"/>
          <w:b/>
          <w:color w:val="000000"/>
          <w:sz w:val="22"/>
        </w:rPr>
        <w:t>Cash Dominion Event</w:t>
      </w:r>
      <w:r>
        <w:rPr>
          <w:rFonts w:ascii="Times New Roman" w:hAnsi="Times New Roman"/>
          <w:color w:val="000000"/>
          <w:sz w:val="20"/>
        </w:rPr>
        <w:t xml:space="preserve">” </w:t>
      </w:r>
      <w:r>
        <w:rPr>
          <w:rFonts w:ascii="Times New Roman" w:hAnsi="Times New Roman"/>
          <w:color w:val="000000"/>
          <w:sz w:val="22"/>
        </w:rPr>
        <w:t>means, either (a) the occurrence of any Event of Default, or (b) Liquidity is less than $50,000,000 as of the end of any Business Day.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Cash Dominion Period</w:t>
      </w:r>
      <w:r>
        <w:rPr>
          <w:rFonts w:ascii="Times New Roman" w:hAnsi="Times New Roman"/>
          <w:color w:val="000000"/>
          <w:sz w:val="20"/>
        </w:rPr>
        <w:t xml:space="preserve">” </w:t>
      </w:r>
      <w:r>
        <w:rPr>
          <w:rFonts w:ascii="Times New Roman" w:hAnsi="Times New Roman"/>
          <w:color w:val="000000"/>
          <w:sz w:val="22"/>
        </w:rPr>
        <w:t>means each period beginning immediately upon the occurrence of a Cash Dominion Event and ending on the date that both (a) no Event of Default exists and is continuing and (b) Agent has received evidence reasonably satisfactory to it that Liquidity has been greater than or equal to $50,000,000 on each day for a period of thirty (30) consecutive days following the occurrence of the applicable Cash Dominion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Cash Equivalents</w:t>
      </w:r>
      <w:r>
        <w:rPr>
          <w:rFonts w:ascii="Times New Roman" w:hAnsi="Times New Roman"/>
          <w:color w:val="000000"/>
          <w:sz w:val="20"/>
        </w:rPr>
        <w:t xml:space="preserve">” </w:t>
      </w:r>
      <w:r>
        <w:rPr>
          <w:rFonts w:ascii="Times New Roman" w:hAnsi="Times New Roman"/>
          <w:color w:val="000000"/>
          <w:sz w:val="22"/>
        </w:rPr>
        <w:t>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two (2) years after such date; (b) marketable direct obligations issued by any state of the United States or any political subdivision of any such state or any public instrumentality thereof, in each case maturing within two (2) years after such date and having, at the time of the acquisition thereof, a rating of at least A-1 from S&amp;P or at least P-1 from Moody’s; (c) commercial paper maturing no more than one (1) year from the date of creation thereof and having, at the time of the acquisition thereof, a rating of at least A-1 from S&amp;P or at least P-1 from Moody’s, or carrying an equivalent rating by a nationally recognized rating agency, if both of the two named rating agencies cease publishing ratings of commercial paper issuers generally; (d) certificates of deposit or bankers’ acceptances maturing within one (1) year after such date and issued or accepted by any Lender or by any commercial bank organized under the laws of the United States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clauses (a) and (b) above, (ii) has net assets of not less than $500,000,000, and (iii) has the highest rating obtainable from either S&amp;P or Moody’s and (f) Investments in accordance with the Borrower’s Investment Policy.</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CERCLA</w:t>
      </w:r>
      <w:r>
        <w:rPr>
          <w:rFonts w:ascii="Times New Roman" w:hAnsi="Times New Roman"/>
          <w:color w:val="000000"/>
          <w:sz w:val="20"/>
        </w:rPr>
        <w:t xml:space="preserve">” </w:t>
      </w:r>
      <w:r>
        <w:rPr>
          <w:rFonts w:ascii="Times New Roman" w:hAnsi="Times New Roman"/>
          <w:color w:val="000000"/>
          <w:sz w:val="22"/>
        </w:rPr>
        <w:t xml:space="preserve">means the Comprehensive Environmental Response, Compensation and Liability Act of 1980, 42 U.S.C.A. § 9601 </w:t>
      </w:r>
      <w:r>
        <w:rPr>
          <w:rFonts w:ascii="Times New Roman" w:hAnsi="Times New Roman"/>
          <w:i/>
          <w:color w:val="000000"/>
          <w:sz w:val="22"/>
        </w:rPr>
        <w:t>et seq</w:t>
      </w:r>
      <w:r>
        <w:rPr>
          <w:rFonts w:ascii="Times New Roman" w:hAnsi="Times New Roman"/>
          <w:color w:val="000000"/>
          <w:sz w:val="22"/>
        </w:rPr>
        <w:t>., as the same may be amended from time to time.</w:t>
      </w:r>
    </w:p>
    <w:p>
      <w:pPr>
        <w:pStyle w:val="TextBody"/>
        <w:bidi w:val="0"/>
        <w:spacing w:before="0" w:after="240"/>
        <w:jc w:val="both"/>
        <w:rPr/>
      </w:pPr>
      <w:r>
        <w:rPr>
          <w:color w:val="000000"/>
        </w:rPr>
        <w:t>“</w:t>
      </w:r>
      <w:r>
        <w:rPr>
          <w:rFonts w:ascii="Times New Roman" w:hAnsi="Times New Roman"/>
          <w:b/>
          <w:color w:val="000000"/>
          <w:sz w:val="22"/>
        </w:rPr>
        <w:t>Change in Control</w:t>
      </w:r>
      <w:r>
        <w:rPr>
          <w:rFonts w:ascii="Times New Roman" w:hAnsi="Times New Roman"/>
          <w:color w:val="000000"/>
          <w:sz w:val="20"/>
        </w:rPr>
        <w:t xml:space="preserve">” </w:t>
      </w:r>
      <w:r>
        <w:rPr>
          <w:rFonts w:ascii="Times New Roman" w:hAnsi="Times New Roman"/>
          <w:color w:val="000000"/>
          <w:sz w:val="22"/>
        </w:rPr>
        <w:t>means any of the following events or series of events: (a) any “person” or “group” (as such terms are used in Sections 13(d) and 14(d) of the Securities Exchange Act of 1934)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fifty percent (50%) or more of the combined voting power of all voting stock of CeriBell on a fully-diluted basis (and taking into account all such securities that such person or group has the right to acquire pursuant to any option right); (b) during any period of twelve (12) consecutive months, a majority of the members of the board of directors or other equivalent governing body of CeriBell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any Credit Party ceases to own, directly or indirectly, 100% of the capital stock of any of its Subsidiaries (with the exception of any Subsidiaries permitted to be dissolved, merged or otherwise disposed of to the extent otherwise permitted by this Agreement); or (d) the occurrence of a “Change of Control”, “Fundamental Change”, “Change in Control”, “Deemed Liquidation Event” or terms of similar import under any document or instrument governing or relating to Debt of or Equity Interests of such Person. As used herein, “beneficial ownership” shall have the meaning provided in Rule 13d-3 of the SEC under the Securities Exchange Act of 1934.</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Closing Date</w:t>
      </w:r>
      <w:r>
        <w:rPr>
          <w:rFonts w:ascii="Times New Roman" w:hAnsi="Times New Roman"/>
          <w:color w:val="000000"/>
          <w:sz w:val="20"/>
        </w:rPr>
        <w:t xml:space="preserve">” </w:t>
      </w:r>
      <w:r>
        <w:rPr>
          <w:rFonts w:ascii="Times New Roman" w:hAnsi="Times New Roman"/>
          <w:color w:val="000000"/>
          <w:sz w:val="22"/>
        </w:rPr>
        <w:t>means the date of this Agreement.</w:t>
      </w:r>
    </w:p>
    <w:p>
      <w:pPr>
        <w:pStyle w:val="TextBody"/>
        <w:bidi w:val="0"/>
        <w:spacing w:before="0" w:after="240"/>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Internal Revenue Code of 1986, as amended from time to time, any successor statutes thereto, and applicable U.S. Department of Treasury regulations issued pursuant thereto in temporary or final form.</w:t>
      </w:r>
    </w:p>
    <w:p>
      <w:pPr>
        <w:pStyle w:val="TextBody"/>
        <w:bidi w:val="0"/>
        <w:spacing w:before="0" w:after="240"/>
        <w:jc w:val="both"/>
        <w:rPr/>
      </w:pPr>
      <w:r>
        <w:rPr>
          <w:color w:val="000000"/>
        </w:rPr>
        <w:t>“</w:t>
      </w:r>
      <w:r>
        <w:rPr>
          <w:rFonts w:ascii="Times New Roman" w:hAnsi="Times New Roman"/>
          <w:b/>
          <w:color w:val="000000"/>
          <w:sz w:val="22"/>
        </w:rPr>
        <w:t>Collateral</w:t>
      </w:r>
      <w:r>
        <w:rPr>
          <w:rFonts w:ascii="Times New Roman" w:hAnsi="Times New Roman"/>
          <w:color w:val="000000"/>
          <w:sz w:val="20"/>
        </w:rPr>
        <w:t xml:space="preserve">” </w:t>
      </w:r>
      <w:r>
        <w:rPr>
          <w:rFonts w:ascii="Times New Roman" w:hAnsi="Times New Roman"/>
          <w:color w:val="000000"/>
          <w:sz w:val="22"/>
        </w:rPr>
        <w:t xml:space="preserve">means all property, other than Excluded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Times New Roman" w:hAnsi="Times New Roman"/>
          <w:color w:val="000000"/>
          <w:sz w:val="22"/>
          <w:u w:val="single"/>
        </w:rPr>
        <w:t>Schedule 9.1</w:t>
      </w:r>
      <w:r>
        <w:rPr>
          <w:rFonts w:ascii="Times New Roman" w:hAnsi="Times New Roman"/>
          <w:color w:val="000000"/>
          <w:sz w:val="20"/>
        </w:rPr>
        <w:t xml:space="preserve"> </w:t>
      </w:r>
      <w:r>
        <w:rPr>
          <w:rFonts w:ascii="Times New Roman" w:hAnsi="Times New Roman"/>
          <w:color w:val="000000"/>
          <w:sz w:val="22"/>
        </w:rPr>
        <w:t xml:space="preserve">hereto and the Pledged Collateral (including, without limitation. All of the property described on </w:t>
      </w:r>
      <w:r>
        <w:rPr>
          <w:rFonts w:ascii="Times New Roman" w:hAnsi="Times New Roman"/>
          <w:color w:val="000000"/>
          <w:sz w:val="22"/>
          <w:u w:val="single"/>
        </w:rPr>
        <w:t>Schedule 9.1(A)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pPr>
      <w:r>
        <w:rPr>
          <w:color w:val="000000"/>
        </w:rPr>
        <w:t>“</w:t>
      </w:r>
      <w:r>
        <w:rPr>
          <w:rFonts w:ascii="Times New Roman" w:hAnsi="Times New Roman"/>
          <w:b/>
          <w:color w:val="000000"/>
          <w:sz w:val="22"/>
        </w:rPr>
        <w:t>Commitment Annex</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00"/>
          <w:sz w:val="22"/>
          <w:u w:val="single"/>
        </w:rPr>
        <w:t>Annex A</w:t>
      </w:r>
      <w:r>
        <w:rPr>
          <w:rFonts w:ascii="Times New Roman" w:hAnsi="Times New Roman"/>
          <w:color w:val="000000"/>
          <w:sz w:val="20"/>
        </w:rPr>
        <w:t xml:space="preserve"> </w:t>
      </w:r>
      <w:r>
        <w:rPr>
          <w:rFonts w:ascii="Times New Roman" w:hAnsi="Times New Roman"/>
          <w:color w:val="000000"/>
          <w:sz w:val="22"/>
        </w:rPr>
        <w:t>to this Agreement.</w:t>
      </w:r>
    </w:p>
    <w:p>
      <w:pPr>
        <w:pStyle w:val="TextBody"/>
        <w:bidi w:val="0"/>
        <w:spacing w:before="0" w:after="240"/>
        <w:jc w:val="both"/>
        <w:rPr/>
      </w:pPr>
      <w:r>
        <w:rPr>
          <w:color w:val="000000"/>
        </w:rPr>
        <w:t>“</w:t>
      </w:r>
      <w:r>
        <w:rPr>
          <w:rFonts w:ascii="Times New Roman" w:hAnsi="Times New Roman"/>
          <w:b/>
          <w:color w:val="000000"/>
          <w:sz w:val="22"/>
        </w:rPr>
        <w:t>Competitor</w:t>
      </w:r>
      <w:r>
        <w:rPr>
          <w:rFonts w:ascii="Times New Roman" w:hAnsi="Times New Roman"/>
          <w:color w:val="000000"/>
          <w:sz w:val="20"/>
        </w:rPr>
        <w:t xml:space="preserve">” </w:t>
      </w:r>
      <w:r>
        <w:rPr>
          <w:rFonts w:ascii="Times New Roman" w:hAnsi="Times New Roman"/>
          <w:color w:val="000000"/>
          <w:sz w:val="22"/>
        </w:rPr>
        <w:t>means, at any time of determination, any Person directly engaged in the same or substantially the same line of business as Borrower and the other Credit Parties.</w:t>
      </w:r>
    </w:p>
    <w:p>
      <w:pPr>
        <w:pStyle w:val="TextBody"/>
        <w:bidi w:val="0"/>
        <w:spacing w:before="0" w:after="240"/>
        <w:jc w:val="both"/>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duly executed by a Responsible Officer of Borrower Representative, appropriately completed and substantially in the form of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pPr>
      <w:r>
        <w:rPr>
          <w:color w:val="000000"/>
        </w:rPr>
        <w:t>“</w:t>
      </w:r>
      <w:r>
        <w:rPr>
          <w:rFonts w:ascii="Times New Roman" w:hAnsi="Times New Roman"/>
          <w:b/>
          <w:color w:val="000000"/>
          <w:sz w:val="22"/>
        </w:rPr>
        <w:t>Conforming Changes</w:t>
      </w:r>
      <w:r>
        <w:rPr>
          <w:rFonts w:ascii="Times New Roman" w:hAnsi="Times New Roman"/>
          <w:color w:val="000000"/>
          <w:sz w:val="20"/>
        </w:rPr>
        <w:t xml:space="preserve">” </w:t>
      </w:r>
      <w:r>
        <w:rPr>
          <w:rFonts w:ascii="Times New Roman" w:hAnsi="Times New Roman"/>
          <w:color w:val="000000"/>
          <w:sz w:val="22"/>
        </w:rPr>
        <w:t>means, with respect to either the use or administration of Term SOFR or the use, administration, adoption or implementation of any Benchmark Replacement, any technical, administrative or operational changes (including (a) changes to the definition of “Base Rate”, “Business Day”, “Interest Period”, “Reference Time” or other definitions, (b) the addition of concepts such as “interest period”, (c) changes to timing and/or frequency of determining rates, making interest payments, giving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borrowing requests, prepayment, conversion or continuation notices, or length of lookback periods, (d) the applicability of Section 2.8 (Taxes; Capital Adequacy; Increased Costs; Inability to Determine Rates; Illegality) and (e) other technical, administrative or operational matters) that Agent decides may be appropriate to reflect the adoption and implementation of Term SOFR or such Benchmark Replacement and to permit the administration thereof by Agent in a manner substantially consistent with market practice (or, if Agent decides that adoption of any portion of such market practice is not administratively feasible or determines that no such market practice exists, in such other manner as Agent decides is reasonably necessary in connection with the administration of this Agreement and the other Financing Documents).</w:t>
      </w:r>
    </w:p>
    <w:p>
      <w:pPr>
        <w:pStyle w:val="TextBody"/>
        <w:bidi w:val="0"/>
        <w:spacing w:before="0" w:after="240"/>
        <w:jc w:val="both"/>
        <w:rPr/>
      </w:pPr>
      <w:r>
        <w:rPr>
          <w:color w:val="000000"/>
        </w:rPr>
        <w:t>“</w:t>
      </w:r>
      <w:r>
        <w:rPr>
          <w:rFonts w:ascii="Times New Roman" w:hAnsi="Times New Roman"/>
          <w:b/>
          <w:color w:val="000000"/>
          <w:sz w:val="22"/>
        </w:rPr>
        <w:t>Consolidated Subsidiary</w:t>
      </w:r>
      <w:r>
        <w:rPr>
          <w:rFonts w:ascii="Times New Roman" w:hAnsi="Times New Roman"/>
          <w:color w:val="000000"/>
          <w:sz w:val="20"/>
        </w:rPr>
        <w:t xml:space="preserve">” </w:t>
      </w:r>
      <w:r>
        <w:rPr>
          <w:rFonts w:ascii="Times New Roman" w:hAnsi="Times New Roman"/>
          <w:color w:val="000000"/>
          <w:sz w:val="22"/>
        </w:rPr>
        <w:t>means, at any date, any Subsidiary the accounts of which would be consolidated with those of CeriBell (or any other Person, as the context may require hereunder) in its consolidated financial statements if such statements were prepared as of such date.</w:t>
      </w:r>
    </w:p>
    <w:p>
      <w:pPr>
        <w:pStyle w:val="TextBody"/>
        <w:bidi w:val="0"/>
        <w:spacing w:before="0" w:after="240"/>
        <w:jc w:val="both"/>
        <w:rPr/>
      </w:pPr>
      <w:r>
        <w:rPr>
          <w:color w:val="000000"/>
        </w:rPr>
        <w:t>“</w:t>
      </w:r>
      <w:r>
        <w:rPr>
          <w:rFonts w:ascii="Times New Roman" w:hAnsi="Times New Roman"/>
          <w:b/>
          <w:color w:val="000000"/>
          <w:sz w:val="22"/>
        </w:rPr>
        <w:t>Contingent Obligation</w:t>
      </w:r>
      <w:r>
        <w:rPr>
          <w:rFonts w:ascii="Times New Roman" w:hAnsi="Times New Roman"/>
          <w:color w:val="000000"/>
          <w:sz w:val="20"/>
        </w:rPr>
        <w:t xml:space="preserve">” </w:t>
      </w:r>
      <w:r>
        <w:rPr>
          <w:rFonts w:ascii="Times New Roman" w:hAnsi="Times New Roman"/>
          <w:color w:val="000000"/>
          <w:sz w:val="22"/>
        </w:rPr>
        <w:t>means, with respect to any Person, any direct or indirect liability of such Person: (a) with respect to any Debt of another Person (a “</w:t>
      </w:r>
      <w:r>
        <w:rPr>
          <w:rFonts w:ascii="Times New Roman" w:hAnsi="Times New Roman"/>
          <w:b/>
          <w:color w:val="000000"/>
          <w:sz w:val="22"/>
        </w:rPr>
        <w:t>Third Party Obligation</w:t>
      </w:r>
      <w:r>
        <w:rPr>
          <w:rFonts w:ascii="Times New Roman" w:hAnsi="Times New Roman"/>
          <w:color w:val="000000"/>
          <w:sz w:val="20"/>
        </w:rPr>
        <w:t>”</w:t>
      </w:r>
      <w:r>
        <w:rPr>
          <w:rFonts w:ascii="Times New Roman" w:hAnsi="Times New Roman"/>
          <w:color w:val="000000"/>
          <w:sz w:val="22"/>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pStyle w:val="TextBody"/>
        <w:bidi w:val="0"/>
        <w:spacing w:before="0" w:after="240"/>
        <w:jc w:val="both"/>
        <w:rPr/>
      </w:pPr>
      <w:r>
        <w:rPr>
          <w:color w:val="000000"/>
        </w:rPr>
        <w:t>“</w:t>
      </w:r>
      <w:r>
        <w:rPr>
          <w:rFonts w:ascii="Times New Roman" w:hAnsi="Times New Roman"/>
          <w:b/>
          <w:color w:val="000000"/>
          <w:sz w:val="22"/>
        </w:rPr>
        <w:t>Controlled Group</w:t>
      </w:r>
      <w:r>
        <w:rPr>
          <w:rFonts w:ascii="Times New Roman" w:hAnsi="Times New Roman"/>
          <w:color w:val="000000"/>
          <w:sz w:val="20"/>
        </w:rPr>
        <w:t xml:space="preserve">” </w:t>
      </w:r>
      <w:r>
        <w:rPr>
          <w:rFonts w:ascii="Times New Roman" w:hAnsi="Times New Roman"/>
          <w:color w:val="000000"/>
          <w:sz w:val="22"/>
        </w:rPr>
        <w:t>means all members of a group of corporations and all members of a group of trades or businesses (whether or not incorporated) under common control which, together with the Credit Parties, are treated as a single employer under Section 414(b), (c), (m) or (o) of the Code or Section 4001(b) of ERISA and, solely for purposes of Section 412 and 436 of the Code, Section 414(m) or (o) of the Code.</w:t>
      </w:r>
    </w:p>
    <w:p>
      <w:pPr>
        <w:pStyle w:val="TextBody"/>
        <w:bidi w:val="0"/>
        <w:spacing w:before="0" w:after="240"/>
        <w:jc w:val="both"/>
        <w:rPr/>
      </w:pPr>
      <w:r>
        <w:rPr>
          <w:color w:val="000000"/>
        </w:rPr>
        <w:t>“</w:t>
      </w:r>
      <w:r>
        <w:rPr>
          <w:rFonts w:ascii="Times New Roman" w:hAnsi="Times New Roman"/>
          <w:b/>
          <w:color w:val="000000"/>
          <w:sz w:val="22"/>
        </w:rPr>
        <w:t>Correction</w:t>
      </w:r>
      <w:r>
        <w:rPr>
          <w:rFonts w:ascii="Times New Roman" w:hAnsi="Times New Roman"/>
          <w:color w:val="000000"/>
          <w:sz w:val="20"/>
        </w:rPr>
        <w:t xml:space="preserve">” </w:t>
      </w:r>
      <w:r>
        <w:rPr>
          <w:rFonts w:ascii="Times New Roman" w:hAnsi="Times New Roman"/>
          <w:color w:val="000000"/>
          <w:sz w:val="22"/>
        </w:rPr>
        <w:t>means repair, modification, adjustment, relabeling, destruction or inspection (including patient monitoring) of a Product without its physical removal to some other location.</w:t>
      </w:r>
    </w:p>
    <w:p>
      <w:pPr>
        <w:pStyle w:val="TextBody"/>
        <w:bidi w:val="0"/>
        <w:spacing w:before="0" w:after="240"/>
        <w:jc w:val="both"/>
        <w:rPr/>
      </w:pPr>
      <w:r>
        <w:rPr>
          <w:color w:val="000000"/>
        </w:rPr>
        <w:t>“</w:t>
      </w:r>
      <w:r>
        <w:rPr>
          <w:rFonts w:ascii="Times New Roman" w:hAnsi="Times New Roman"/>
          <w:b/>
          <w:color w:val="000000"/>
          <w:sz w:val="22"/>
        </w:rPr>
        <w:t>Credit Card Cash Collateral Account</w:t>
      </w:r>
      <w:r>
        <w:rPr>
          <w:rFonts w:ascii="Times New Roman" w:hAnsi="Times New Roman"/>
          <w:color w:val="000000"/>
          <w:sz w:val="20"/>
        </w:rPr>
        <w:t xml:space="preserve">” </w:t>
      </w:r>
      <w:r>
        <w:rPr>
          <w:rFonts w:ascii="Times New Roman" w:hAnsi="Times New Roman"/>
          <w:color w:val="000000"/>
          <w:sz w:val="22"/>
        </w:rPr>
        <w:t xml:space="preserve">means, collectively, each segregated Deposit Account from time to time identified to Agent in writing established by Borrower for the sole purpose of securing Borrower’s obligations under clause (k) of the definition Permitted Debt and containing only such cash or Cash Equivalents that have been required to be pledged to secure such obligations of Borrower; </w:t>
      </w:r>
      <w:r>
        <w:rPr>
          <w:rFonts w:ascii="Times New Roman" w:hAnsi="Times New Roman"/>
          <w:i/>
          <w:color w:val="000000"/>
          <w:sz w:val="22"/>
        </w:rPr>
        <w:t xml:space="preserve">provided, </w:t>
      </w:r>
      <w:r>
        <w:rPr>
          <w:rFonts w:ascii="Times New Roman" w:hAnsi="Times New Roman"/>
          <w:color w:val="000000"/>
          <w:sz w:val="22"/>
        </w:rPr>
        <w:t>that the aggregate amount of cash or Cash Equivalents deposited in all such Credit Card Cash Collateral Account(s) does not, at any time, exceed $1,000,000</w:t>
      </w:r>
      <w:r>
        <w:rPr>
          <w:rFonts w:ascii="Times New Roman" w:hAnsi="Times New Roman"/>
          <w:color w:val="000000"/>
          <w:sz w:val="20"/>
        </w:rPr>
        <w:t xml:space="preserve"> </w:t>
      </w:r>
      <w:r>
        <w:rPr>
          <w:rFonts w:ascii="Times New Roman" w:hAnsi="Times New Roman"/>
          <w:color w:val="000000"/>
          <w:sz w:val="22"/>
        </w:rPr>
        <w:t>in the aggregate.</w:t>
      </w:r>
    </w:p>
    <w:p>
      <w:pPr>
        <w:pStyle w:val="TextBody"/>
        <w:bidi w:val="0"/>
        <w:spacing w:before="0" w:after="240"/>
        <w:jc w:val="both"/>
        <w:rPr/>
      </w:pPr>
      <w:r>
        <w:rPr>
          <w:color w:val="000000"/>
        </w:rPr>
        <w:t>“</w:t>
      </w:r>
      <w:r>
        <w:rPr>
          <w:rFonts w:ascii="Times New Roman" w:hAnsi="Times New Roman"/>
          <w:b/>
          <w:color w:val="000000"/>
          <w:sz w:val="22"/>
        </w:rPr>
        <w:t>Credit Party</w:t>
      </w:r>
      <w:r>
        <w:rPr>
          <w:rFonts w:ascii="Times New Roman" w:hAnsi="Times New Roman"/>
          <w:color w:val="000000"/>
          <w:sz w:val="20"/>
        </w:rPr>
        <w:t xml:space="preserve">” </w:t>
      </w:r>
      <w:r>
        <w:rPr>
          <w:rFonts w:ascii="Times New Roman" w:hAnsi="Times New Roman"/>
          <w:color w:val="000000"/>
          <w:sz w:val="22"/>
        </w:rPr>
        <w:t>means each Borrower and each Guarantor; and “</w:t>
      </w:r>
      <w:r>
        <w:rPr>
          <w:rFonts w:ascii="Times New Roman" w:hAnsi="Times New Roman"/>
          <w:b/>
          <w:color w:val="000000"/>
          <w:sz w:val="22"/>
        </w:rPr>
        <w:t>Credit Parties</w:t>
      </w:r>
      <w:r>
        <w:rPr>
          <w:rFonts w:ascii="Times New Roman" w:hAnsi="Times New Roman"/>
          <w:color w:val="000000"/>
          <w:sz w:val="20"/>
        </w:rPr>
        <w:t xml:space="preserve">” </w:t>
      </w:r>
      <w:r>
        <w:rPr>
          <w:rFonts w:ascii="Times New Roman" w:hAnsi="Times New Roman"/>
          <w:color w:val="000000"/>
          <w:sz w:val="22"/>
        </w:rPr>
        <w:t>means all such Persons, collectively.</w:t>
      </w:r>
    </w:p>
    <w:p>
      <w:pPr>
        <w:pStyle w:val="TextBody"/>
        <w:bidi w:val="0"/>
        <w:spacing w:before="0" w:after="240"/>
        <w:jc w:val="both"/>
        <w:rPr/>
      </w:pPr>
      <w:r>
        <w:rPr>
          <w:color w:val="000000"/>
        </w:rPr>
        <w:t>“</w:t>
      </w:r>
      <w:r>
        <w:rPr>
          <w:rFonts w:ascii="Times New Roman" w:hAnsi="Times New Roman"/>
          <w:b/>
          <w:color w:val="000000"/>
          <w:sz w:val="22"/>
        </w:rPr>
        <w:t>Credit Party Unrestricted Cash</w:t>
      </w:r>
      <w:r>
        <w:rPr>
          <w:rFonts w:ascii="Times New Roman" w:hAnsi="Times New Roman"/>
          <w:color w:val="000000"/>
          <w:sz w:val="20"/>
        </w:rPr>
        <w:t xml:space="preserve">” </w:t>
      </w:r>
      <w:r>
        <w:rPr>
          <w:rFonts w:ascii="Times New Roman" w:hAnsi="Times New Roman"/>
          <w:color w:val="000000"/>
          <w:sz w:val="22"/>
        </w:rPr>
        <w:t>means unrestricted cash and Cash Equivalents of the Credit Parties that (a) are held in the name of a Credit Party in a Deposit Account or Securities Account located in the United States that is subject to a Deposit Account Control Agreement or Securities Account Control Agreement, as applicable, in favor of Agent at bank or financial institution located in the United States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are otherwise subject to Agent’s first priority perfected security interest, (b) is not subject to any other Lien (other than Permitted Liens), and (c) are not funds for the payment of a drawn or committed but unpaid draft, ACH or EFT transaction.</w:t>
      </w:r>
    </w:p>
    <w:p>
      <w:pPr>
        <w:pStyle w:val="TextBody"/>
        <w:bidi w:val="0"/>
        <w:spacing w:before="0" w:after="240"/>
        <w:jc w:val="both"/>
        <w:rPr/>
      </w:pPr>
      <w:r>
        <w:rPr>
          <w:color w:val="000000"/>
        </w:rPr>
        <w:t>“</w:t>
      </w:r>
      <w:r>
        <w:rPr>
          <w:rFonts w:ascii="Times New Roman" w:hAnsi="Times New Roman"/>
          <w:b/>
          <w:color w:val="000000"/>
          <w:sz w:val="22"/>
        </w:rPr>
        <w:t>Debt</w:t>
      </w:r>
      <w:r>
        <w:rPr>
          <w:rFonts w:ascii="Times New Roman" w:hAnsi="Times New Roman"/>
          <w:color w:val="000000"/>
          <w:sz w:val="20"/>
        </w:rPr>
        <w:t xml:space="preserve">” </w:t>
      </w:r>
      <w:r>
        <w:rPr>
          <w:rFonts w:ascii="Times New Roman" w:hAnsi="Times New Roman"/>
          <w:color w:val="000000"/>
          <w:sz w:val="22"/>
        </w:rPr>
        <w:t>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and paid on a timely basis and in the Ordinary Course of Business (unless subject to a Permitted Contest and reserved for in accordance with GAAP), (d) all Capital Leases of such Person, (e) all non-contingent obligations of such Person to reimburse any bank or other Person in respect of amounts paid under a letter of credit, banker’s acceptance or similar instrument, (f) all Disqualified Equity Interests,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(i) all Debt of others Guaranteed by such Person, (j) all monetary obligations under any synthetic lease, tax ownership/operating lease, off-balance sheet financing or similar financing, and (k) obligations in respect of litigation settlement agreements or similar arrangements. Without duplication of any of the foregoing, Debt of Credit Parties shall include any and all Loans.</w:t>
      </w:r>
    </w:p>
    <w:p>
      <w:pPr>
        <w:pStyle w:val="TextBody"/>
        <w:bidi w:val="0"/>
        <w:spacing w:before="0" w:after="240"/>
        <w:jc w:val="both"/>
        <w:rPr/>
      </w:pPr>
      <w:r>
        <w:rPr>
          <w:color w:val="000000"/>
        </w:rPr>
        <w:t>“</w:t>
      </w:r>
      <w:r>
        <w:rPr>
          <w:rFonts w:ascii="Times New Roman" w:hAnsi="Times New Roman"/>
          <w:b/>
          <w:color w:val="000000"/>
          <w:sz w:val="22"/>
        </w:rPr>
        <w:t>Deemed Borrowing Base</w:t>
      </w:r>
      <w:r>
        <w:rPr>
          <w:rFonts w:ascii="Times New Roman" w:hAnsi="Times New Roman"/>
          <w:color w:val="000000"/>
          <w:sz w:val="20"/>
        </w:rPr>
        <w:t xml:space="preserve">” </w:t>
      </w:r>
      <w:r>
        <w:rPr>
          <w:rFonts w:ascii="Times New Roman" w:hAnsi="Times New Roman"/>
          <w:color w:val="000000"/>
          <w:sz w:val="22"/>
        </w:rPr>
        <w:t>has the meaning set forth in the definition of “Borrowing Base”.</w:t>
      </w:r>
    </w:p>
    <w:p>
      <w:pPr>
        <w:pStyle w:val="TextBody"/>
        <w:bidi w:val="0"/>
        <w:spacing w:before="0" w:after="240"/>
        <w:jc w:val="both"/>
        <w:rPr/>
      </w:pPr>
      <w:r>
        <w:rPr>
          <w:color w:val="000000"/>
        </w:rPr>
        <w:t>“</w:t>
      </w:r>
      <w:r>
        <w:rPr>
          <w:rFonts w:ascii="Times New Roman" w:hAnsi="Times New Roman"/>
          <w:b/>
          <w:color w:val="000000"/>
          <w:sz w:val="22"/>
        </w:rPr>
        <w:t>Deemed Borrowing Base Termination Date</w:t>
      </w:r>
      <w:r>
        <w:rPr>
          <w:rFonts w:ascii="Times New Roman" w:hAnsi="Times New Roman"/>
          <w:color w:val="000000"/>
          <w:sz w:val="20"/>
        </w:rPr>
        <w:t xml:space="preserve">” </w:t>
      </w:r>
      <w:r>
        <w:rPr>
          <w:rFonts w:ascii="Times New Roman" w:hAnsi="Times New Roman"/>
          <w:color w:val="000000"/>
          <w:sz w:val="22"/>
        </w:rPr>
        <w:t>means the earlier to occur of (a) the occurrence and continuance of an Event of Default and (b) December 31, 2027.</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means any condition or event which with the giving of notice or lapse of time or both would, unless cured or waived, become an Event of Default.</w:t>
      </w:r>
    </w:p>
    <w:p>
      <w:pPr>
        <w:pStyle w:val="TextBody"/>
        <w:bidi w:val="0"/>
        <w:spacing w:before="0" w:after="240"/>
        <w:jc w:val="both"/>
        <w:rPr/>
      </w:pPr>
      <w:r>
        <w:rPr>
          <w:color w:val="000000"/>
        </w:rPr>
        <w:t>“</w:t>
      </w:r>
      <w:r>
        <w:rPr>
          <w:rFonts w:ascii="Times New Roman" w:hAnsi="Times New Roman"/>
          <w:b/>
          <w:color w:val="000000"/>
          <w:sz w:val="22"/>
        </w:rPr>
        <w:t>Defaulted Lender</w:t>
      </w:r>
      <w:r>
        <w:rPr>
          <w:rFonts w:ascii="Times New Roman" w:hAnsi="Times New Roman"/>
          <w:color w:val="000000"/>
          <w:sz w:val="20"/>
        </w:rPr>
        <w:t xml:space="preserve">” </w:t>
      </w:r>
      <w:r>
        <w:rPr>
          <w:rFonts w:ascii="Times New Roman" w:hAnsi="Times New Roman"/>
          <w:color w:val="000000"/>
          <w:sz w:val="22"/>
        </w:rPr>
        <w:t>means, (i) so long as such failure shall remain in existence and uncured, any Lender which shall have failed to make any Loan or other credit accommodation, disbursement, settlement or reimbursement required pursuant to the terms of any Financing Document, (ii) any Lender that has notified the Credit Parties or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or (iii) any Lender that has, or has a direct or indirect parent company that has, (a) become the subject of any proceeding under the Bankruptcy Code or any other insolvency, debtor relief or debt adjustment or similar law (whether state, provincial, territorial, federal or foreign), or (b)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Defaulted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Defaulted Lender under any one or more of clauses (i) through (iii) above shall be conclusive and binding absent manifest error, and such Lender shall be deemed to be a Defaulted Lender upon delivery of written notice of such determination to Agent and each Lender.</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Defined Period</w:t>
      </w:r>
      <w:r>
        <w:rPr>
          <w:rFonts w:ascii="Times New Roman" w:hAnsi="Times New Roman"/>
          <w:color w:val="000000"/>
          <w:sz w:val="20"/>
        </w:rPr>
        <w:t xml:space="preserve">” </w:t>
      </w:r>
      <w:r>
        <w:rPr>
          <w:rFonts w:ascii="Times New Roman" w:hAnsi="Times New Roman"/>
          <w:color w:val="000000"/>
          <w:sz w:val="22"/>
        </w:rPr>
        <w:t>means for any given fiscal quarter or date of determination, the immediately preceding twelve (12) month period ending on the last day of such fiscal quarter or if such date of determination is not the last day of a fiscal quarter, the twelve (12) month period immediately preceding any such date of determination.</w:t>
      </w:r>
    </w:p>
    <w:p>
      <w:pPr>
        <w:pStyle w:val="TextBody"/>
        <w:bidi w:val="0"/>
        <w:spacing w:before="0" w:after="240"/>
        <w:jc w:val="both"/>
        <w:rPr/>
      </w:pPr>
      <w:r>
        <w:rPr>
          <w:color w:val="000000"/>
        </w:rPr>
        <w:t>“</w:t>
      </w:r>
      <w:r>
        <w:rPr>
          <w:rFonts w:ascii="Times New Roman" w:hAnsi="Times New Roman"/>
          <w:b/>
          <w:color w:val="000000"/>
          <w:sz w:val="22"/>
        </w:rPr>
        <w:t>Deposit Account</w:t>
      </w:r>
      <w:r>
        <w:rPr>
          <w:rFonts w:ascii="Times New Roman" w:hAnsi="Times New Roman"/>
          <w:color w:val="000000"/>
          <w:sz w:val="20"/>
        </w:rPr>
        <w:t xml:space="preserve">” </w:t>
      </w:r>
      <w:r>
        <w:rPr>
          <w:rFonts w:ascii="Times New Roman" w:hAnsi="Times New Roman"/>
          <w:color w:val="000000"/>
          <w:sz w:val="22"/>
        </w:rPr>
        <w:t>means a “deposit account” (as defined in Article 9 of the UCC), an investment account, or other account in which funds are held or invested for credit to or for the benefit of any Credit Party.</w:t>
      </w:r>
    </w:p>
    <w:p>
      <w:pPr>
        <w:pStyle w:val="TextBody"/>
        <w:bidi w:val="0"/>
        <w:spacing w:before="0" w:after="240"/>
        <w:jc w:val="both"/>
        <w:rPr/>
      </w:pPr>
      <w:r>
        <w:rPr>
          <w:color w:val="000000"/>
        </w:rPr>
        <w:t>“</w:t>
      </w:r>
      <w:r>
        <w:rPr>
          <w:rFonts w:ascii="Times New Roman" w:hAnsi="Times New Roman"/>
          <w:b/>
          <w:color w:val="000000"/>
          <w:sz w:val="22"/>
        </w:rPr>
        <w:t>Deposit Account Control Agreement</w:t>
      </w:r>
      <w:r>
        <w:rPr>
          <w:rFonts w:ascii="Times New Roman" w:hAnsi="Times New Roman"/>
          <w:color w:val="000000"/>
          <w:sz w:val="20"/>
        </w:rPr>
        <w:t xml:space="preserve">” </w:t>
      </w:r>
      <w:r>
        <w:rPr>
          <w:rFonts w:ascii="Times New Roman" w:hAnsi="Times New Roman"/>
          <w:color w:val="000000"/>
          <w:sz w:val="22"/>
        </w:rPr>
        <w:t>means an agreement, in form and substance reasonably satisfactory to Agent, among Agent, any Credit Party and each financial institution in which such Credit Party maintains a Deposit Account (which is not an Excluded Account), which agreement provides that such financial institution shall comply with instructions originated by Agent directing disposition of the funds in such Deposit Account without further consent by the applicable Credit Party, including as to any such agreement pertaining to any Lockbox Account, providing that such financial institution shall during any Cash Dominion Period, at the direction of Agent, wire, or otherwise transfer, in immediately available funds, on a daily basis to the Revolving Loan Payment Account all funds received or deposited into such Lockbox or Lockbox Account.</w:t>
      </w:r>
    </w:p>
    <w:p>
      <w:pPr>
        <w:pStyle w:val="TextBody"/>
        <w:bidi w:val="0"/>
        <w:spacing w:before="0" w:after="240"/>
        <w:jc w:val="both"/>
        <w:rPr/>
      </w:pPr>
      <w:r>
        <w:rPr>
          <w:color w:val="000000"/>
        </w:rPr>
        <w:t>“</w:t>
      </w:r>
      <w:r>
        <w:rPr>
          <w:rFonts w:ascii="Times New Roman" w:hAnsi="Times New Roman"/>
          <w:b/>
          <w:color w:val="000000"/>
          <w:sz w:val="22"/>
        </w:rPr>
        <w:t>Disqualified Equity Interests</w:t>
      </w:r>
      <w:r>
        <w:rPr>
          <w:rFonts w:ascii="Times New Roman" w:hAnsi="Times New Roman"/>
          <w:color w:val="000000"/>
          <w:sz w:val="20"/>
        </w:rPr>
        <w:t xml:space="preserve">” </w:t>
      </w:r>
      <w:r>
        <w:rPr>
          <w:rFonts w:ascii="Times New Roman" w:hAnsi="Times New Roman"/>
          <w:color w:val="000000"/>
          <w:sz w:val="22"/>
        </w:rPr>
        <w:t>means, with respect to any Person, any Equity Interest in such Person that, within less than 91 days after the Termination Date, either by its terms (or by the terms of any security or any other Equity Interests into which it is convertible or for which it is exchangeable) or upon the happening of any event or condition, (a) matures or is mandatorily redeemable (other than solely for Permitted Debt or other Equity Interests in such Person or of CeriBell that do not constitute Disqualified Equity Interests and cash in lieu of fractional shares of such Equity Interests), pursuant to a sinking fund obligation or otherwise, (b) is redeemable at the option of the holder thereof, in whole or in part (other than solely for Permitted Debt or other Equity Interests in such Person or of CeriBell that do not constitute Disqualified Equity Interests and cash in lieu of fractional shares of such Equity Interests), (c) provides for the scheduled payments of dividends or distributions in cash, or (d) is or becomes convertible into or exchangeable for Debt (other than Permitted Debt) or any other Equity Interest that would constitute Disqualified Equity Interests.</w:t>
      </w:r>
    </w:p>
    <w:p>
      <w:pPr>
        <w:pStyle w:val="TextBody"/>
        <w:bidi w:val="0"/>
        <w:spacing w:before="0" w:after="240"/>
        <w:jc w:val="both"/>
        <w:rPr/>
      </w:pPr>
      <w:r>
        <w:rPr>
          <w:color w:val="000000"/>
        </w:rPr>
        <w:t>“</w:t>
      </w:r>
      <w:r>
        <w:rPr>
          <w:rFonts w:ascii="Times New Roman" w:hAnsi="Times New Roman"/>
          <w:b/>
          <w:color w:val="000000"/>
          <w:sz w:val="22"/>
        </w:rPr>
        <w:t>Distribution</w:t>
      </w:r>
      <w:r>
        <w:rPr>
          <w:rFonts w:ascii="Times New Roman" w:hAnsi="Times New Roman"/>
          <w:color w:val="000000"/>
          <w:sz w:val="20"/>
        </w:rPr>
        <w:t xml:space="preserve">” </w:t>
      </w:r>
      <w:r>
        <w:rPr>
          <w:rFonts w:ascii="Times New Roman" w:hAnsi="Times New Roman"/>
          <w:color w:val="000000"/>
          <w:sz w:val="22"/>
        </w:rPr>
        <w:t>means as to any Person (a) any dividend or other distribution or payment (whether in cash, securities or other property) on, or in respect of, any Equity Interest in such Person (except those payable solely in its Equity Interests other than Disqualified Equity Interests),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Credit Party or a Subsidiary of a Credit Party (other than reasonable and customary (i) payments of salaries to individuals, (ii) directors fees, and (iii) advances and reimbursements to employees or directors, all in the Ordinary Course of Business), an Affiliate of a Credit Party or an Affiliate of any Subsidiary of a Credit Party, (d) any lease or rental payments to an Affiliate or Subsidiary of a Credit Party, or (e) repayments of or debt service on loans or other indebtedness (other than conversion to Equity Interests other than Disqualified Equity Interests) held by an Affiliate of any Credit Party unless permitted under and made pursuant to a Subordination Agreement applicable to such loans or other indebtedness.</w:t>
      </w:r>
    </w:p>
    <w:p>
      <w:pPr>
        <w:pStyle w:val="TextBody"/>
        <w:bidi w:val="0"/>
        <w:spacing w:before="0" w:after="240"/>
        <w:jc w:val="both"/>
        <w:rPr/>
      </w:pPr>
      <w:r>
        <w:rPr>
          <w:color w:val="000000"/>
        </w:rPr>
        <w:t>“</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means the lawful currency of the United States of America.</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Domestic Subsidiary</w:t>
      </w:r>
      <w:r>
        <w:rPr>
          <w:rFonts w:ascii="Times New Roman" w:hAnsi="Times New Roman"/>
          <w:color w:val="000000"/>
          <w:sz w:val="20"/>
        </w:rPr>
        <w:t xml:space="preserve">” </w:t>
      </w:r>
      <w:r>
        <w:rPr>
          <w:rFonts w:ascii="Times New Roman" w:hAnsi="Times New Roman"/>
          <w:color w:val="000000"/>
          <w:sz w:val="22"/>
        </w:rPr>
        <w:t>means any Subsidiary incorporated, organized or otherwise formed under the Laws of the United States, any state thereof or the District of Columbia</w:t>
      </w:r>
    </w:p>
    <w:p>
      <w:pPr>
        <w:pStyle w:val="TextBody"/>
        <w:bidi w:val="0"/>
        <w:spacing w:before="0" w:after="240"/>
        <w:jc w:val="both"/>
        <w:rPr/>
      </w:pPr>
      <w:r>
        <w:rPr>
          <w:color w:val="000000"/>
        </w:rPr>
        <w:t>“</w:t>
      </w:r>
      <w:r>
        <w:rPr>
          <w:rFonts w:ascii="Times New Roman" w:hAnsi="Times New Roman"/>
          <w:b/>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b/>
          <w:color w:val="000000"/>
          <w:sz w:val="22"/>
        </w:rPr>
        <w:t>Eligible Account</w:t>
      </w:r>
      <w:r>
        <w:rPr>
          <w:rFonts w:ascii="Times New Roman" w:hAnsi="Times New Roman"/>
          <w:color w:val="000000"/>
          <w:sz w:val="20"/>
        </w:rPr>
        <w:t xml:space="preserve">” </w:t>
      </w:r>
      <w:r>
        <w:rPr>
          <w:rFonts w:ascii="Times New Roman" w:hAnsi="Times New Roman"/>
          <w:color w:val="000000"/>
          <w:sz w:val="22"/>
        </w:rPr>
        <w:t xml:space="preserve">means, subject to the criteria below, an account receivable of a Borrower, which was generated in the Ordinary Course of Business and originally in the name of a Borrower and not acquired via assignment or otherwise, and which Agent, in its Permitted Discretion, deems to be an Eligible Account. The net amount of an Eligible Account at any time shall be (a) the face amount of such Eligible Account as originally billed </w:t>
      </w:r>
      <w:r>
        <w:rPr>
          <w:rFonts w:ascii="Times New Roman" w:hAnsi="Times New Roman"/>
          <w:i/>
          <w:color w:val="000000"/>
          <w:sz w:val="22"/>
        </w:rPr>
        <w:t>minus</w:t>
      </w:r>
      <w:r>
        <w:rPr>
          <w:rFonts w:ascii="Times New Roman" w:hAnsi="Times New Roman"/>
          <w:color w:val="000000"/>
          <w:sz w:val="20"/>
        </w:rPr>
        <w:t xml:space="preserve"> </w:t>
      </w:r>
      <w:r>
        <w:rPr>
          <w:rFonts w:ascii="Times New Roman" w:hAnsi="Times New Roman"/>
          <w:color w:val="000000"/>
          <w:sz w:val="22"/>
        </w:rPr>
        <w:t>all cash collections and other proceeds of such Account received from or on behalf of the Account Debtor thereunder as of such date and any and all returns, rebates, discounts (which may, at Agent’s option, be calculated on shortest terms), credits, allowances or excise taxes of any nature at any time issued, owing, claimed by Account Debtors, granted, outstanding or payable in connection with such Accounts at such time, and (b) adjusted by applying percentages (known as “</w:t>
      </w:r>
      <w:r>
        <w:rPr>
          <w:rFonts w:ascii="Times New Roman" w:hAnsi="Times New Roman"/>
          <w:b/>
          <w:color w:val="000000"/>
          <w:sz w:val="22"/>
        </w:rPr>
        <w:t>liquidity factors</w:t>
      </w:r>
      <w:r>
        <w:rPr>
          <w:rFonts w:ascii="Times New Roman" w:hAnsi="Times New Roman"/>
          <w:color w:val="000000"/>
          <w:sz w:val="20"/>
        </w:rPr>
        <w:t>”</w:t>
      </w:r>
      <w:r>
        <w:rPr>
          <w:rFonts w:ascii="Times New Roman" w:hAnsi="Times New Roman"/>
          <w:color w:val="000000"/>
          <w:sz w:val="22"/>
        </w:rPr>
        <w:t>) by payor and/or payor class based upon the applicable Borrower’s actual recent collection history for each such payor and/or payor class in a manner consistent with Agent’s underwriting practices and procedures. Such liquidity factors may be adjusted by Agent from time to time as warranted by Agent’s underwriting practices and procedures and using Agent’s Permitted Discretion. Without limiting the generality of the foregoing, no Account shall be an Eligible Account if: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Account remains unpaid more than one hundred twenty (120) days past the claim or invoice date (but in no event more than one hundred fifty (150) days after the applicable goods or services have been rendered or delivered);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Account is subject to any defense, set-off, recoupment, counterclaim, deduction, discount, credit, chargeback, freight claim, allowance, or adjustment of any kind (but only to the extent of such defense, set-off, recoupment, counterclaim, deduction, discount, credit, chargeback, freight claim, allowance, or adjustment), or the applicable Borrower is not able to bring suit or otherwise enforce its remedies against the Account Debtor through judicial process;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if the Account arises from the sale of goods, any part of any goods the sale of which has given rise to the Account has been returned, rejected, lost, or damaged (but only to the extent that such goods have been so returned, rejected, lost or damaged);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if the Account arises from the sale of goods, the sale was not an absolute, bona fide sale, or the sale was made on consignment or on approval or on a sale-or-return or bill-and-hold or progress billing basis, or the sale was made subject to any other repurchase or return agreement, or the goods have not been shipped to the Account Debtor or its designee or the sale was not made in compliance with applicable Laws;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if the Account arises from the performance of services, the services have not actually been performed or the services were undertaken in violation of any Law or the Account represents a progress billing for which services have not been fully and completely rendered;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Account is subject to a Lien (other than Liens in favor of Agent or Permitted Liens that have been expressly subordinated to the Liens of Agent or that arise solely by operation of law), or Agent does not have a first priority, perfected Lien on such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Account is evidenced by Chattel Paper or an Instrument of any kind, or has been reduced to judgment, unless such Chattel Paper or Instrument has been delivered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the Account Debtor is an Affiliate or Subsidiary of a Credit Party, or if the Account Debtor holds any Debt of a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more than fifty percent (50%) of the aggregate balance of all Accounts owing from the Account Debtor obligated on the Account are ineligible under subclause (a) above (in which case all Accounts from such Account Debtor shall be ineligible);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without limiting the provisions of clause (i) above, fifty percent (50%) or more of the aggregate unpaid Accounts from the Account Debtor obligated on the Account are not deemed Eligible Accounts under this Agreement for any reason;</w:t>
      </w:r>
    </w:p>
    <w:p>
      <w:pPr>
        <w:pStyle w:val="TextBody"/>
        <w:bidi w:val="0"/>
        <w:spacing w:before="0" w:after="240"/>
        <w:jc w:val="both"/>
        <w:rPr>
          <w:rFonts w:ascii="Times New Roman" w:hAnsi="Times New Roman"/>
          <w:sz w:val="20"/>
        </w:rPr>
      </w:pPr>
      <w:r>
        <w:rPr>
          <w:rFonts w:ascii="Times New Roman" w:hAnsi="Times New Roman"/>
          <w:color w:val="000000"/>
          <w:sz w:val="22"/>
        </w:rPr>
        <w:t>(k) the total unpaid Accounts of the Account Debtor obligated on the Account exceed twenty percent (20%) of the net amount of all Eligible Accounts owing from all Account Debtors (but only the amount of the Accounts of such Account Debtor exceeding such twenty percent (20%) limitation shall be considered ineligible);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any covenant, representation or warranty contained in the Financing Documents with respect to such Account has been breached in any material respect (with respect to covenants) or is incorrect in any material respect (with respect to 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the Account is unbilled or has not been invoiced to the Account Debtor in accordance with the procedures and requirements of the applicable Account Debtor;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the Account is an obligation of an Account Debtor that is the federal, state or local government or any political subdivision thereof, unless Borrower has duly assigned its payment rights with respect to such Account to Agent and Agent has received from the Account Debtor the acknowledgement of Agent’s notice of assignment of such obligation pursuant to this Agreement under the Federal Assignment of Claims Act of 1940 (or such other applicable state, country or municipal law) and Borrowers have otherwise complied with applicable statutes (including, without limitation, the Federal Assignment of Claims Act of 1940 and any other comparable Law) and ordinances necessary for Agent or Lenders to enforce their rights and collect amounts due in respect of such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the Account is an obligation of an Account Debtor that has suspended business, made a general assignment for the benefit of creditors, is unable to pay its debts as they become due or as to which a petition has been filed (voluntary or involuntary) under any law relating to bankruptcy, insolvency, reorganization or relief of debtors, or the Account is an Account as to which any facts, events or occurrences exist which could reasonably be expected to impair the validity, enforceability or collectability of such Account or reduce the amount payable or delay payment thereunder;</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the Account Debtor has its principal place of business or executive office outside the United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the Account is payable in a currency other than United States dollars;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the Account Debtor is an individual;</w:t>
      </w:r>
    </w:p>
    <w:p>
      <w:pPr>
        <w:pStyle w:val="TextBody"/>
        <w:bidi w:val="0"/>
        <w:spacing w:before="0" w:after="240"/>
        <w:jc w:val="both"/>
        <w:rPr>
          <w:rFonts w:ascii="Times New Roman" w:hAnsi="Times New Roman"/>
          <w:sz w:val="20"/>
        </w:rPr>
      </w:pPr>
      <w:r>
        <w:rPr>
          <w:rFonts w:ascii="Times New Roman" w:hAnsi="Times New Roman"/>
          <w:color w:val="000000"/>
          <w:sz w:val="22"/>
        </w:rPr>
        <w:t>(s) the Borrower owning such Account has not signed and delivered to Agent notices, to the extent requested by Agent, directing the Account Debtors to make payment to the applicable Lockbox Account;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 the Account includes late charges or finance charges (but only such portion of the Account shall be ineligible); or</w:t>
      </w:r>
    </w:p>
    <w:p>
      <w:pPr>
        <w:pStyle w:val="TextBody"/>
        <w:bidi w:val="0"/>
        <w:spacing w:before="0" w:after="240"/>
        <w:jc w:val="both"/>
        <w:rPr>
          <w:rFonts w:ascii="Times New Roman" w:hAnsi="Times New Roman"/>
          <w:sz w:val="20"/>
        </w:rPr>
      </w:pPr>
      <w:r>
        <w:rPr>
          <w:rFonts w:ascii="Times New Roman" w:hAnsi="Times New Roman"/>
          <w:color w:val="000000"/>
          <w:sz w:val="22"/>
        </w:rPr>
        <w:t>(u) the Account arises out of the sale of any Inventory upon which any other Person holds, claims or asserts a Lien (other than Permitted Liens arising solely by operation of law,</w:t>
      </w:r>
      <w:r>
        <w:rPr>
          <w:rFonts w:ascii="Times New Roman" w:hAnsi="Times New Roman"/>
          <w:color w:val="000000"/>
          <w:sz w:val="20"/>
        </w:rPr>
        <w:t xml:space="preserve"> </w:t>
      </w:r>
      <w:r>
        <w:rPr>
          <w:rFonts w:ascii="Times New Roman" w:hAnsi="Times New Roman"/>
          <w:color w:val="000000"/>
          <w:sz w:val="22"/>
        </w:rPr>
        <w:t>Liens in favor of Agent or Liens that have been expressly subordinated to the Liens of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Eligible Assignee</w:t>
      </w:r>
      <w:r>
        <w:rPr>
          <w:rFonts w:ascii="Times New Roman" w:hAnsi="Times New Roman"/>
          <w:color w:val="000000"/>
          <w:sz w:val="20"/>
        </w:rPr>
        <w:t xml:space="preserve">” </w:t>
      </w:r>
      <w:r>
        <w:rPr>
          <w:rFonts w:ascii="Times New Roman" w:hAnsi="Times New Roman"/>
          <w:color w:val="000000"/>
          <w:sz w:val="22"/>
        </w:rPr>
        <w:t>means (a) a Lender, (b) an Affiliate of a Lender, (c) an Approved Fund, and (d) any other Person (other than a natural person) approved by Agent; provided, however, that notwithstanding the foregoing, (x) so long as no Event of Default has occurred and is continuing, (i) “</w:t>
      </w:r>
      <w:r>
        <w:rPr>
          <w:rFonts w:ascii="Times New Roman" w:hAnsi="Times New Roman"/>
          <w:b/>
          <w:color w:val="000000"/>
          <w:sz w:val="22"/>
        </w:rPr>
        <w:t>Eligible Assignee</w:t>
      </w:r>
      <w:r>
        <w:rPr>
          <w:rFonts w:ascii="Times New Roman" w:hAnsi="Times New Roman"/>
          <w:color w:val="000000"/>
          <w:sz w:val="20"/>
        </w:rPr>
        <w:t xml:space="preserve">” </w:t>
      </w:r>
      <w:r>
        <w:rPr>
          <w:rFonts w:ascii="Times New Roman" w:hAnsi="Times New Roman"/>
          <w:color w:val="000000"/>
          <w:sz w:val="22"/>
        </w:rPr>
        <w:t>shall not include (A) any Credit Party or any of a Credit Party’s Subsidiaries, (B) any Competitor, or (C) any hedge fund or private equity fund (other than any Affiliate of a Lender) that is generally known primarily as a distressed debt or vulture fund, and (y) no proposed assignee intending to assume all or any portion of the Revolving Loan Commitment or any unfunded portion of the Term Loan Commitments shall be an Eligible Assignee unless such proposed assignee either already holds a portion of such Revolving Loan Commitment or Term Loan Commitments, or has been approved as an Eligible Assignee by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Eligible Inventory</w:t>
      </w:r>
      <w:r>
        <w:rPr>
          <w:rFonts w:ascii="Times New Roman" w:hAnsi="Times New Roman"/>
          <w:color w:val="000000"/>
          <w:sz w:val="20"/>
        </w:rPr>
        <w:t xml:space="preserve">” </w:t>
      </w:r>
      <w:r>
        <w:rPr>
          <w:rFonts w:ascii="Times New Roman" w:hAnsi="Times New Roman"/>
          <w:color w:val="000000"/>
          <w:sz w:val="22"/>
        </w:rPr>
        <w:t>means Inventory owned by a Borrower and acquired, manufactured, held for sale, or otherwise used by such Borrower in the Ordinary Course of Business to the extent not ineligible pursuant to the below criteria. For the avoidance of doubt, completely assembled headbands held by Borrower pending final quality inspection and/or labeling and packaging (notwithstanding whether such items may be classified as raw materials or work-in-process on Borrower’s books and records) and other raw materials and work-in-process Inventory shall be included as Eligible Inventory to the extent complying with the criteria set forth below in this definition,; provided that notwithstanding the foregoing, recorders located at customer sites shall not constitute Eligible Inventory.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Inventory shall be Eligible Inventory if: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such Inventory is not owned by a Borrower free and clear of all Liens and rights of any other Person (including the rights of a purchaser that has made progress payments and the rights of a surety that has issued a bond to assure such Borrower’s performance with respect to that Inventory) except for Permitted Liens arising solely by operation of law, Liens in favor of Agent or Liens that have been expressly subordinated to the Liens of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such Inventory is placed on consignment or is in transit;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such Inventory is covered by a negotiable document of title, unless such document has been delivered to Agent with all necessary endorsements, free and clear of all Liens except for Permitted Liens arising solely by operation of law and those in favor of Agent;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such Inventory is excess, obsolete, unsalable, shopworn, seconds, damaged, unfit for sale, unfit for further processing, is of substandard quality or is not of good and merchantable quality, free from any defects;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such Inventory consists of marketing materials, display items or packing or shipping materials, or manufacturing supplies;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such Inventory is not subject to a first priority Lien in favor of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such Inventory consists of goods that can be transported or sold only with licenses that are not readily available, obtained or assigned to Agent or of Hazardous Materials in concentrations or amounts that violate applicable Environmental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such Inventory is not covered by casualty insurance acceptable to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covenant, representation or warranty contained in the Financing Documents with respect to such Inventory has been breached in any material respect;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such Inventory is located (i) outside of the continental United States or (ii) on premises where the aggregate amount of all Inventory (valued at cost) of Borrowers located thereon is less than $10,000;</w:t>
      </w:r>
    </w:p>
    <w:p>
      <w:pPr>
        <w:pStyle w:val="TextBody"/>
        <w:bidi w:val="0"/>
        <w:spacing w:before="0" w:after="240"/>
        <w:jc w:val="both"/>
        <w:rPr>
          <w:rFonts w:ascii="Times New Roman" w:hAnsi="Times New Roman"/>
          <w:sz w:val="20"/>
        </w:rPr>
      </w:pPr>
      <w:r>
        <w:rPr>
          <w:rFonts w:ascii="Times New Roman" w:hAnsi="Times New Roman"/>
          <w:color w:val="000000"/>
          <w:sz w:val="22"/>
        </w:rPr>
        <w:t>(k) such Inventory is located on premises with respect to which Agent has not received a landlord, warehouseman, bailee or mortgagee letter acceptable in form and substance to Agent;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such Inventory consists of (A) discontinued items, (B) slow-moving or excess items held in inventory, or (C) used items held for resale;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such Inventory does not meet all standards imposed by any Governmental Authority, including with respect to its production, acquisition or importation (as the case may be);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such Inventory has an expiration date within the next three (3) months;</w:t>
      </w:r>
    </w:p>
    <w:p>
      <w:pPr>
        <w:pStyle w:val="TextBody"/>
        <w:bidi w:val="0"/>
        <w:spacing w:before="0" w:after="240"/>
        <w:jc w:val="both"/>
        <w:rPr>
          <w:rFonts w:ascii="Times New Roman" w:hAnsi="Times New Roman"/>
          <w:sz w:val="20"/>
        </w:rPr>
      </w:pPr>
      <w:r>
        <w:rPr>
          <w:rFonts w:ascii="Times New Roman" w:hAnsi="Times New Roman"/>
          <w:color w:val="000000"/>
          <w:sz w:val="22"/>
        </w:rPr>
        <w:t>(o) such Inventory consists of products for which Borrowers have a greater than twelve (12) month supply on hand;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such Inventory is held for rental or lease by or on behalf of Borrowers; or</w:t>
      </w:r>
    </w:p>
    <w:p>
      <w:pPr>
        <w:pStyle w:val="TextBody"/>
        <w:bidi w:val="0"/>
        <w:spacing w:before="0" w:after="240"/>
        <w:jc w:val="both"/>
        <w:rPr>
          <w:rFonts w:ascii="Times New Roman" w:hAnsi="Times New Roman"/>
          <w:sz w:val="20"/>
        </w:rPr>
      </w:pPr>
      <w:r>
        <w:rPr>
          <w:rFonts w:ascii="Times New Roman" w:hAnsi="Times New Roman"/>
          <w:color w:val="000000"/>
          <w:sz w:val="22"/>
        </w:rPr>
        <w:t>(q) such Inventory is subject to any licensing, patent, royalty, trademark, trade name or copyright agreement with any third parties, which agreement restricts the ability of Agent or any Lender to sell or otherwise dispose of such Inventory.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Agent and Borrowers agree that Inventory shall be subject to periodic appraisal by Agent in accordance with Section 4.14(c) and that valuation of Inventory shall be subject to adjustment pursuant to the results of such appraisal in Agent’s Permitted Discretion. Notwithstanding the foregoing, the valuation of Inventory shall be subject to any legal limitations on sale and transfer of such Inventory.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Environmental Laws</w:t>
      </w:r>
      <w:r>
        <w:rPr>
          <w:rFonts w:ascii="Times New Roman" w:hAnsi="Times New Roman"/>
          <w:color w:val="000000"/>
          <w:sz w:val="20"/>
        </w:rPr>
        <w:t xml:space="preserve">” </w:t>
      </w:r>
      <w:r>
        <w:rPr>
          <w:rFonts w:ascii="Times New Roman" w:hAnsi="Times New Roman"/>
          <w:color w:val="000000"/>
          <w:sz w:val="22"/>
        </w:rPr>
        <w:t>means any present and future federal, state and local laws, statutes, ordinances, rules, regulations, standards, policies and other governmental directives or requirements, as well as common law, pertaining to the environment, natural resources, pollution, health (including any environmental clean-up statutes and all regulations adopted by any local, state, federal or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Governmental Authority, and any statute, ordinance, code, order, decree, law rule or regulation all of which pertain to or impose liability or standards of conduct concerning medical waste or medical products, equipment or supplies), safety or clean-up that apply to any Credit Party and relate to Hazardous Materials, including, without limitation, the Comprehensive Environmental Response, Compensation and Liability Act of 1980 (42 U.S.C. § 9601 </w:t>
      </w:r>
      <w:r>
        <w:rPr>
          <w:rFonts w:ascii="Times New Roman" w:hAnsi="Times New Roman"/>
          <w:i/>
          <w:color w:val="000000"/>
          <w:sz w:val="22"/>
        </w:rPr>
        <w:t>et seq.</w:t>
      </w:r>
      <w:r>
        <w:rPr>
          <w:rFonts w:ascii="Times New Roman" w:hAnsi="Times New Roman"/>
          <w:color w:val="000000"/>
          <w:sz w:val="22"/>
        </w:rPr>
        <w:t xml:space="preserve">), the Resource Conservation and Recovery Act of 1976 (42 U.S.C. § 6901 </w:t>
      </w:r>
      <w:r>
        <w:rPr>
          <w:rFonts w:ascii="Times New Roman" w:hAnsi="Times New Roman"/>
          <w:i/>
          <w:color w:val="000000"/>
          <w:sz w:val="22"/>
        </w:rPr>
        <w:t>et seq.</w:t>
      </w:r>
      <w:r>
        <w:rPr>
          <w:rFonts w:ascii="Times New Roman" w:hAnsi="Times New Roman"/>
          <w:color w:val="000000"/>
          <w:sz w:val="22"/>
        </w:rPr>
        <w:t xml:space="preserve">), the Federal Water Pollution Control Act (33 U.S.C. § 1251 </w:t>
      </w:r>
      <w:r>
        <w:rPr>
          <w:rFonts w:ascii="Times New Roman" w:hAnsi="Times New Roman"/>
          <w:i/>
          <w:color w:val="000000"/>
          <w:sz w:val="22"/>
        </w:rPr>
        <w:t>et seq.</w:t>
      </w:r>
      <w:r>
        <w:rPr>
          <w:rFonts w:ascii="Times New Roman" w:hAnsi="Times New Roman"/>
          <w:color w:val="000000"/>
          <w:sz w:val="22"/>
        </w:rPr>
        <w:t xml:space="preserve">), the Hazardous Materials Transportation Act (49 U.S.C. § 5101 </w:t>
      </w:r>
      <w:r>
        <w:rPr>
          <w:rFonts w:ascii="Times New Roman" w:hAnsi="Times New Roman"/>
          <w:i/>
          <w:color w:val="000000"/>
          <w:sz w:val="22"/>
        </w:rPr>
        <w:t>et seq.</w:t>
      </w:r>
      <w:r>
        <w:rPr>
          <w:rFonts w:ascii="Times New Roman" w:hAnsi="Times New Roman"/>
          <w:color w:val="000000"/>
          <w:sz w:val="22"/>
        </w:rPr>
        <w:t xml:space="preserve">), the Clean Air Act (42 U.S.C. § 7401 </w:t>
      </w:r>
      <w:r>
        <w:rPr>
          <w:rFonts w:ascii="Times New Roman" w:hAnsi="Times New Roman"/>
          <w:i/>
          <w:color w:val="000000"/>
          <w:sz w:val="22"/>
        </w:rPr>
        <w:t>et seq.</w:t>
      </w:r>
      <w:r>
        <w:rPr>
          <w:rFonts w:ascii="Times New Roman" w:hAnsi="Times New Roman"/>
          <w:color w:val="000000"/>
          <w:sz w:val="22"/>
        </w:rPr>
        <w:t xml:space="preserve">), the Federal Insecticide, Fungicide and Rodenticide Act (7 U.S.C. § 136 </w:t>
      </w:r>
      <w:r>
        <w:rPr>
          <w:rFonts w:ascii="Times New Roman" w:hAnsi="Times New Roman"/>
          <w:i/>
          <w:color w:val="000000"/>
          <w:sz w:val="22"/>
        </w:rPr>
        <w:t>et seq.</w:t>
      </w:r>
      <w:r>
        <w:rPr>
          <w:rFonts w:ascii="Times New Roman" w:hAnsi="Times New Roman"/>
          <w:color w:val="000000"/>
          <w:sz w:val="22"/>
        </w:rPr>
        <w:t xml:space="preserve">), the Emergency Planning and Community Right-to-Know Act (42 U.S.C. § 11001 </w:t>
      </w:r>
      <w:r>
        <w:rPr>
          <w:rFonts w:ascii="Times New Roman" w:hAnsi="Times New Roman"/>
          <w:i/>
          <w:color w:val="000000"/>
          <w:sz w:val="22"/>
        </w:rPr>
        <w:t>et seq.</w:t>
      </w:r>
      <w:r>
        <w:rPr>
          <w:rFonts w:ascii="Times New Roman" w:hAnsi="Times New Roman"/>
          <w:color w:val="000000"/>
          <w:sz w:val="22"/>
        </w:rPr>
        <w:t xml:space="preserve">), the Occupational Safety and Health Act (29 U.S.C. § 651 </w:t>
      </w:r>
      <w:r>
        <w:rPr>
          <w:rFonts w:ascii="Times New Roman" w:hAnsi="Times New Roman"/>
          <w:i/>
          <w:color w:val="000000"/>
          <w:sz w:val="22"/>
        </w:rPr>
        <w:t>et seq.</w:t>
      </w:r>
      <w:r>
        <w:rPr>
          <w:rFonts w:ascii="Times New Roman" w:hAnsi="Times New Roman"/>
          <w:color w:val="000000"/>
          <w:sz w:val="22"/>
        </w:rPr>
        <w:t xml:space="preserve">), the Residential Lead-Based Paint Hazard Reduction Act (42 U.S.C. § 4851 </w:t>
      </w:r>
      <w:r>
        <w:rPr>
          <w:rFonts w:ascii="Times New Roman" w:hAnsi="Times New Roman"/>
          <w:i/>
          <w:color w:val="000000"/>
          <w:sz w:val="22"/>
        </w:rPr>
        <w:t>et seq.</w:t>
      </w:r>
      <w:r>
        <w:rPr>
          <w:rFonts w:ascii="Times New Roman" w:hAnsi="Times New Roman"/>
          <w:color w:val="000000"/>
          <w:sz w:val="22"/>
        </w:rPr>
        <w:t>), any analogous state or local laws, any amendments thereto, and the regulations promulgated pursuant to said laws, together with all amendments from time to time to any of the foregoing and judicial interpretations thereof.</w:t>
      </w:r>
    </w:p>
    <w:p>
      <w:pPr>
        <w:pStyle w:val="TextBody"/>
        <w:bidi w:val="0"/>
        <w:spacing w:before="0" w:after="240"/>
        <w:jc w:val="both"/>
        <w:rPr/>
      </w:pPr>
      <w:r>
        <w:rPr>
          <w:color w:val="000000"/>
        </w:rPr>
        <w:t>“</w:t>
      </w:r>
      <w:r>
        <w:rPr>
          <w:rFonts w:ascii="Times New Roman" w:hAnsi="Times New Roman"/>
          <w:b/>
          <w:color w:val="000000"/>
          <w:sz w:val="22"/>
        </w:rPr>
        <w:t>Equipment</w:t>
      </w:r>
      <w:r>
        <w:rPr>
          <w:rFonts w:ascii="Times New Roman" w:hAnsi="Times New Roman"/>
          <w:color w:val="000000"/>
          <w:sz w:val="20"/>
        </w:rPr>
        <w:t xml:space="preserve">” </w:t>
      </w:r>
      <w:r>
        <w:rPr>
          <w:rFonts w:ascii="Times New Roman" w:hAnsi="Times New Roman"/>
          <w:color w:val="000000"/>
          <w:sz w:val="22"/>
        </w:rPr>
        <w:t>means “equipment” as defined in Article 9 of the UCC.</w:t>
      </w:r>
    </w:p>
    <w:p>
      <w:pPr>
        <w:pStyle w:val="TextBody"/>
        <w:bidi w:val="0"/>
        <w:spacing w:before="0" w:after="240"/>
        <w:jc w:val="both"/>
        <w:rPr/>
      </w:pPr>
      <w:r>
        <w:rPr>
          <w:color w:val="000000"/>
        </w:rPr>
        <w:t>“</w:t>
      </w:r>
      <w:r>
        <w:rPr>
          <w:rFonts w:ascii="Times New Roman" w:hAnsi="Times New Roman"/>
          <w:b/>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with respect to any Person, all shares of capital stock, partnership interests, membership interests in a limited liability company or other ownership in participation or equivalent interests (however designated, whether voting or non-voting) of such Person’s equity capital (including any warrants, options or other purchase rights with respect to the foregoing), whether now outstanding or issued after the Closing Date.</w:t>
      </w:r>
    </w:p>
    <w:p>
      <w:pPr>
        <w:pStyle w:val="TextBody"/>
        <w:bidi w:val="0"/>
        <w:spacing w:before="0" w:after="240"/>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the same may be amended, modified or supplemented from time to time, and any successor statute thereto, and any and all rules or regulations promulgated from time to time thereunder.</w:t>
      </w:r>
    </w:p>
    <w:p>
      <w:pPr>
        <w:pStyle w:val="TextBody"/>
        <w:bidi w:val="0"/>
        <w:spacing w:before="0" w:after="240"/>
        <w:jc w:val="both"/>
        <w:rPr/>
      </w:pPr>
      <w:r>
        <w:rPr>
          <w:color w:val="000000"/>
        </w:rPr>
        <w:t>“</w:t>
      </w:r>
      <w:r>
        <w:rPr>
          <w:rFonts w:ascii="Times New Roman" w:hAnsi="Times New Roman"/>
          <w:b/>
          <w:color w:val="000000"/>
          <w:sz w:val="22"/>
        </w:rPr>
        <w:t>ERISA Plan</w:t>
      </w:r>
      <w:r>
        <w:rPr>
          <w:rFonts w:ascii="Times New Roman" w:hAnsi="Times New Roman"/>
          <w:color w:val="000000"/>
          <w:sz w:val="20"/>
        </w:rPr>
        <w:t xml:space="preserve">” </w:t>
      </w:r>
      <w:r>
        <w:rPr>
          <w:rFonts w:ascii="Times New Roman" w:hAnsi="Times New Roman"/>
          <w:color w:val="000000"/>
          <w:sz w:val="22"/>
        </w:rPr>
        <w:t>means any “employee benefit plan”, as such term is defined in Section 3(3) of ERISA (other than a Multiemployer Plan), which any Credit Party or any Subsidiary maintains, sponsors or contributes to, or, in the case of an employee benefit plan which is subject to Section 412 of the Code or Title IV of ERISA, to which any Credit Party or any Subsidiary has any liability, including on account of any member of the Controlled Group, including any liability by reason of having been a substantial employer within the meaning of Section 4063 of ERISA at any time during the preceding five (5) years, or by reason of being deemed to be a contributing sponsor under Section 4069 of ERISA.</w:t>
      </w:r>
    </w:p>
    <w:p>
      <w:pPr>
        <w:pStyle w:val="TextBody"/>
        <w:bidi w:val="0"/>
        <w:spacing w:before="0" w:after="240"/>
        <w:jc w:val="both"/>
        <w:rPr/>
      </w:pPr>
      <w:r>
        <w:rPr>
          <w:color w:val="000000"/>
        </w:rPr>
        <w:t>“</w:t>
      </w:r>
      <w:r>
        <w:rPr>
          <w:rFonts w:ascii="Times New Roman" w:hAnsi="Times New Roman"/>
          <w:b/>
          <w:color w:val="000000"/>
          <w:sz w:val="22"/>
        </w:rPr>
        <w:t>Erroneous Payment</w:t>
      </w:r>
      <w:r>
        <w:rPr>
          <w:rFonts w:ascii="Times New Roman" w:hAnsi="Times New Roman"/>
          <w:color w:val="000000"/>
          <w:sz w:val="20"/>
        </w:rPr>
        <w:t xml:space="preserve">” </w:t>
      </w:r>
      <w:r>
        <w:rPr>
          <w:rFonts w:ascii="Times New Roman" w:hAnsi="Times New Roman"/>
          <w:color w:val="000000"/>
          <w:sz w:val="22"/>
        </w:rPr>
        <w:t>has the meaning specified therefor in Section 13.20.</w:t>
      </w:r>
    </w:p>
    <w:p>
      <w:pPr>
        <w:pStyle w:val="TextBody"/>
        <w:bidi w:val="0"/>
        <w:spacing w:before="0" w:after="240"/>
        <w:jc w:val="both"/>
        <w:rPr/>
      </w:pPr>
      <w:r>
        <w:rPr>
          <w:color w:val="000000"/>
        </w:rPr>
        <w:t>“</w:t>
      </w:r>
      <w:r>
        <w:rPr>
          <w:rFonts w:ascii="Times New Roman" w:hAnsi="Times New Roman"/>
          <w:b/>
          <w:color w:val="000000"/>
          <w:sz w:val="22"/>
        </w:rPr>
        <w:t>Erroneous Payment Deficiency Assignment</w:t>
      </w:r>
      <w:r>
        <w:rPr>
          <w:rFonts w:ascii="Times New Roman" w:hAnsi="Times New Roman"/>
          <w:color w:val="000000"/>
          <w:sz w:val="20"/>
        </w:rPr>
        <w:t xml:space="preserve">” </w:t>
      </w:r>
      <w:r>
        <w:rPr>
          <w:rFonts w:ascii="Times New Roman" w:hAnsi="Times New Roman"/>
          <w:color w:val="000000"/>
          <w:sz w:val="22"/>
        </w:rPr>
        <w:t>has the meaning specified therefor in Section 13.20.</w:t>
      </w:r>
    </w:p>
    <w:p>
      <w:pPr>
        <w:pStyle w:val="TextBody"/>
        <w:bidi w:val="0"/>
        <w:spacing w:before="0" w:after="240"/>
        <w:jc w:val="both"/>
        <w:rPr/>
      </w:pPr>
      <w:r>
        <w:rPr>
          <w:color w:val="000000"/>
        </w:rPr>
        <w:t>“</w:t>
      </w:r>
      <w:r>
        <w:rPr>
          <w:rFonts w:ascii="Times New Roman" w:hAnsi="Times New Roman"/>
          <w:b/>
          <w:color w:val="000000"/>
          <w:sz w:val="22"/>
        </w:rPr>
        <w:t>Erroneous Payment Impacted Loans</w:t>
      </w:r>
      <w:r>
        <w:rPr>
          <w:rFonts w:ascii="Times New Roman" w:hAnsi="Times New Roman"/>
          <w:color w:val="000000"/>
          <w:sz w:val="20"/>
        </w:rPr>
        <w:t xml:space="preserve">” </w:t>
      </w:r>
      <w:r>
        <w:rPr>
          <w:rFonts w:ascii="Times New Roman" w:hAnsi="Times New Roman"/>
          <w:color w:val="000000"/>
          <w:sz w:val="22"/>
        </w:rPr>
        <w:t>has the meaning specified therefor in Section 13.20.</w:t>
      </w:r>
    </w:p>
    <w:p>
      <w:pPr>
        <w:pStyle w:val="TextBody"/>
        <w:bidi w:val="0"/>
        <w:spacing w:before="0" w:after="240"/>
        <w:jc w:val="both"/>
        <w:rPr/>
      </w:pPr>
      <w:r>
        <w:rPr>
          <w:color w:val="000000"/>
        </w:rPr>
        <w:t>“</w:t>
      </w:r>
      <w:r>
        <w:rPr>
          <w:rFonts w:ascii="Times New Roman" w:hAnsi="Times New Roman"/>
          <w:b/>
          <w:color w:val="000000"/>
          <w:sz w:val="22"/>
        </w:rPr>
        <w:t>Erroneous Payment Return Deficiency</w:t>
      </w:r>
      <w:r>
        <w:rPr>
          <w:rFonts w:ascii="Times New Roman" w:hAnsi="Times New Roman"/>
          <w:color w:val="000000"/>
          <w:sz w:val="20"/>
        </w:rPr>
        <w:t xml:space="preserve">” </w:t>
      </w:r>
      <w:r>
        <w:rPr>
          <w:rFonts w:ascii="Times New Roman" w:hAnsi="Times New Roman"/>
          <w:color w:val="000000"/>
          <w:sz w:val="22"/>
        </w:rPr>
        <w:t>has the meaning specified therefor in Section 13.20.</w:t>
      </w:r>
    </w:p>
    <w:p>
      <w:pPr>
        <w:pStyle w:val="TextBody"/>
        <w:bidi w:val="0"/>
        <w:spacing w:before="0" w:after="240"/>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has the meaning set forth in Section 10.1.</w:t>
      </w:r>
    </w:p>
    <w:p>
      <w:pPr>
        <w:pStyle w:val="TextBody"/>
        <w:bidi w:val="0"/>
        <w:spacing w:before="0" w:after="240"/>
        <w:jc w:val="both"/>
        <w:rPr/>
      </w:pPr>
      <w:r>
        <w:rPr>
          <w:color w:val="000000"/>
        </w:rPr>
        <w:t>“</w:t>
      </w:r>
      <w:r>
        <w:rPr>
          <w:rFonts w:ascii="Times New Roman" w:hAnsi="Times New Roman"/>
          <w:b/>
          <w:color w:val="000000"/>
          <w:sz w:val="22"/>
        </w:rPr>
        <w:t>Excluded Accounts</w:t>
      </w:r>
      <w:r>
        <w:rPr>
          <w:rFonts w:ascii="Times New Roman" w:hAnsi="Times New Roman"/>
          <w:color w:val="000000"/>
          <w:sz w:val="20"/>
        </w:rPr>
        <w:t xml:space="preserve">” </w:t>
      </w:r>
      <w:r>
        <w:rPr>
          <w:rFonts w:ascii="Times New Roman" w:hAnsi="Times New Roman"/>
          <w:color w:val="000000"/>
          <w:sz w:val="22"/>
        </w:rPr>
        <w:t>means (a) segregated Deposit Accounts into which there are deposited no funds other than those intended solely to cover wages and payroll for employees of a Credit Party for a period of service no longer than two weeks at any time (and related contributions to be made on behalf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such employees to health and benefit plans) plus balances for outstanding checks for wages and payroll from prior periods, (b) segregated Deposit Accounts constituting employee withholding accounts and containing only funds deducted from pay otherwise due to employees for services rendered to be applied toward the tax obligations of such employees, (c) segregated Deposit Accounts constituting trust, fiduciary and escrow accounts in which there is not maintained at any point in time funds on deposit greater than $1,000,000 (one million) in the aggregate for all such accounts, (d) segregated Deposit Accounts or Securities Accounts holding cash or Cash Equivalents described in clauses (o), (p) and (q) of the definition Permitted Liens (and subject to the cap set forth therein), (e) segregated Deposit Accounts held in asset management or Deposit Accounts containing only funds designated for employees for year-end 401(k) match true-up contributions until such contributions are paid, and (f) segregated Deposit Accounts containing only funds held for refunds to employees who over-contribute to the employee stock purchase plan;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accounts described in clauses (a) through (f) above shall be used solely for the purposes described in such clauses.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Excluded Perfection Assets</w:t>
      </w:r>
      <w:r>
        <w:rPr>
          <w:rFonts w:ascii="Times New Roman" w:hAnsi="Times New Roman"/>
          <w:color w:val="000000"/>
          <w:sz w:val="20"/>
        </w:rPr>
        <w:t xml:space="preserve">” </w:t>
      </w:r>
      <w:r>
        <w:rPr>
          <w:rFonts w:ascii="Times New Roman" w:hAnsi="Times New Roman"/>
          <w:color w:val="000000"/>
          <w:sz w:val="22"/>
        </w:rPr>
        <w:t>means, collectively: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Excluded Accounts;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letter of credit rights with a value of less than $1,000,000 in the aggregate (other than to the extent consisting of a supporting obligation or that can be perfected by the filing of a UCC financing statement);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 commercial tort claims where the amount of damages claimed by the applicable Credit Party is less than $1,000,000 in the aggregate for all such commercial tort claims;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 Electronic Chattel Paper or tangible Chattel Paper, in each case, with a value of less than $1,000,000 in the aggregate</w:t>
      </w:r>
      <w:r>
        <w:rPr>
          <w:rFonts w:ascii="Times New Roman" w:hAnsi="Times New Roman"/>
          <w:color w:val="000000"/>
          <w:sz w:val="20"/>
        </w:rPr>
        <w:t xml:space="preserve"> </w:t>
      </w:r>
      <w:r>
        <w:rPr>
          <w:rFonts w:ascii="Times New Roman" w:hAnsi="Times New Roman"/>
          <w:color w:val="000000"/>
          <w:sz w:val="22"/>
        </w:rPr>
        <w:t>(other than to the extent consisting of a supporting obligation or that can be perfected by the filing of a UCC financing statement); and</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 motor vehicles, aircraft and other assets subject to certificates of title with an aggregate net book value (as reasonably determined by the Borrowers) of less than $1,000,000 in the aggregate (other than to the extent a security interest thereon can be perfected by the filing of a financing statement under the UCC).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Excluded Property”</w:t>
      </w:r>
      <w:r>
        <w:rPr>
          <w:rFonts w:ascii="Times New Roman" w:hAnsi="Times New Roman"/>
          <w:color w:val="000000"/>
          <w:sz w:val="20"/>
        </w:rPr>
        <w:t xml:space="preserve"> </w:t>
      </w:r>
      <w:r>
        <w:rPr>
          <w:rFonts w:ascii="Times New Roman" w:hAnsi="Times New Roman"/>
          <w:color w:val="000000"/>
          <w:sz w:val="22"/>
        </w:rPr>
        <w:t>means, collectively:</w:t>
      </w:r>
    </w:p>
    <w:p>
      <w:pPr>
        <w:pStyle w:val="TextBody"/>
        <w:bidi w:val="0"/>
        <w:spacing w:before="0" w:after="240"/>
        <w:jc w:val="both"/>
        <w:rPr>
          <w:rFonts w:ascii="Times New Roman" w:hAnsi="Times New Roman"/>
          <w:sz w:val="20"/>
        </w:rPr>
      </w:pPr>
      <w:r>
        <w:rPr>
          <w:rFonts w:ascii="Times New Roman" w:hAnsi="Times New Roman"/>
          <w:color w:val="000000"/>
          <w:sz w:val="22"/>
        </w:rPr>
        <w:t>(a) any lease, license, contract, permit, letter of credit, purchase money arrangement, instrument or agreement to which any Credit Party is a party or any of its rights or interests thereunder if and to the extent that the grant of such security interest shall constitute a result in (i) the abandonment, invalidation or unenforceability of any right, title or interest of any Credit Party therein or (ii) result in a breach or termination pursuant to the terms of, or default under, any such lease, license, contract, permit, letter of credit, purchase money arrangement, instrument or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any governmental licenses or state or local franchises, charters and authorizations, to the extent that Agent may not validly possess a security interest in any such license, franchise, charter or authorization under applicable Law;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 any asset which is subject to a purchase money Lien or Capital Lease permitted hereunder to the extent the granting of a security interest in such asset is prohibited pursuant to the terms of the contract governing such purchase money Lien or Capital Lease;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more than 65% of the voting Equity Interest of any Foreign Subsidiary that is not a Credit Party, to the extent that a pledge of such Equity Interests would result in a material adverse tax consequence to the Credit Parties and their Subsidiaries taken as a whole; and</w:t>
      </w:r>
    </w:p>
    <w:p>
      <w:pPr>
        <w:pStyle w:val="TextBody"/>
        <w:bidi w:val="0"/>
        <w:spacing w:before="0" w:after="240"/>
        <w:jc w:val="both"/>
        <w:rPr>
          <w:rFonts w:ascii="Times New Roman" w:hAnsi="Times New Roman"/>
          <w:sz w:val="20"/>
        </w:rPr>
      </w:pPr>
      <w:r>
        <w:rPr>
          <w:rFonts w:ascii="Times New Roman" w:hAnsi="Times New Roman"/>
          <w:color w:val="000000"/>
          <w:sz w:val="22"/>
        </w:rPr>
        <w:t>(e) any “intent-to-use” trademarks or service mark applications for which an amendment to allege use or statement of use has not been filed under 15 U.S.C. § 1051 Section 1(c) or Section 1(d), respectively or if filed, has not been deemed in conformance with 15 U.S.C. § 1051(a) or examined and accepted, respectively by the United States Patent and Trademark Office;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(x) any such limitation described in the foregoing clauses (a) and (b) on the security interests granted hereunder shall apply only to the extent that any such prohibition could not be rendered ineffective pursuant to the UCC or any other applicable Law (including Sections 9-406, 9-407 and 9-408 of the UCC) or principles of equity, (y) in the event of the termination or elimination of any such prohibition or the requirement for any consent contained in such contract, agreement, permit, lease or license or in any applicable Law, to the extent sufficient to permit any such item to become Collateral hereunder, or upon the granting of any such consent, or waiving or terminating any requirement for such consent, a security interest in such contract, agreement, permit, lease, license, franchise, authorization or asset shall be automatically and simultaneously granted hereunder and shall be included as Collateral hereunder, and (z) all rights to payment of money due or to become due pursuant to, and all products and Proceeds (and rights to the Proceeds) from the sale of, any Excluded Property shall be and at all times remain subject to the security interests created by this Agreement (unless such Proceeds would independently constitute Excluded Property).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means any of the following Taxes imposed on or with respect to Agent, Term Loan Servicer, any Lender or any other recipient of any payment to be made by or on behalf of any obligation of the Credit Parties hereunder or the Obligations or required to be withheld or deducted from a payment to Agent, Term Loan Servicer, such Lender or such recipient (including any interest and penalties thereon): (a) Taxes to the extent imposed on or measured by Agent’s, Term Loan Servicer’s any Lender’s or such recipient’s net income (however denominated), branch profits Taxes, and franchise Taxes and similar Taxes, in each case, (i) imposed by the jurisdiction (or any political subdivision thereof) under which Agent, Term Loan Servicer,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Section 2.8(i) or Section 11.17(c)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Revolving Loan Commitments or Term</w:t>
      </w:r>
      <w:r>
        <w:rPr>
          <w:rFonts w:ascii="Times New Roman" w:hAnsi="Times New Roman"/>
          <w:color w:val="000000"/>
          <w:sz w:val="20"/>
        </w:rPr>
        <w:t xml:space="preserve"> </w:t>
      </w:r>
      <w:r>
        <w:rPr>
          <w:rFonts w:ascii="Times New Roman" w:hAnsi="Times New Roman"/>
          <w:color w:val="000000"/>
          <w:sz w:val="22"/>
        </w:rPr>
        <w:t>Loan Commitment or to such Lender immediately before it changed its lending office; (c) Taxes attributable to Agent’s, Term Loan Servicer’s, such Lender’s or such recipient’s failure to comply with Section 2.8(c); and (d) any U.S. federal withholding taxes imposed in respect of a Lender under FATCA.</w:t>
      </w:r>
    </w:p>
    <w:p>
      <w:pPr>
        <w:pStyle w:val="TextBody"/>
        <w:bidi w:val="0"/>
        <w:spacing w:before="0" w:after="240"/>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that is substantively comparable and not materially more onerous to comply with), any current or future U.S. Treasury regulations or official interpretations thereof and any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implementation of such sections of the Code.</w:t>
      </w:r>
    </w:p>
    <w:p>
      <w:pPr>
        <w:pStyle w:val="TextBody"/>
        <w:bidi w:val="0"/>
        <w:spacing w:before="0" w:after="240"/>
        <w:jc w:val="both"/>
        <w:rPr/>
      </w:pPr>
      <w:r>
        <w:rPr>
          <w:color w:val="000000"/>
        </w:rPr>
        <w:t>“</w:t>
      </w:r>
      <w:r>
        <w:rPr>
          <w:rFonts w:ascii="Times New Roman" w:hAnsi="Times New Roman"/>
          <w:b/>
          <w:color w:val="000000"/>
          <w:sz w:val="22"/>
        </w:rPr>
        <w:t>FDA</w:t>
      </w:r>
      <w:r>
        <w:rPr>
          <w:rFonts w:ascii="Times New Roman" w:hAnsi="Times New Roman"/>
          <w:color w:val="000000"/>
          <w:sz w:val="20"/>
        </w:rPr>
        <w:t xml:space="preserve">” </w:t>
      </w:r>
      <w:r>
        <w:rPr>
          <w:rFonts w:ascii="Times New Roman" w:hAnsi="Times New Roman"/>
          <w:color w:val="000000"/>
          <w:sz w:val="22"/>
        </w:rPr>
        <w:t>means the Food and Drug Administration of the United States of America, any comparable state or local Governmental Authority, any comparable Governmental Authority in any non-United States jurisdiction, and any successor agency of any of the foregoing.</w:t>
      </w:r>
    </w:p>
    <w:p>
      <w:pPr>
        <w:pStyle w:val="TextBody"/>
        <w:bidi w:val="0"/>
        <w:spacing w:before="0" w:after="240"/>
        <w:jc w:val="both"/>
        <w:rPr/>
      </w:pPr>
      <w:r>
        <w:rPr>
          <w:color w:val="000000"/>
        </w:rPr>
        <w:t>“</w:t>
      </w:r>
      <w:r>
        <w:rPr>
          <w:rFonts w:ascii="Times New Roman" w:hAnsi="Times New Roman"/>
          <w:b/>
          <w:color w:val="000000"/>
          <w:sz w:val="22"/>
        </w:rPr>
        <w:t>FDCA</w:t>
      </w:r>
      <w:r>
        <w:rPr>
          <w:rFonts w:ascii="Times New Roman" w:hAnsi="Times New Roman"/>
          <w:color w:val="000000"/>
          <w:sz w:val="20"/>
        </w:rPr>
        <w:t xml:space="preserve">” </w:t>
      </w:r>
      <w:r>
        <w:rPr>
          <w:rFonts w:ascii="Times New Roman" w:hAnsi="Times New Roman"/>
          <w:color w:val="000000"/>
          <w:sz w:val="22"/>
        </w:rPr>
        <w:t>means the Federal Food, Drug and Cosmetic Act, as amended, 21 U.S.C. Section 301 et seq., and all regulations promulgated thereunder.</w:t>
      </w:r>
    </w:p>
    <w:p>
      <w:pPr>
        <w:pStyle w:val="TextBody"/>
        <w:bidi w:val="0"/>
        <w:spacing w:before="0" w:after="240"/>
        <w:jc w:val="both"/>
        <w:rPr/>
      </w:pPr>
      <w:r>
        <w:rPr>
          <w:color w:val="000000"/>
        </w:rPr>
        <w:t>“</w:t>
      </w:r>
      <w:r>
        <w:rPr>
          <w:rFonts w:ascii="Times New Roman" w:hAnsi="Times New Roman"/>
          <w:b/>
          <w:color w:val="000000"/>
          <w:sz w:val="22"/>
        </w:rPr>
        <w:t>Federal Funds Rate</w:t>
      </w:r>
      <w:r>
        <w:rPr>
          <w:rFonts w:ascii="Times New Roman" w:hAnsi="Times New Roman"/>
          <w:color w:val="000000"/>
          <w:sz w:val="20"/>
        </w:rPr>
        <w:t xml:space="preserve">” </w:t>
      </w:r>
      <w:r>
        <w:rPr>
          <w:rFonts w:ascii="Times New Roman" w:hAnsi="Times New Roman"/>
          <w:color w:val="000000"/>
          <w:sz w:val="22"/>
        </w:rPr>
        <w:t xml:space="preserve">means, for any day, the rate of interest per annum (rounded upwards, if necessary, to the nearest whole multiple of 1/100 of 1%)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i/>
          <w:color w:val="000000"/>
          <w:sz w:val="22"/>
        </w:rPr>
        <w:t>provided, however</w:t>
      </w:r>
      <w:r>
        <w:rPr>
          <w:rFonts w:ascii="Times New Roman" w:hAnsi="Times New Roman"/>
          <w:color w:val="000000"/>
          <w:sz w:val="22"/>
        </w:rPr>
        <w:t>, that (a) if such day is not a Business Day, the Federal Funds Rate for such day shall be such rate on such transactions on the next preceding Business Day, and (b) if no such rate is so published on such next preceding Business Day, the Federal Funds Rate for such day shall be the average rate quoted to Agent on such day on such transactions as determined by Agent in a commercially reasonable manner.</w:t>
      </w:r>
    </w:p>
    <w:p>
      <w:pPr>
        <w:pStyle w:val="TextBody"/>
        <w:bidi w:val="0"/>
        <w:spacing w:before="0" w:after="240"/>
        <w:jc w:val="both"/>
        <w:rPr/>
      </w:pPr>
      <w:r>
        <w:rPr>
          <w:color w:val="000000"/>
        </w:rPr>
        <w:t>“</w:t>
      </w:r>
      <w:r>
        <w:rPr>
          <w:rFonts w:ascii="Times New Roman" w:hAnsi="Times New Roman"/>
          <w:b/>
          <w:color w:val="000000"/>
          <w:sz w:val="22"/>
        </w:rPr>
        <w:t>Fee Letter</w:t>
      </w:r>
      <w:r>
        <w:rPr>
          <w:rFonts w:ascii="Times New Roman" w:hAnsi="Times New Roman"/>
          <w:color w:val="000000"/>
          <w:sz w:val="20"/>
        </w:rPr>
        <w:t xml:space="preserve">” </w:t>
      </w:r>
      <w:r>
        <w:rPr>
          <w:rFonts w:ascii="Times New Roman" w:hAnsi="Times New Roman"/>
          <w:color w:val="000000"/>
          <w:sz w:val="22"/>
        </w:rPr>
        <w:t>means each agreement between Agent (and to the extent applicable Term Loan Servicer) and Borrower relating to fees payable to Agent and/or Lenders in connection with this Agreement.</w:t>
      </w:r>
    </w:p>
    <w:p>
      <w:pPr>
        <w:pStyle w:val="TextBody"/>
        <w:bidi w:val="0"/>
        <w:spacing w:before="0" w:after="240"/>
        <w:jc w:val="both"/>
        <w:rPr/>
      </w:pPr>
      <w:r>
        <w:rPr>
          <w:color w:val="000000"/>
        </w:rPr>
        <w:t>“</w:t>
      </w:r>
      <w:r>
        <w:rPr>
          <w:rFonts w:ascii="Times New Roman" w:hAnsi="Times New Roman"/>
          <w:b/>
          <w:color w:val="000000"/>
          <w:sz w:val="22"/>
        </w:rPr>
        <w:t>Financial Covenant Testing Period</w:t>
      </w:r>
      <w:r>
        <w:rPr>
          <w:rFonts w:ascii="Times New Roman" w:hAnsi="Times New Roman"/>
          <w:color w:val="000000"/>
          <w:sz w:val="20"/>
        </w:rPr>
        <w:t xml:space="preserve">” </w:t>
      </w:r>
      <w:r>
        <w:rPr>
          <w:rFonts w:ascii="Times New Roman" w:hAnsi="Times New Roman"/>
          <w:color w:val="000000"/>
          <w:sz w:val="22"/>
        </w:rPr>
        <w:t xml:space="preserve">means the period beginning on the Financial Covenant Trigger Date and continuing until the date on which the sum of (i) the aggregate outstanding principal balance of the Term Loans </w:t>
      </w:r>
      <w:r>
        <w:rPr>
          <w:rFonts w:ascii="Times New Roman" w:hAnsi="Times New Roman"/>
          <w:i/>
          <w:color w:val="000000"/>
          <w:sz w:val="22"/>
        </w:rPr>
        <w:t xml:space="preserve">plus </w:t>
      </w:r>
      <w:r>
        <w:rPr>
          <w:rFonts w:ascii="Times New Roman" w:hAnsi="Times New Roman"/>
          <w:color w:val="000000"/>
          <w:sz w:val="22"/>
        </w:rPr>
        <w:t>(ii) the aggregate amount of the Revolving Loan Commitment is less than or equal to $35,000,000.</w:t>
      </w:r>
    </w:p>
    <w:p>
      <w:pPr>
        <w:pStyle w:val="TextBody"/>
        <w:bidi w:val="0"/>
        <w:spacing w:before="0" w:after="240"/>
        <w:jc w:val="both"/>
        <w:rPr/>
      </w:pPr>
      <w:r>
        <w:rPr>
          <w:color w:val="000000"/>
        </w:rPr>
        <w:t>“</w:t>
      </w:r>
      <w:r>
        <w:rPr>
          <w:rFonts w:ascii="Times New Roman" w:hAnsi="Times New Roman"/>
          <w:b/>
          <w:color w:val="000000"/>
          <w:sz w:val="22"/>
        </w:rPr>
        <w:t>Financial Covenant Trigger Date</w:t>
      </w:r>
      <w:r>
        <w:rPr>
          <w:rFonts w:ascii="Times New Roman" w:hAnsi="Times New Roman"/>
          <w:color w:val="000000"/>
          <w:sz w:val="20"/>
        </w:rPr>
        <w:t xml:space="preserve">” </w:t>
      </w:r>
      <w:r>
        <w:rPr>
          <w:rFonts w:ascii="Times New Roman" w:hAnsi="Times New Roman"/>
          <w:color w:val="000000"/>
          <w:sz w:val="22"/>
        </w:rPr>
        <w:t xml:space="preserve">means the date on which the sum of (i) the aggregate outstanding principal balance of the Term Loans </w:t>
      </w:r>
      <w:r>
        <w:rPr>
          <w:rFonts w:ascii="Times New Roman" w:hAnsi="Times New Roman"/>
          <w:i/>
          <w:color w:val="000000"/>
          <w:sz w:val="22"/>
        </w:rPr>
        <w:t xml:space="preserve">plus </w:t>
      </w:r>
      <w:r>
        <w:rPr>
          <w:rFonts w:ascii="Times New Roman" w:hAnsi="Times New Roman"/>
          <w:color w:val="000000"/>
          <w:sz w:val="22"/>
        </w:rPr>
        <w:t>(ii) the aggregate amount of the Revolving Loan Commitment exceeds $35,000,000.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any Notes, the Security Documents, each Fee Letter, each subordination or intercreditor agreement pursuant to which any Debt and/or any Liens securing such Debt are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Floor</w:t>
      </w:r>
      <w:r>
        <w:rPr>
          <w:rFonts w:ascii="Times New Roman" w:hAnsi="Times New Roman"/>
          <w:color w:val="000000"/>
          <w:sz w:val="20"/>
        </w:rPr>
        <w:t xml:space="preserve">” </w:t>
      </w:r>
      <w:r>
        <w:rPr>
          <w:rFonts w:ascii="Times New Roman" w:hAnsi="Times New Roman"/>
          <w:color w:val="000000"/>
          <w:sz w:val="22"/>
        </w:rPr>
        <w:t>means the rate per annum of interest equal to one percent (1.00%).</w:t>
      </w:r>
    </w:p>
    <w:p>
      <w:pPr>
        <w:pStyle w:val="TextBody"/>
        <w:bidi w:val="0"/>
        <w:spacing w:before="0" w:after="240"/>
        <w:jc w:val="both"/>
        <w:rPr/>
      </w:pPr>
      <w:r>
        <w:rPr>
          <w:color w:val="000000"/>
        </w:rPr>
        <w:t>“</w:t>
      </w:r>
      <w:r>
        <w:rPr>
          <w:rFonts w:ascii="Times New Roman" w:hAnsi="Times New Roman"/>
          <w:b/>
          <w:color w:val="000000"/>
          <w:sz w:val="22"/>
        </w:rPr>
        <w:t>Foreign Lender</w:t>
      </w:r>
      <w:r>
        <w:rPr>
          <w:rFonts w:ascii="Times New Roman" w:hAnsi="Times New Roman"/>
          <w:color w:val="000000"/>
          <w:sz w:val="20"/>
        </w:rPr>
        <w:t xml:space="preserve">” </w:t>
      </w:r>
      <w:r>
        <w:rPr>
          <w:rFonts w:ascii="Times New Roman" w:hAnsi="Times New Roman"/>
          <w:color w:val="000000"/>
          <w:sz w:val="22"/>
        </w:rPr>
        <w:t>has the meaning set forth in Section 2.8(c)(i).</w:t>
      </w:r>
    </w:p>
    <w:p>
      <w:pPr>
        <w:pStyle w:val="TextBody"/>
        <w:bidi w:val="0"/>
        <w:spacing w:before="0" w:after="240"/>
        <w:jc w:val="both"/>
        <w:rPr/>
      </w:pPr>
      <w:r>
        <w:rPr>
          <w:color w:val="000000"/>
        </w:rPr>
        <w:t>“</w:t>
      </w:r>
      <w:r>
        <w:rPr>
          <w:rFonts w:ascii="Times New Roman" w:hAnsi="Times New Roman"/>
          <w:b/>
          <w:color w:val="000000"/>
          <w:sz w:val="22"/>
        </w:rPr>
        <w:t>Foreign Subsidiary</w:t>
      </w:r>
      <w:r>
        <w:rPr>
          <w:rFonts w:ascii="Times New Roman" w:hAnsi="Times New Roman"/>
          <w:color w:val="000000"/>
          <w:sz w:val="20"/>
        </w:rPr>
        <w:t xml:space="preserve">” </w:t>
      </w:r>
      <w:r>
        <w:rPr>
          <w:rFonts w:ascii="Times New Roman" w:hAnsi="Times New Roman"/>
          <w:color w:val="000000"/>
          <w:sz w:val="22"/>
        </w:rPr>
        <w:t>means any direct or indirect Subsidiary which is not a Domestic Subsidiary.</w:t>
      </w:r>
    </w:p>
    <w:p>
      <w:pPr>
        <w:pStyle w:val="TextBody"/>
        <w:bidi w:val="0"/>
        <w:spacing w:before="0" w:after="240"/>
        <w:jc w:val="both"/>
        <w:rPr/>
      </w:pPr>
      <w:r>
        <w:rPr>
          <w:color w:val="000000"/>
        </w:rPr>
        <w:t>“</w:t>
      </w:r>
      <w:r>
        <w:rPr>
          <w:rFonts w:ascii="Times New Roman" w:hAnsi="Times New Roman"/>
          <w:b/>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General Intangible</w:t>
      </w:r>
      <w:r>
        <w:rPr>
          <w:rFonts w:ascii="Times New Roman" w:hAnsi="Times New Roman"/>
          <w:color w:val="000000"/>
          <w:sz w:val="20"/>
        </w:rPr>
        <w:t xml:space="preserve">” </w:t>
      </w:r>
      <w:r>
        <w:rPr>
          <w:rFonts w:ascii="Times New Roman" w:hAnsi="Times New Roman"/>
          <w:color w:val="000000"/>
          <w:sz w:val="22"/>
        </w:rPr>
        <w:t>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pStyle w:val="TextBody"/>
        <w:bidi w:val="0"/>
        <w:spacing w:before="0" w:after="240"/>
        <w:jc w:val="both"/>
        <w:rPr/>
      </w:pPr>
      <w:r>
        <w:rPr>
          <w:color w:val="000000"/>
        </w:rPr>
        <w:t>“</w:t>
      </w:r>
      <w:r>
        <w:rPr>
          <w:rFonts w:ascii="Times New Roman" w:hAnsi="Times New Roman"/>
          <w:b/>
          <w:color w:val="000000"/>
          <w:sz w:val="22"/>
        </w:rPr>
        <w:t>Good Manufacturing Practices</w:t>
      </w:r>
      <w:r>
        <w:rPr>
          <w:rFonts w:ascii="Times New Roman" w:hAnsi="Times New Roman"/>
          <w:color w:val="000000"/>
          <w:sz w:val="20"/>
        </w:rPr>
        <w:t xml:space="preserve">” </w:t>
      </w:r>
      <w:r>
        <w:rPr>
          <w:rFonts w:ascii="Times New Roman" w:hAnsi="Times New Roman"/>
          <w:color w:val="000000"/>
          <w:sz w:val="22"/>
        </w:rPr>
        <w:t>means current good manufacturing practices, as set forth in 21 C.F.R. Parts 210 and 211.</w:t>
      </w:r>
    </w:p>
    <w:p>
      <w:pPr>
        <w:pStyle w:val="TextBody"/>
        <w:bidi w:val="0"/>
        <w:spacing w:before="0" w:after="240"/>
        <w:jc w:val="both"/>
        <w:rPr/>
      </w:pPr>
      <w:r>
        <w:rPr>
          <w:color w:val="000000"/>
        </w:rPr>
        <w:t>“</w:t>
      </w:r>
      <w:r>
        <w:rPr>
          <w:rFonts w:ascii="Times New Roman" w:hAnsi="Times New Roman"/>
          <w:b/>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any nation or government, any state, local or other political subdivision thereof, and any agency, department or Person exercising executive, legislative, judicial, regulatory or administrative functions of or pertaining to government and any corporation or other Person owned or controlled (through stock or capital ownership or otherwise) by any of the foregoing, whether domestic or foreign.</w:t>
      </w:r>
    </w:p>
    <w:p>
      <w:pPr>
        <w:pStyle w:val="TextBody"/>
        <w:bidi w:val="0"/>
        <w:spacing w:before="0" w:after="240"/>
        <w:jc w:val="both"/>
        <w:rPr/>
      </w:pPr>
      <w:r>
        <w:rPr>
          <w:color w:val="000000"/>
        </w:rPr>
        <w:t>“</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 xml:space="preserve">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 (a) 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term Guarantee shall not include endorsements for collection or deposit in the Ordinary Course of Business. The term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used as a verb has a corresponding meaning.</w:t>
      </w:r>
    </w:p>
    <w:p>
      <w:pPr>
        <w:pStyle w:val="TextBody"/>
        <w:bidi w:val="0"/>
        <w:spacing w:before="0" w:after="240"/>
        <w:jc w:val="both"/>
        <w:rPr/>
      </w:pPr>
      <w:r>
        <w:rPr>
          <w:color w:val="000000"/>
        </w:rPr>
        <w:t>“</w:t>
      </w:r>
      <w:r>
        <w:rPr>
          <w:rFonts w:ascii="Times New Roman" w:hAnsi="Times New Roman"/>
          <w:b/>
          <w:color w:val="000000"/>
          <w:sz w:val="22"/>
        </w:rPr>
        <w:t>Guarantor</w:t>
      </w:r>
      <w:r>
        <w:rPr>
          <w:rFonts w:ascii="Times New Roman" w:hAnsi="Times New Roman"/>
          <w:color w:val="000000"/>
          <w:sz w:val="20"/>
        </w:rPr>
        <w:t xml:space="preserve">” </w:t>
      </w:r>
      <w:r>
        <w:rPr>
          <w:rFonts w:ascii="Times New Roman" w:hAnsi="Times New Roman"/>
          <w:color w:val="000000"/>
          <w:sz w:val="22"/>
        </w:rPr>
        <w:t>means each Credit Party (other than a Borrower) that has executed or delivered, or shall in the future execute or deliver, this Agreement as a Guarantor or any other Guarantee of any portion of the Obligations.</w:t>
      </w:r>
    </w:p>
    <w:p>
      <w:pPr>
        <w:pStyle w:val="TextBody"/>
        <w:bidi w:val="0"/>
        <w:spacing w:before="0" w:after="240"/>
        <w:jc w:val="both"/>
        <w:rPr/>
      </w:pPr>
      <w:r>
        <w:rPr>
          <w:color w:val="000000"/>
        </w:rPr>
        <w:t>“</w:t>
      </w:r>
      <w:r>
        <w:rPr>
          <w:rFonts w:ascii="Times New Roman" w:hAnsi="Times New Roman"/>
          <w:b/>
          <w:color w:val="000000"/>
          <w:sz w:val="22"/>
        </w:rPr>
        <w:t>Hazardous Materials</w:t>
      </w:r>
      <w:r>
        <w:rPr>
          <w:rFonts w:ascii="Times New Roman" w:hAnsi="Times New Roman"/>
          <w:color w:val="000000"/>
          <w:sz w:val="20"/>
        </w:rPr>
        <w:t xml:space="preserve">” </w:t>
      </w:r>
      <w:r>
        <w:rPr>
          <w:rFonts w:ascii="Times New Roman" w:hAnsi="Times New Roman"/>
          <w:color w:val="000000"/>
          <w:sz w:val="22"/>
        </w:rPr>
        <w:t>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Hazardous Materials Contamination</w:t>
      </w:r>
      <w:r>
        <w:rPr>
          <w:rFonts w:ascii="Times New Roman" w:hAnsi="Times New Roman"/>
          <w:color w:val="000000"/>
          <w:sz w:val="20"/>
        </w:rPr>
        <w:t xml:space="preserve">” </w:t>
      </w:r>
      <w:r>
        <w:rPr>
          <w:rFonts w:ascii="Times New Roman" w:hAnsi="Times New Roman"/>
          <w:color w:val="000000"/>
          <w:sz w:val="22"/>
        </w:rPr>
        <w:t>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pStyle w:val="TextBody"/>
        <w:bidi w:val="0"/>
        <w:spacing w:before="0" w:after="240"/>
        <w:jc w:val="both"/>
        <w:rPr/>
      </w:pPr>
      <w:r>
        <w:rPr>
          <w:color w:val="000000"/>
        </w:rPr>
        <w:t>“</w:t>
      </w:r>
      <w:r>
        <w:rPr>
          <w:rFonts w:ascii="Times New Roman" w:hAnsi="Times New Roman"/>
          <w:b/>
          <w:color w:val="000000"/>
          <w:sz w:val="22"/>
        </w:rPr>
        <w:t>Healthcare Laws</w:t>
      </w:r>
      <w:r>
        <w:rPr>
          <w:rFonts w:ascii="Times New Roman" w:hAnsi="Times New Roman"/>
          <w:color w:val="000000"/>
          <w:sz w:val="20"/>
        </w:rPr>
        <w:t xml:space="preserve">” </w:t>
      </w:r>
      <w:r>
        <w:rPr>
          <w:rFonts w:ascii="Times New Roman" w:hAnsi="Times New Roman"/>
          <w:color w:val="000000"/>
          <w:sz w:val="22"/>
        </w:rPr>
        <w:t>means all applicable Laws relating to the procurement, development, provision, clinical and non-clinical evaluation or investigation, product approval or clearance, manufacture, production, analysis, distribution, dispensing, importation, exportation, use, handling, quality, reimbursement, sale, labeling, advertising, promotion, or post-market requirements of any medical device or other product (including, without limitation, any ingredient or component of, or accessory to, the foregoing products) subject to regulation under the FDCA or otherwise by the FDA, and similar state or foreign laws, controlled substance laws, consumer product safety laws, Medicare, Medicaid, TRICARE, and all laws, policies, procedures, requirements and regulations pursuant to which Regulatory Required Permits are issued, in each case, as the same may be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means (a) Taxes, other than Excluded Taxes, imposed on or with respect to any payment made by or on account of any obligation of Borrowers or any other Credit Party under any Financing Documents and (b) to the extent not otherwise described in (a), Other Taxes.</w:t>
      </w:r>
    </w:p>
    <w:p>
      <w:pPr>
        <w:pStyle w:val="TextBody"/>
        <w:bidi w:val="0"/>
        <w:spacing w:before="0" w:after="240"/>
        <w:jc w:val="both"/>
        <w:rPr/>
      </w:pPr>
      <w:r>
        <w:rPr>
          <w:color w:val="000000"/>
        </w:rPr>
        <w:t>“</w:t>
      </w:r>
      <w:r>
        <w:rPr>
          <w:rFonts w:ascii="Times New Roman" w:hAnsi="Times New Roman"/>
          <w:b/>
          <w:color w:val="000000"/>
          <w:sz w:val="22"/>
        </w:rPr>
        <w:t>Instrument</w:t>
      </w:r>
      <w:r>
        <w:rPr>
          <w:rFonts w:ascii="Times New Roman" w:hAnsi="Times New Roman"/>
          <w:color w:val="000000"/>
          <w:sz w:val="20"/>
        </w:rPr>
        <w:t xml:space="preserve">” </w:t>
      </w:r>
      <w:r>
        <w:rPr>
          <w:rFonts w:ascii="Times New Roman" w:hAnsi="Times New Roman"/>
          <w:color w:val="000000"/>
          <w:sz w:val="22"/>
        </w:rPr>
        <w:t>means “instrument”, as defined in Article 9 of the UCC.</w:t>
      </w:r>
    </w:p>
    <w:p>
      <w:pPr>
        <w:pStyle w:val="TextBody"/>
        <w:bidi w:val="0"/>
        <w:spacing w:before="0" w:after="240"/>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all applications and licenses therefor, used in or necessary for the conduct of business by such Person, and any claims for damage by way of any past, present, or future infringement of any of the foregoing.</w:t>
      </w:r>
    </w:p>
    <w:p>
      <w:pPr>
        <w:pStyle w:val="TextBody"/>
        <w:bidi w:val="0"/>
        <w:spacing w:before="0" w:after="240"/>
        <w:jc w:val="both"/>
        <w:rPr/>
      </w:pPr>
      <w:r>
        <w:rPr>
          <w:color w:val="000000"/>
        </w:rPr>
        <w:t>“</w:t>
      </w:r>
      <w:r>
        <w:rPr>
          <w:rFonts w:ascii="Times New Roman" w:hAnsi="Times New Roman"/>
          <w:b/>
          <w:color w:val="000000"/>
          <w:sz w:val="22"/>
        </w:rPr>
        <w:t>Interest Period</w:t>
      </w:r>
      <w:r>
        <w:rPr>
          <w:rFonts w:ascii="Times New Roman" w:hAnsi="Times New Roman"/>
          <w:color w:val="000000"/>
          <w:sz w:val="20"/>
        </w:rPr>
        <w:t xml:space="preserve">” </w:t>
      </w:r>
      <w:r>
        <w:rPr>
          <w:rFonts w:ascii="Times New Roman" w:hAnsi="Times New Roman"/>
          <w:color w:val="000000"/>
          <w:sz w:val="22"/>
        </w:rPr>
        <w:t>means any period commencing on the first day of a calendar month and ending on the last day of such calendar month.</w:t>
      </w:r>
    </w:p>
    <w:p>
      <w:pPr>
        <w:pStyle w:val="TextBody"/>
        <w:bidi w:val="0"/>
        <w:spacing w:before="0" w:after="240"/>
        <w:jc w:val="both"/>
        <w:rPr/>
      </w:pPr>
      <w:r>
        <w:rPr>
          <w:color w:val="000000"/>
        </w:rPr>
        <w:t>“</w:t>
      </w:r>
      <w:r>
        <w:rPr>
          <w:rFonts w:ascii="Times New Roman" w:hAnsi="Times New Roman"/>
          <w:b/>
          <w:color w:val="000000"/>
          <w:sz w:val="22"/>
        </w:rPr>
        <w:t>Inventory</w:t>
      </w:r>
      <w:r>
        <w:rPr>
          <w:rFonts w:ascii="Times New Roman" w:hAnsi="Times New Roman"/>
          <w:color w:val="000000"/>
          <w:sz w:val="20"/>
        </w:rPr>
        <w:t xml:space="preserve">” </w:t>
      </w:r>
      <w:r>
        <w:rPr>
          <w:rFonts w:ascii="Times New Roman" w:hAnsi="Times New Roman"/>
          <w:color w:val="000000"/>
          <w:sz w:val="22"/>
        </w:rPr>
        <w:t>means “inventory” as defined in Article 9 of the UCC.</w:t>
      </w:r>
    </w:p>
    <w:p>
      <w:pPr>
        <w:pStyle w:val="TextBody"/>
        <w:bidi w:val="0"/>
        <w:spacing w:before="0" w:after="240"/>
        <w:jc w:val="both"/>
        <w:rPr/>
      </w:pPr>
      <w:r>
        <w:rPr>
          <w:color w:val="000000"/>
        </w:rPr>
        <w:t>“</w:t>
      </w:r>
      <w:r>
        <w:rPr>
          <w:rFonts w:ascii="Times New Roman" w:hAnsi="Times New Roman"/>
          <w:b/>
          <w:color w:val="000000"/>
          <w:sz w:val="22"/>
        </w:rPr>
        <w:t>Investment</w:t>
      </w:r>
      <w:r>
        <w:rPr>
          <w:rFonts w:ascii="Times New Roman" w:hAnsi="Times New Roman"/>
          <w:color w:val="000000"/>
          <w:sz w:val="20"/>
        </w:rPr>
        <w:t xml:space="preserve">” </w:t>
      </w:r>
      <w:r>
        <w:rPr>
          <w:rFonts w:ascii="Times New Roman" w:hAnsi="Times New Roman"/>
          <w:color w:val="000000"/>
          <w:sz w:val="22"/>
        </w:rPr>
        <w:t>means, with respect to any Person, directly or indirectly, (a) to purchase or acquire any stock or stock equivalents, or any obligations or other securities of, or any interest in, any Person, including the establishment or creation of a Subsidiary, (b) to make, commit to make or otherwise consummate any Acquisition, or (c) make, purchase or hold any advance, loan, extension of credit or capital contribution to or in, or any other investment in (including the making of investments in the form of intercompany transfer pricing and cost-plus pricing arrangements), any Person. The amount of any Investment shall be the original cost of such Investment plus the cost of all additions thereto, without any adjustments for increases or decreases in value, or write-ups, write-downs or write-offs with respect thereto.</w:t>
      </w:r>
    </w:p>
    <w:p>
      <w:pPr>
        <w:pStyle w:val="TextBody"/>
        <w:bidi w:val="0"/>
        <w:spacing w:before="0" w:after="240"/>
        <w:jc w:val="both"/>
        <w:rPr/>
      </w:pPr>
      <w:r>
        <w:rPr>
          <w:color w:val="000000"/>
        </w:rPr>
        <w:t>“</w:t>
      </w:r>
      <w:r>
        <w:rPr>
          <w:rFonts w:ascii="Times New Roman" w:hAnsi="Times New Roman"/>
          <w:b/>
          <w:color w:val="000000"/>
          <w:sz w:val="22"/>
        </w:rPr>
        <w:t>Investment Policy</w:t>
      </w:r>
      <w:r>
        <w:rPr>
          <w:rFonts w:ascii="Times New Roman" w:hAnsi="Times New Roman"/>
          <w:color w:val="000000"/>
          <w:sz w:val="20"/>
        </w:rPr>
        <w:t xml:space="preserve">” </w:t>
      </w:r>
      <w:r>
        <w:rPr>
          <w:rFonts w:ascii="Times New Roman" w:hAnsi="Times New Roman"/>
          <w:color w:val="000000"/>
          <w:sz w:val="22"/>
        </w:rPr>
        <w:t xml:space="preserve">means the Borrower’s investment policy disclosed to Agent prior to, and as in effect, on the Closing Date, or as amended thereafter with the approval of the board of directors of the Borrower; </w:t>
      </w:r>
      <w:r>
        <w:rPr>
          <w:rFonts w:ascii="Times New Roman" w:hAnsi="Times New Roman"/>
          <w:i/>
          <w:color w:val="000000"/>
          <w:sz w:val="22"/>
        </w:rPr>
        <w:t>provided</w:t>
      </w:r>
      <w:r>
        <w:rPr>
          <w:rFonts w:ascii="Times New Roman" w:hAnsi="Times New Roman"/>
          <w:color w:val="000000"/>
          <w:sz w:val="22"/>
        </w:rPr>
        <w:t>, that any Investment that was not contemplated by the Investment Policy as in effect on the Closing Date shall not be permitted pursuant to clause (j) of the definition of Permitted Investment or be included as a Cash Equivalent pursuant to clause (f) of the definition thereof unless the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amendment to the Investment Policy allowing such Investment was approved in writing by the Agent in its reasonable discretion (which approval shall not be unreasonably withheld, conditioned or delayed).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IRS</w:t>
      </w:r>
      <w:r>
        <w:rPr>
          <w:rFonts w:ascii="Times New Roman" w:hAnsi="Times New Roman"/>
          <w:color w:val="000000"/>
          <w:sz w:val="20"/>
        </w:rPr>
        <w:t xml:space="preserve">” </w:t>
      </w:r>
      <w:r>
        <w:rPr>
          <w:rFonts w:ascii="Times New Roman" w:hAnsi="Times New Roman"/>
          <w:color w:val="000000"/>
          <w:sz w:val="22"/>
        </w:rPr>
        <w:t>has the meaning set forth in Section 2.8(c)(i).</w:t>
      </w:r>
    </w:p>
    <w:p>
      <w:pPr>
        <w:pStyle w:val="TextBody"/>
        <w:bidi w:val="0"/>
        <w:spacing w:before="0" w:after="240"/>
        <w:jc w:val="both"/>
        <w:rPr/>
      </w:pPr>
      <w:r>
        <w:rPr>
          <w:color w:val="000000"/>
        </w:rPr>
        <w:t>“</w:t>
      </w:r>
      <w:r>
        <w:rPr>
          <w:rFonts w:ascii="Times New Roman" w:hAnsi="Times New Roman"/>
          <w:b/>
          <w:color w:val="000000"/>
          <w:sz w:val="22"/>
        </w:rPr>
        <w:t>Joinder Requirements</w:t>
      </w:r>
      <w:r>
        <w:rPr>
          <w:rFonts w:ascii="Times New Roman" w:hAnsi="Times New Roman"/>
          <w:color w:val="000000"/>
          <w:sz w:val="20"/>
        </w:rPr>
        <w:t xml:space="preserve">” </w:t>
      </w:r>
      <w:r>
        <w:rPr>
          <w:rFonts w:ascii="Times New Roman" w:hAnsi="Times New Roman"/>
          <w:color w:val="000000"/>
          <w:sz w:val="22"/>
        </w:rPr>
        <w:t>has the meaning set forth in Section 4.11(d).</w:t>
      </w:r>
    </w:p>
    <w:p>
      <w:pPr>
        <w:pStyle w:val="TextBody"/>
        <w:bidi w:val="0"/>
        <w:spacing w:before="0" w:after="240"/>
        <w:jc w:val="both"/>
        <w:rPr/>
      </w:pPr>
      <w:r>
        <w:rPr>
          <w:color w:val="000000"/>
        </w:rPr>
        <w:t>“</w:t>
      </w:r>
      <w:r>
        <w:rPr>
          <w:rFonts w:ascii="Times New Roman" w:hAnsi="Times New Roman"/>
          <w:b/>
          <w:color w:val="000000"/>
          <w:sz w:val="22"/>
        </w:rPr>
        <w:t>L/C Cash Collateral Accounts</w:t>
      </w:r>
      <w:r>
        <w:rPr>
          <w:rFonts w:ascii="Times New Roman" w:hAnsi="Times New Roman"/>
          <w:color w:val="000000"/>
          <w:sz w:val="20"/>
        </w:rPr>
        <w:t xml:space="preserve">” </w:t>
      </w:r>
      <w:r>
        <w:rPr>
          <w:rFonts w:ascii="Times New Roman" w:hAnsi="Times New Roman"/>
          <w:color w:val="000000"/>
          <w:sz w:val="22"/>
        </w:rPr>
        <w:t xml:space="preserve">means, collectively, each segregated Deposit Account from time to time identified to Agent in writing established by Borrower for the sole purpose of securing Borrower’s obligations under clause (h) of the definition Permitted Contingent Obligations and containing only such cash or Cash Equivalents that have been required to be pledged to secure such obligations of Borrower; </w:t>
      </w:r>
      <w:r>
        <w:rPr>
          <w:rFonts w:ascii="Times New Roman" w:hAnsi="Times New Roman"/>
          <w:i/>
          <w:color w:val="000000"/>
          <w:sz w:val="22"/>
        </w:rPr>
        <w:t xml:space="preserve">provided, </w:t>
      </w:r>
      <w:r>
        <w:rPr>
          <w:rFonts w:ascii="Times New Roman" w:hAnsi="Times New Roman"/>
          <w:color w:val="000000"/>
          <w:sz w:val="22"/>
        </w:rPr>
        <w:t>that the aggregate amount of cash or Cash Equivalents deposited in all such L/C Cash Collateral Accounts does not, at any time, exceed $1,000,000</w:t>
      </w:r>
      <w:r>
        <w:rPr>
          <w:rFonts w:ascii="Times New Roman" w:hAnsi="Times New Roman"/>
          <w:color w:val="000000"/>
          <w:sz w:val="20"/>
        </w:rPr>
        <w:t xml:space="preserve"> </w:t>
      </w:r>
      <w:r>
        <w:rPr>
          <w:rFonts w:ascii="Times New Roman" w:hAnsi="Times New Roman"/>
          <w:color w:val="000000"/>
          <w:sz w:val="22"/>
        </w:rPr>
        <w:t>in the aggregate.</w:t>
      </w:r>
    </w:p>
    <w:p>
      <w:pPr>
        <w:pStyle w:val="TextBody"/>
        <w:bidi w:val="0"/>
        <w:spacing w:before="0" w:after="240"/>
        <w:jc w:val="both"/>
        <w:rPr/>
      </w:pPr>
      <w:r>
        <w:rPr>
          <w:color w:val="000000"/>
        </w:rPr>
        <w:t>“</w:t>
      </w:r>
      <w:r>
        <w:rPr>
          <w:rFonts w:ascii="Times New Roman" w:hAnsi="Times New Roman"/>
          <w:b/>
          <w:color w:val="000000"/>
          <w:sz w:val="22"/>
        </w:rPr>
        <w:t>Laws</w:t>
      </w:r>
      <w:r>
        <w:rPr>
          <w:rFonts w:ascii="Times New Roman" w:hAnsi="Times New Roman"/>
          <w:color w:val="000000"/>
          <w:sz w:val="20"/>
        </w:rPr>
        <w:t xml:space="preserve">” </w:t>
      </w:r>
      <w:r>
        <w:rPr>
          <w:rFonts w:ascii="Times New Roman" w:hAnsi="Times New Roman"/>
          <w:color w:val="000000"/>
          <w:sz w:val="22"/>
        </w:rPr>
        <w:t>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Times New Roman" w:hAnsi="Times New Roman"/>
          <w:b/>
          <w:color w:val="000000"/>
          <w:sz w:val="22"/>
        </w:rPr>
        <w:t>Laws</w:t>
      </w:r>
      <w:r>
        <w:rPr>
          <w:rFonts w:ascii="Times New Roman" w:hAnsi="Times New Roman"/>
          <w:color w:val="000000"/>
          <w:sz w:val="20"/>
        </w:rPr>
        <w:t xml:space="preserve">” </w:t>
      </w:r>
      <w:r>
        <w:rPr>
          <w:rFonts w:ascii="Times New Roman" w:hAnsi="Times New Roman"/>
          <w:color w:val="000000"/>
          <w:sz w:val="22"/>
        </w:rPr>
        <w:t>includes, without limitation, Healthcare Laws, Environmental Laws and applicable U.S. and non-U.S. export control laws and regulations, including without limitation the Export Administration Regulations.</w:t>
      </w:r>
    </w:p>
    <w:p>
      <w:pPr>
        <w:pStyle w:val="TextBody"/>
        <w:bidi w:val="0"/>
        <w:spacing w:before="0" w:after="240"/>
        <w:jc w:val="both"/>
        <w:rPr/>
      </w:pPr>
      <w:r>
        <w:rPr>
          <w:color w:val="000000"/>
        </w:rPr>
        <w:t>“</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means each of (a) MCF, in its capacity as a lender hereunder, (b) each other Person party hereto in its capacity as a lender hereunder, (c) each other Person that becomes a party hereto as Lender pursuant to Section 11.17, and (d) the respective successors of all of the foregoing, and “</w:t>
      </w:r>
      <w:r>
        <w:rPr>
          <w:rFonts w:ascii="Times New Roman" w:hAnsi="Times New Roman"/>
          <w:b/>
          <w:color w:val="000000"/>
          <w:sz w:val="22"/>
        </w:rPr>
        <w:t>Lenders</w:t>
      </w:r>
      <w:r>
        <w:rPr>
          <w:rFonts w:ascii="Times New Roman" w:hAnsi="Times New Roman"/>
          <w:color w:val="000000"/>
          <w:sz w:val="20"/>
        </w:rPr>
        <w:t xml:space="preserve">” </w:t>
      </w:r>
      <w:r>
        <w:rPr>
          <w:rFonts w:ascii="Times New Roman" w:hAnsi="Times New Roman"/>
          <w:color w:val="000000"/>
          <w:sz w:val="22"/>
        </w:rPr>
        <w:t>means all of the foregoing.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Lien</w:t>
      </w:r>
      <w:r>
        <w:rPr>
          <w:rFonts w:ascii="Times New Roman" w:hAnsi="Times New Roman"/>
          <w:color w:val="000000"/>
          <w:sz w:val="20"/>
        </w:rPr>
        <w:t xml:space="preserve">” </w:t>
      </w:r>
      <w:r>
        <w:rPr>
          <w:rFonts w:ascii="Times New Roman" w:hAnsi="Times New Roman"/>
          <w:color w:val="000000"/>
          <w:sz w:val="22"/>
        </w:rPr>
        <w:t>means, with respect to any asset, any mortgage, lien, pledge, charge, security interest or encumbrance of any kind, in respect of such asset. For the purposes of this Agreement and the other Financing Documents, any Credit Party or any Subsidiary thereof shall be deemed to own subject to a Lien any asset which it has acquired or holds subject to the interest of a vendor or lessor under any conditional sale agreement, Capital Lease or other title retention agreement relating to such asset.</w:t>
      </w:r>
    </w:p>
    <w:p>
      <w:pPr>
        <w:pStyle w:val="TextBody"/>
        <w:bidi w:val="0"/>
        <w:spacing w:before="0" w:after="240"/>
        <w:jc w:val="both"/>
        <w:rPr/>
      </w:pPr>
      <w:r>
        <w:rPr>
          <w:color w:val="000000"/>
        </w:rPr>
        <w:t>“</w:t>
      </w:r>
      <w:r>
        <w:rPr>
          <w:rFonts w:ascii="Times New Roman" w:hAnsi="Times New Roman"/>
          <w:b/>
          <w:color w:val="000000"/>
          <w:sz w:val="22"/>
        </w:rPr>
        <w:t>Liquidity</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sum of (a) Credit Party Unrestricted Cash as of such date of determination, </w:t>
      </w:r>
      <w:r>
        <w:rPr>
          <w:rFonts w:ascii="Times New Roman" w:hAnsi="Times New Roman"/>
          <w:i/>
          <w:color w:val="000000"/>
          <w:sz w:val="22"/>
        </w:rPr>
        <w:t xml:space="preserve">plus </w:t>
      </w:r>
      <w:r>
        <w:rPr>
          <w:rFonts w:ascii="Times New Roman" w:hAnsi="Times New Roman"/>
          <w:color w:val="000000"/>
          <w:sz w:val="22"/>
        </w:rPr>
        <w:t xml:space="preserve">(b) the Revolving Loan Availability as of such date of determination, </w:t>
      </w:r>
      <w:r>
        <w:rPr>
          <w:rFonts w:ascii="Times New Roman" w:hAnsi="Times New Roman"/>
          <w:i/>
          <w:color w:val="000000"/>
          <w:sz w:val="22"/>
        </w:rPr>
        <w:t>less</w:t>
      </w:r>
      <w:r>
        <w:rPr>
          <w:rFonts w:ascii="Times New Roman" w:hAnsi="Times New Roman"/>
          <w:color w:val="000000"/>
          <w:sz w:val="20"/>
        </w:rPr>
        <w:t xml:space="preserve"> </w:t>
      </w:r>
      <w:r>
        <w:rPr>
          <w:rFonts w:ascii="Times New Roman" w:hAnsi="Times New Roman"/>
          <w:color w:val="000000"/>
          <w:sz w:val="22"/>
        </w:rPr>
        <w:t>(c) all amounts due and owing to any Credit Party’s trade creditors which are outstanding sixty (60) days or more past their due date as of such date of determination.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Litigation</w:t>
      </w:r>
      <w:r>
        <w:rPr>
          <w:rFonts w:ascii="Times New Roman" w:hAnsi="Times New Roman"/>
          <w:color w:val="000000"/>
          <w:sz w:val="20"/>
        </w:rPr>
        <w:t xml:space="preserve">” </w:t>
      </w:r>
      <w:r>
        <w:rPr>
          <w:rFonts w:ascii="Times New Roman" w:hAnsi="Times New Roman"/>
          <w:color w:val="000000"/>
          <w:sz w:val="22"/>
        </w:rPr>
        <w:t>means any action, suit or proceeding before any court, mediator, arbitrator or Governmental Authority.</w:t>
      </w:r>
    </w:p>
    <w:p>
      <w:pPr>
        <w:pStyle w:val="TextBody"/>
        <w:bidi w:val="0"/>
        <w:spacing w:before="0" w:after="240"/>
        <w:jc w:val="both"/>
        <w:rPr/>
      </w:pPr>
      <w:r>
        <w:rPr>
          <w:color w:val="000000"/>
        </w:rPr>
        <w:t>“</w:t>
      </w:r>
      <w:r>
        <w:rPr>
          <w:rFonts w:ascii="Times New Roman" w:hAnsi="Times New Roman"/>
          <w:b/>
          <w:color w:val="000000"/>
          <w:sz w:val="22"/>
        </w:rPr>
        <w:t>Loan Account</w:t>
      </w:r>
      <w:r>
        <w:rPr>
          <w:rFonts w:ascii="Times New Roman" w:hAnsi="Times New Roman"/>
          <w:color w:val="000000"/>
          <w:sz w:val="20"/>
        </w:rPr>
        <w:t xml:space="preserve">” </w:t>
      </w:r>
      <w:r>
        <w:rPr>
          <w:rFonts w:ascii="Times New Roman" w:hAnsi="Times New Roman"/>
          <w:color w:val="000000"/>
          <w:sz w:val="22"/>
        </w:rPr>
        <w:t>means the Term Loan Account or the Revolving Loan Account, as applicable.</w:t>
      </w:r>
    </w:p>
    <w:p>
      <w:pPr>
        <w:pStyle w:val="TextBody"/>
        <w:bidi w:val="0"/>
        <w:spacing w:before="0" w:after="240"/>
        <w:jc w:val="both"/>
        <w:rPr/>
      </w:pPr>
      <w:r>
        <w:rPr>
          <w:color w:val="000000"/>
        </w:rPr>
        <w:t>“</w:t>
      </w:r>
      <w:r>
        <w:rPr>
          <w:rFonts w:ascii="Times New Roman" w:hAnsi="Times New Roman"/>
          <w:b/>
          <w:color w:val="000000"/>
          <w:sz w:val="22"/>
        </w:rPr>
        <w:t>Loan(s)</w:t>
      </w:r>
      <w:r>
        <w:rPr>
          <w:rFonts w:ascii="Times New Roman" w:hAnsi="Times New Roman"/>
          <w:color w:val="000000"/>
          <w:sz w:val="20"/>
        </w:rPr>
        <w:t xml:space="preserve">” </w:t>
      </w:r>
      <w:r>
        <w:rPr>
          <w:rFonts w:ascii="Times New Roman" w:hAnsi="Times New Roman"/>
          <w:color w:val="000000"/>
          <w:sz w:val="22"/>
        </w:rPr>
        <w:t>means the Term Loan, the Revolving Loans and each and every advance under the Term Loan, or any combination of the foregoing, as the context may require. All references herein to the “making” of a Loan or words of similar import mean, with respect to the Term Loan, the making of any advance in respect of a Term Loan.</w:t>
      </w:r>
    </w:p>
    <w:p>
      <w:pPr>
        <w:pStyle w:val="TextBody"/>
        <w:bidi w:val="0"/>
        <w:spacing w:before="0" w:after="240"/>
        <w:jc w:val="both"/>
        <w:rPr/>
      </w:pPr>
      <w:r>
        <w:rPr>
          <w:color w:val="000000"/>
        </w:rPr>
        <w:t>“</w:t>
      </w:r>
      <w:r>
        <w:rPr>
          <w:rFonts w:ascii="Times New Roman" w:hAnsi="Times New Roman"/>
          <w:b/>
          <w:color w:val="000000"/>
          <w:sz w:val="22"/>
        </w:rPr>
        <w:t>Lockbox</w:t>
      </w:r>
      <w:r>
        <w:rPr>
          <w:rFonts w:ascii="Times New Roman" w:hAnsi="Times New Roman"/>
          <w:color w:val="000000"/>
          <w:sz w:val="20"/>
        </w:rPr>
        <w:t xml:space="preserve">” </w:t>
      </w:r>
      <w:r>
        <w:rPr>
          <w:rFonts w:ascii="Times New Roman" w:hAnsi="Times New Roman"/>
          <w:color w:val="000000"/>
          <w:sz w:val="22"/>
        </w:rPr>
        <w:t>has the meaning set forth in Section 2.11(a).</w:t>
      </w:r>
    </w:p>
    <w:p>
      <w:pPr>
        <w:pStyle w:val="TextBody"/>
        <w:bidi w:val="0"/>
        <w:spacing w:before="0" w:after="240"/>
        <w:jc w:val="both"/>
        <w:rPr/>
      </w:pPr>
      <w:r>
        <w:rPr>
          <w:color w:val="000000"/>
        </w:rPr>
        <w:t>“</w:t>
      </w:r>
      <w:r>
        <w:rPr>
          <w:rFonts w:ascii="Times New Roman" w:hAnsi="Times New Roman"/>
          <w:b/>
          <w:color w:val="000000"/>
          <w:sz w:val="22"/>
        </w:rPr>
        <w:t>Lockbox Account</w:t>
      </w:r>
      <w:r>
        <w:rPr>
          <w:rFonts w:ascii="Times New Roman" w:hAnsi="Times New Roman"/>
          <w:color w:val="000000"/>
          <w:sz w:val="20"/>
        </w:rPr>
        <w:t xml:space="preserve">” </w:t>
      </w:r>
      <w:r>
        <w:rPr>
          <w:rFonts w:ascii="Times New Roman" w:hAnsi="Times New Roman"/>
          <w:color w:val="000000"/>
          <w:sz w:val="22"/>
        </w:rPr>
        <w:t>means a segregated account or segregated accounts maintained at the Lockbox Bank into which collections of Accounts are paid.</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Lockbox Bank</w:t>
      </w:r>
      <w:r>
        <w:rPr>
          <w:rFonts w:ascii="Times New Roman" w:hAnsi="Times New Roman"/>
          <w:color w:val="000000"/>
          <w:sz w:val="20"/>
        </w:rPr>
        <w:t xml:space="preserve">” </w:t>
      </w:r>
      <w:r>
        <w:rPr>
          <w:rFonts w:ascii="Times New Roman" w:hAnsi="Times New Roman"/>
          <w:color w:val="000000"/>
          <w:sz w:val="22"/>
        </w:rPr>
        <w:t>has the meaning set forth in Section 2.11.</w:t>
      </w:r>
    </w:p>
    <w:p>
      <w:pPr>
        <w:pStyle w:val="TextBody"/>
        <w:bidi w:val="0"/>
        <w:spacing w:before="0" w:after="240"/>
        <w:jc w:val="both"/>
        <w:rPr/>
      </w:pPr>
      <w:r>
        <w:rPr>
          <w:color w:val="000000"/>
        </w:rPr>
        <w:t>“</w:t>
      </w:r>
      <w:r>
        <w:rPr>
          <w:rFonts w:ascii="Times New Roman" w:hAnsi="Times New Roman"/>
          <w:b/>
          <w:color w:val="000000"/>
          <w:sz w:val="22"/>
        </w:rPr>
        <w:t>Margin Stock</w:t>
      </w:r>
      <w:r>
        <w:rPr>
          <w:rFonts w:ascii="Times New Roman" w:hAnsi="Times New Roman"/>
          <w:color w:val="000000"/>
          <w:sz w:val="20"/>
        </w:rPr>
        <w:t xml:space="preserve">” </w:t>
      </w:r>
      <w:r>
        <w:rPr>
          <w:rFonts w:ascii="Times New Roman" w:hAnsi="Times New Roman"/>
          <w:color w:val="000000"/>
          <w:sz w:val="22"/>
        </w:rPr>
        <w:t>means “margin stock” as such term is defined in Regulation T, U, or X of the Board of Governors of the Federal Reserve System.</w:t>
      </w:r>
    </w:p>
    <w:p>
      <w:pPr>
        <w:pStyle w:val="TextBody"/>
        <w:bidi w:val="0"/>
        <w:spacing w:before="0" w:after="240"/>
        <w:jc w:val="both"/>
        <w:rPr/>
      </w:pPr>
      <w:r>
        <w:rPr>
          <w:color w:val="000000"/>
        </w:rPr>
        <w:t>“</w:t>
      </w:r>
      <w:r>
        <w:rPr>
          <w:rFonts w:ascii="Times New Roman" w:hAnsi="Times New Roman"/>
          <w:b/>
          <w:color w:val="000000"/>
          <w:sz w:val="22"/>
        </w:rPr>
        <w:t>Market Withdrawal</w:t>
      </w:r>
      <w:r>
        <w:rPr>
          <w:rFonts w:ascii="Times New Roman" w:hAnsi="Times New Roman"/>
          <w:color w:val="000000"/>
          <w:sz w:val="20"/>
        </w:rPr>
        <w:t xml:space="preserve">” </w:t>
      </w:r>
      <w:r>
        <w:rPr>
          <w:rFonts w:ascii="Times New Roman" w:hAnsi="Times New Roman"/>
          <w:color w:val="000000"/>
          <w:sz w:val="22"/>
        </w:rPr>
        <w:t>means a Person’s Removal or Correction of a distributed product which involves a minor violation that would not be subject to legal action by the FDA or which involves no violation, e.g., normal stock rotation practices, routine equipment adjustments and repairs, etc.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financial condition, business operations or properties, of the Credit Parties taken as a whole, (b) the rights and remedies of Agent, Term Loan Servicer, or Lenders under any Financing Document, or the ability of any Credit Party to perform any of its obligations under any Financing Document to which it is a party, (c) the legality, validity or enforceability of any Financing Document, or (d) the existence, perfection or priority of any security interest granted to the Agent or the Lenders in any Financing Document, except solely as a result of any action or inaction of Agent or any Lender (provided that such action or inaction is not caused by a Credit Party’s failure to comply with the terms of the Financing Documents).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Material Contracts</w:t>
      </w:r>
      <w:r>
        <w:rPr>
          <w:rFonts w:ascii="Times New Roman" w:hAnsi="Times New Roman"/>
          <w:color w:val="000000"/>
          <w:sz w:val="20"/>
        </w:rPr>
        <w:t xml:space="preserve">” </w:t>
      </w:r>
      <w:r>
        <w:rPr>
          <w:rFonts w:ascii="Times New Roman" w:hAnsi="Times New Roman"/>
          <w:color w:val="000000"/>
          <w:sz w:val="22"/>
        </w:rPr>
        <w:t xml:space="preserve">means (a) the agreements listed on </w:t>
      </w:r>
      <w:r>
        <w:rPr>
          <w:rFonts w:ascii="Times New Roman" w:hAnsi="Times New Roman"/>
          <w:color w:val="000000"/>
          <w:sz w:val="22"/>
          <w:u w:val="single"/>
        </w:rPr>
        <w:t>Schedule 3.17</w:t>
      </w:r>
      <w:r>
        <w:rPr>
          <w:rFonts w:ascii="Times New Roman" w:hAnsi="Times New Roman"/>
          <w:color w:val="000000"/>
          <w:sz w:val="22"/>
        </w:rPr>
        <w:t>, (b) each other agreement or contract to which such Credit Party or its Subsidiaries is a party that is filed with the SEC as a material agreement, including pursuant to Item 601(b)(10) of Regulation S-K, and (c) any other agreement or contract to which such Credit Party or its Subsidiaries is a party the termination of which could reasonably be expected to result in a Material Adverse Effect.</w:t>
      </w:r>
    </w:p>
    <w:p>
      <w:pPr>
        <w:pStyle w:val="TextBody"/>
        <w:bidi w:val="0"/>
        <w:spacing w:before="0" w:after="240"/>
        <w:jc w:val="both"/>
        <w:rPr/>
      </w:pPr>
      <w:r>
        <w:rPr>
          <w:color w:val="000000"/>
        </w:rPr>
        <w:t>“</w:t>
      </w:r>
      <w:r>
        <w:rPr>
          <w:rFonts w:ascii="Times New Roman" w:hAnsi="Times New Roman"/>
          <w:b/>
          <w:color w:val="000000"/>
          <w:sz w:val="22"/>
        </w:rPr>
        <w:t>Material Intangible Assets</w:t>
      </w:r>
      <w:r>
        <w:rPr>
          <w:rFonts w:ascii="Times New Roman" w:hAnsi="Times New Roman"/>
          <w:color w:val="000000"/>
          <w:sz w:val="20"/>
        </w:rPr>
        <w:t xml:space="preserve">” </w:t>
      </w:r>
      <w:r>
        <w:rPr>
          <w:rFonts w:ascii="Times New Roman" w:hAnsi="Times New Roman"/>
          <w:color w:val="000000"/>
          <w:sz w:val="22"/>
        </w:rPr>
        <w:t>means all of (a) Intellectual Property owned by the Credit Parties or their Subsidiaries and (b) license or sublicense agreements or other agreements with respect to rights in Intellectual Property not owned by a Credit Party or a Subsidiary thereof, in each case, that are material to the condition (financial or otherwise), business or operations of the Credit Parties and their Subsidiaries (taken as a whole), as determined by Agent in its reasonable discretion.</w:t>
      </w:r>
    </w:p>
    <w:p>
      <w:pPr>
        <w:pStyle w:val="TextBody"/>
        <w:bidi w:val="0"/>
        <w:spacing w:before="0" w:after="240"/>
        <w:jc w:val="both"/>
        <w:rPr/>
      </w:pPr>
      <w:r>
        <w:rPr>
          <w:color w:val="000000"/>
        </w:rPr>
        <w:t>“</w:t>
      </w:r>
      <w:r>
        <w:rPr>
          <w:rFonts w:ascii="Times New Roman" w:hAnsi="Times New Roman"/>
          <w:b/>
          <w:color w:val="000000"/>
          <w:sz w:val="22"/>
        </w:rPr>
        <w:t>Maturity Date</w:t>
      </w:r>
      <w:r>
        <w:rPr>
          <w:rFonts w:ascii="Times New Roman" w:hAnsi="Times New Roman"/>
          <w:color w:val="000000"/>
          <w:sz w:val="20"/>
        </w:rPr>
        <w:t xml:space="preserve">” </w:t>
      </w:r>
      <w:r>
        <w:rPr>
          <w:rFonts w:ascii="Times New Roman" w:hAnsi="Times New Roman"/>
          <w:color w:val="000000"/>
          <w:sz w:val="22"/>
        </w:rPr>
        <w:t>means August 5, 2031.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Maximum Lawful Rate</w:t>
      </w:r>
      <w:r>
        <w:rPr>
          <w:rFonts w:ascii="Times New Roman" w:hAnsi="Times New Roman"/>
          <w:color w:val="000000"/>
          <w:sz w:val="20"/>
        </w:rPr>
        <w:t xml:space="preserve">” </w:t>
      </w:r>
      <w:r>
        <w:rPr>
          <w:rFonts w:ascii="Times New Roman" w:hAnsi="Times New Roman"/>
          <w:color w:val="000000"/>
          <w:sz w:val="22"/>
        </w:rPr>
        <w:t>has the meaning set forth in Section 2.7.</w:t>
      </w:r>
    </w:p>
    <w:p>
      <w:pPr>
        <w:pStyle w:val="TextBody"/>
        <w:bidi w:val="0"/>
        <w:spacing w:before="0" w:after="240"/>
        <w:jc w:val="both"/>
        <w:rPr/>
      </w:pPr>
      <w:r>
        <w:rPr>
          <w:color w:val="000000"/>
        </w:rPr>
        <w:t>“</w:t>
      </w:r>
      <w:r>
        <w:rPr>
          <w:rFonts w:ascii="Times New Roman" w:hAnsi="Times New Roman"/>
          <w:b/>
          <w:color w:val="000000"/>
          <w:sz w:val="22"/>
        </w:rPr>
        <w:t>MCF</w:t>
      </w:r>
      <w:r>
        <w:rPr>
          <w:rFonts w:ascii="Times New Roman" w:hAnsi="Times New Roman"/>
          <w:color w:val="000000"/>
          <w:sz w:val="20"/>
        </w:rPr>
        <w:t xml:space="preserve">” </w:t>
      </w:r>
      <w:r>
        <w:rPr>
          <w:rFonts w:ascii="Times New Roman" w:hAnsi="Times New Roman"/>
          <w:color w:val="000000"/>
          <w:sz w:val="22"/>
        </w:rPr>
        <w:t>means MidCap Financial Trust, a Delaware statutory trust, and its successors and assigns.</w:t>
      </w:r>
    </w:p>
    <w:p>
      <w:pPr>
        <w:pStyle w:val="TextBody"/>
        <w:bidi w:val="0"/>
        <w:spacing w:before="0" w:after="240"/>
        <w:jc w:val="both"/>
        <w:rPr/>
      </w:pPr>
      <w:r>
        <w:rPr>
          <w:color w:val="000000"/>
        </w:rPr>
        <w:t>“</w:t>
      </w:r>
      <w:r>
        <w:rPr>
          <w:rFonts w:ascii="Times New Roman" w:hAnsi="Times New Roman"/>
          <w:b/>
          <w:color w:val="000000"/>
          <w:sz w:val="22"/>
        </w:rPr>
        <w:t>Minimum Balance</w:t>
      </w:r>
      <w:r>
        <w:rPr>
          <w:rFonts w:ascii="Times New Roman" w:hAnsi="Times New Roman"/>
          <w:color w:val="000000"/>
          <w:sz w:val="20"/>
        </w:rPr>
        <w:t xml:space="preserve">” </w:t>
      </w:r>
      <w:r>
        <w:rPr>
          <w:rFonts w:ascii="Times New Roman" w:hAnsi="Times New Roman"/>
          <w:color w:val="000000"/>
          <w:sz w:val="22"/>
        </w:rPr>
        <w:t xml:space="preserve">means, at any time, an amount that equals the product of: (a) the Revolving Loan Commitment during the immediately preceding fiscal quarter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(b) the Minimum Balance Percentage for such fiscal quarter.</w:t>
      </w:r>
    </w:p>
    <w:p>
      <w:pPr>
        <w:pStyle w:val="TextBody"/>
        <w:bidi w:val="0"/>
        <w:spacing w:before="0" w:after="240"/>
        <w:jc w:val="both"/>
        <w:rPr/>
      </w:pPr>
      <w:r>
        <w:rPr>
          <w:color w:val="000000"/>
        </w:rPr>
        <w:t>“</w:t>
      </w:r>
      <w:r>
        <w:rPr>
          <w:rFonts w:ascii="Times New Roman" w:hAnsi="Times New Roman"/>
          <w:b/>
          <w:color w:val="000000"/>
          <w:sz w:val="22"/>
        </w:rPr>
        <w:t>Minimum Balance Fee</w:t>
      </w:r>
      <w:r>
        <w:rPr>
          <w:rFonts w:ascii="Times New Roman" w:hAnsi="Times New Roman"/>
          <w:color w:val="000000"/>
          <w:sz w:val="20"/>
        </w:rPr>
        <w:t xml:space="preserve">” </w:t>
      </w:r>
      <w:r>
        <w:rPr>
          <w:rFonts w:ascii="Times New Roman" w:hAnsi="Times New Roman"/>
          <w:color w:val="000000"/>
          <w:sz w:val="22"/>
        </w:rPr>
        <w:t xml:space="preserve">means a fee equal to (a) the positive difference, if any, remaining after subtracting (i) the average end-of-day principal balance of Revolving Loans outstanding during the immediately preceding fiscal quarter (without giving effect to the clearance day calculations referenced above or in Section 2.2(a)) from (ii) the Minimum Balance </w:t>
      </w:r>
      <w:r>
        <w:rPr>
          <w:rFonts w:ascii="Times New Roman" w:hAnsi="Times New Roman"/>
          <w:i/>
          <w:color w:val="000000"/>
          <w:sz w:val="22"/>
        </w:rPr>
        <w:t>multiplied by</w:t>
      </w:r>
      <w:r>
        <w:rPr>
          <w:rFonts w:ascii="Times New Roman" w:hAnsi="Times New Roman"/>
          <w:color w:val="000000"/>
          <w:sz w:val="20"/>
        </w:rPr>
        <w:t xml:space="preserve"> </w:t>
      </w:r>
      <w:r>
        <w:rPr>
          <w:rFonts w:ascii="Times New Roman" w:hAnsi="Times New Roman"/>
          <w:color w:val="000000"/>
          <w:sz w:val="22"/>
        </w:rPr>
        <w:t>(b) the highest interest rate applicable to the Revolving Loans during such fiscal quarter (or, during the existence of an Event of Default, the default rate of interest set forth in Section 10.5).</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bookmarkStart w:id="26" w:name="ole_link1"/>
      <w:bookmarkEnd w:id="26"/>
      <w:r>
        <w:rPr>
          <w:color w:val="000000"/>
        </w:rPr>
        <w:t>“</w:t>
      </w:r>
      <w:r>
        <w:rPr>
          <w:rFonts w:ascii="Times New Roman" w:hAnsi="Times New Roman"/>
          <w:b/>
          <w:color w:val="000000"/>
          <w:sz w:val="22"/>
        </w:rPr>
        <w:t>Minimum Balance Percentage</w:t>
      </w:r>
      <w:r>
        <w:rPr>
          <w:rFonts w:ascii="Times New Roman" w:hAnsi="Times New Roman"/>
          <w:color w:val="000000"/>
          <w:sz w:val="20"/>
        </w:rPr>
        <w:t xml:space="preserve">” </w:t>
      </w:r>
      <w:r>
        <w:rPr>
          <w:rFonts w:ascii="Times New Roman" w:hAnsi="Times New Roman"/>
          <w:color w:val="000000"/>
          <w:sz w:val="22"/>
        </w:rPr>
        <w:t>means twenty five percent (25%).</w:t>
      </w:r>
    </w:p>
    <w:p>
      <w:pPr>
        <w:pStyle w:val="TextBody"/>
        <w:bidi w:val="0"/>
        <w:jc w:val="both"/>
        <w:rPr/>
      </w:pPr>
      <w:r>
        <w:rPr>
          <w:color w:val="000000"/>
        </w:rPr>
        <w:t>“</w:t>
      </w:r>
      <w:r>
        <w:rPr>
          <w:rFonts w:ascii="Times New Roman" w:hAnsi="Times New Roman"/>
          <w:b/>
          <w:color w:val="000000"/>
          <w:sz w:val="22"/>
        </w:rPr>
        <w:t>Minimum Cash Testing Period</w:t>
      </w:r>
      <w:r>
        <w:rPr>
          <w:rFonts w:ascii="Times New Roman" w:hAnsi="Times New Roman"/>
          <w:color w:val="000000"/>
          <w:sz w:val="20"/>
        </w:rPr>
        <w:t xml:space="preserve">” </w:t>
      </w:r>
      <w:r>
        <w:rPr>
          <w:rFonts w:ascii="Times New Roman" w:hAnsi="Times New Roman"/>
          <w:color w:val="000000"/>
          <w:sz w:val="22"/>
        </w:rPr>
        <w:t>means the period (a) beginning on the first date during any Financial Covenant Testing Period on which Credit Parties fail to comply with the Minimum Net Revenue Covenant (without, for the avoidance doubt, giving effect to the proviso in Section 6.1), and (b) ending on the date thereafter on which Agent has received a Compliance Certificate, delivered in accordance with Section 4.1(i), demonstrating to Agent’s reasonable satisfaction that Credit Parties are in compliance with the Minimum Net Revenue Covenant (without, for the avoidance doubt, giving effect to the proviso in Section 6.1) for the Defined Period for which such Compliance Certificate is delivered.</w:t>
      </w:r>
    </w:p>
    <w:p>
      <w:pPr>
        <w:pStyle w:val="TextBody"/>
        <w:bidi w:val="0"/>
        <w:jc w:val="left"/>
        <w:rPr>
          <w:rFonts w:ascii="Times New Roman" w:hAnsi="Times New Roman"/>
          <w:sz w:val="20"/>
        </w:rPr>
      </w:pPr>
      <w:r>
        <w:rPr>
          <w:rFonts w:ascii="Times New Roman" w:hAnsi="Times New Roman"/>
          <w:color w:val="000000"/>
          <w:sz w:val="22"/>
        </w:rPr>
        <w:br/>
        <w:t>“</w:t>
      </w:r>
      <w:r>
        <w:rPr>
          <w:rFonts w:ascii="Times New Roman" w:hAnsi="Times New Roman"/>
          <w:b/>
          <w:color w:val="000000"/>
          <w:sz w:val="22"/>
        </w:rPr>
        <w:t>Minimum Net Revenue Covenant</w:t>
      </w:r>
      <w:r>
        <w:rPr>
          <w:rFonts w:ascii="Times New Roman" w:hAnsi="Times New Roman"/>
          <w:color w:val="000000"/>
          <w:sz w:val="20"/>
        </w:rPr>
        <w:t xml:space="preserve">” </w:t>
      </w:r>
      <w:r>
        <w:rPr>
          <w:rFonts w:ascii="Times New Roman" w:hAnsi="Times New Roman"/>
          <w:color w:val="000000"/>
          <w:sz w:val="22"/>
        </w:rPr>
        <w:t>has the meaning given to such term in Section 6.1.</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2"/>
        </w:rPr>
        <w:t>Multiemployer Plan</w:t>
      </w:r>
      <w:r>
        <w:rPr>
          <w:rFonts w:ascii="Times New Roman" w:hAnsi="Times New Roman"/>
          <w:color w:val="000000"/>
          <w:sz w:val="20"/>
        </w:rPr>
        <w:t xml:space="preserve">” </w:t>
      </w:r>
      <w:r>
        <w:rPr>
          <w:rFonts w:ascii="Times New Roman" w:hAnsi="Times New Roman"/>
          <w:color w:val="000000"/>
          <w:sz w:val="22"/>
        </w:rPr>
        <w:t>means a multiemployer plan within the meaning of Section 4001(a)(3) of ERISA to which any Credit Party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pStyle w:val="TextBody"/>
        <w:bidi w:val="0"/>
        <w:spacing w:before="0" w:after="240"/>
        <w:jc w:val="both"/>
        <w:rPr/>
      </w:pPr>
      <w:r>
        <w:rPr>
          <w:color w:val="000000"/>
        </w:rPr>
        <w:t>“</w:t>
      </w:r>
      <w:r>
        <w:rPr>
          <w:rFonts w:ascii="Times New Roman" w:hAnsi="Times New Roman"/>
          <w:b/>
          <w:color w:val="000000"/>
          <w:sz w:val="22"/>
        </w:rPr>
        <w:t>Net Revenue</w:t>
      </w:r>
      <w:r>
        <w:rPr>
          <w:rFonts w:ascii="Times New Roman" w:hAnsi="Times New Roman"/>
          <w:color w:val="000000"/>
          <w:sz w:val="20"/>
        </w:rPr>
        <w:t xml:space="preserve">” </w:t>
      </w:r>
      <w:r>
        <w:rPr>
          <w:rFonts w:ascii="Times New Roman" w:hAnsi="Times New Roman"/>
          <w:color w:val="000000"/>
          <w:sz w:val="22"/>
        </w:rPr>
        <w:t>means, for any period, the net revenue of Credit Parties and their Consolidated Subsidiaries solely to the extent generated by the Credit Parties or their Consolidated Subsidiaries directly from the commercial sale of Products to third parties in the Ordinary Course of Business (including, without limitation, recurring subscription, service, software, sale and lease revenue, but excluding revenue from licensing and royalties) for such period, as determined in accordance with GAAP.</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Non-Funding Lender</w:t>
      </w:r>
      <w:r>
        <w:rPr>
          <w:rFonts w:ascii="Times New Roman" w:hAnsi="Times New Roman"/>
          <w:color w:val="000000"/>
          <w:sz w:val="20"/>
        </w:rPr>
        <w:t xml:space="preserve">” </w:t>
      </w:r>
      <w:r>
        <w:rPr>
          <w:rFonts w:ascii="Times New Roman" w:hAnsi="Times New Roman"/>
          <w:color w:val="000000"/>
          <w:sz w:val="22"/>
        </w:rPr>
        <w:t>has the meaning set forth in Section 11.18.</w:t>
      </w:r>
    </w:p>
    <w:p>
      <w:pPr>
        <w:pStyle w:val="TextBody"/>
        <w:bidi w:val="0"/>
        <w:spacing w:before="0" w:after="240"/>
        <w:jc w:val="both"/>
        <w:rPr/>
      </w:pPr>
      <w:r>
        <w:rPr>
          <w:color w:val="000000"/>
        </w:rPr>
        <w:t>“</w:t>
      </w:r>
      <w:r>
        <w:rPr>
          <w:rFonts w:ascii="Times New Roman" w:hAnsi="Times New Roman"/>
          <w:b/>
          <w:color w:val="000000"/>
          <w:sz w:val="22"/>
        </w:rPr>
        <w:t>Notes</w:t>
      </w:r>
      <w:r>
        <w:rPr>
          <w:rFonts w:ascii="Times New Roman" w:hAnsi="Times New Roman"/>
          <w:color w:val="000000"/>
          <w:sz w:val="20"/>
        </w:rPr>
        <w:t xml:space="preserve">” </w:t>
      </w:r>
      <w:r>
        <w:rPr>
          <w:rFonts w:ascii="Times New Roman" w:hAnsi="Times New Roman"/>
          <w:color w:val="000000"/>
          <w:sz w:val="22"/>
        </w:rPr>
        <w:t>has the meaning set forth in Section 2.3.</w:t>
      </w:r>
    </w:p>
    <w:p>
      <w:pPr>
        <w:pStyle w:val="TextBody"/>
        <w:bidi w:val="0"/>
        <w:spacing w:before="0" w:after="240"/>
        <w:jc w:val="both"/>
        <w:rPr/>
      </w:pPr>
      <w:r>
        <w:rPr>
          <w:color w:val="000000"/>
        </w:rPr>
        <w:t>“</w:t>
      </w:r>
      <w:r>
        <w:rPr>
          <w:rFonts w:ascii="Times New Roman" w:hAnsi="Times New Roman"/>
          <w:b/>
          <w:color w:val="000000"/>
          <w:sz w:val="22"/>
        </w:rPr>
        <w:t>Notice of Borrowing</w:t>
      </w:r>
      <w:r>
        <w:rPr>
          <w:rFonts w:ascii="Times New Roman" w:hAnsi="Times New Roman"/>
          <w:color w:val="000000"/>
          <w:sz w:val="20"/>
        </w:rPr>
        <w:t xml:space="preserve">” </w:t>
      </w:r>
      <w:r>
        <w:rPr>
          <w:rFonts w:ascii="Times New Roman" w:hAnsi="Times New Roman"/>
          <w:color w:val="000000"/>
          <w:sz w:val="22"/>
        </w:rPr>
        <w:t xml:space="preserve">means a notice of a Responsible Officer of Borrower Representative, appropriately completed and substantially in the form of </w:t>
      </w:r>
      <w:r>
        <w:rPr>
          <w:rFonts w:ascii="Times New Roman" w:hAnsi="Times New Roman"/>
          <w:color w:val="000000"/>
          <w:sz w:val="22"/>
          <w:u w:val="single"/>
        </w:rPr>
        <w:t>Exhibit D</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pPr>
      <w:r>
        <w:rPr>
          <w:color w:val="000000"/>
        </w:rPr>
        <w:t>“</w:t>
      </w:r>
      <w:r>
        <w:rPr>
          <w:rFonts w:ascii="Times New Roman" w:hAnsi="Times New Roman"/>
          <w:b/>
          <w:color w:val="000000"/>
          <w:sz w:val="22"/>
        </w:rPr>
        <w:t>Obligations</w:t>
      </w:r>
      <w:r>
        <w:rPr>
          <w:rFonts w:ascii="Times New Roman" w:hAnsi="Times New Roman"/>
          <w:color w:val="000000"/>
          <w:sz w:val="20"/>
        </w:rPr>
        <w:t xml:space="preserve">” </w:t>
      </w:r>
      <w:r>
        <w:rPr>
          <w:rFonts w:ascii="Times New Roman" w:hAnsi="Times New Roman"/>
          <w:color w:val="000000"/>
          <w:sz w:val="22"/>
        </w:rPr>
        <w:t>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OFAC</w:t>
      </w:r>
      <w:r>
        <w:rPr>
          <w:rFonts w:ascii="Times New Roman" w:hAnsi="Times New Roman"/>
          <w:color w:val="000000"/>
          <w:sz w:val="20"/>
        </w:rPr>
        <w:t xml:space="preserve">” </w:t>
      </w:r>
      <w:r>
        <w:rPr>
          <w:rFonts w:ascii="Times New Roman" w:hAnsi="Times New Roman"/>
          <w:color w:val="000000"/>
          <w:sz w:val="22"/>
        </w:rPr>
        <w:t>means the U.S. Department of Treasury Office of Foreign Assets Control.</w:t>
      </w:r>
    </w:p>
    <w:p>
      <w:pPr>
        <w:pStyle w:val="TextBody"/>
        <w:bidi w:val="0"/>
        <w:spacing w:before="0" w:after="240"/>
        <w:jc w:val="both"/>
        <w:rPr/>
      </w:pPr>
      <w:r>
        <w:rPr>
          <w:color w:val="000000"/>
        </w:rPr>
        <w:t>“</w:t>
      </w:r>
      <w:r>
        <w:rPr>
          <w:rFonts w:ascii="Times New Roman" w:hAnsi="Times New Roman"/>
          <w:b/>
          <w:color w:val="000000"/>
          <w:sz w:val="22"/>
        </w:rPr>
        <w:t>OFAC Lists</w:t>
      </w:r>
      <w:r>
        <w:rPr>
          <w:rFonts w:ascii="Times New Roman" w:hAnsi="Times New Roman"/>
          <w:color w:val="000000"/>
          <w:sz w:val="20"/>
        </w:rPr>
        <w:t xml:space="preserve">” </w:t>
      </w:r>
      <w:r>
        <w:rPr>
          <w:rFonts w:ascii="Times New Roman" w:hAnsi="Times New Roman"/>
          <w:color w:val="000000"/>
          <w:sz w:val="22"/>
        </w:rPr>
        <w:t>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before="0" w:after="240"/>
        <w:jc w:val="both"/>
        <w:rPr/>
      </w:pPr>
      <w:r>
        <w:rPr>
          <w:color w:val="000000"/>
        </w:rPr>
        <w:t>“</w:t>
      </w:r>
      <w:r>
        <w:rPr>
          <w:rFonts w:ascii="Times New Roman" w:hAnsi="Times New Roman"/>
          <w:b/>
          <w:color w:val="000000"/>
          <w:sz w:val="22"/>
        </w:rPr>
        <w:t>Orderly Liquidation Value</w:t>
      </w:r>
      <w:r>
        <w:rPr>
          <w:rFonts w:ascii="Times New Roman" w:hAnsi="Times New Roman"/>
          <w:color w:val="000000"/>
          <w:sz w:val="20"/>
        </w:rPr>
        <w:t xml:space="preserve">” </w:t>
      </w:r>
      <w:r>
        <w:rPr>
          <w:rFonts w:ascii="Times New Roman" w:hAnsi="Times New Roman"/>
          <w:color w:val="000000"/>
          <w:sz w:val="22"/>
        </w:rPr>
        <w:t>means the net amount (after all costs of sale), expressed in terms of money, which Agent, in its Permitted Discretion, estimates can be realized from a sale, as of a specific date, given a reasonable period to find a purchaser(s), with the seller being compelled to sell on an as-is/where-is basis, as reflected in the most recent appraisal delivered hereunder.</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Ordinary Course of Business</w:t>
      </w:r>
      <w:r>
        <w:rPr>
          <w:rFonts w:ascii="Times New Roman" w:hAnsi="Times New Roman"/>
          <w:color w:val="000000"/>
          <w:sz w:val="20"/>
        </w:rPr>
        <w:t xml:space="preserve">” </w:t>
      </w:r>
      <w:r>
        <w:rPr>
          <w:rFonts w:ascii="Times New Roman" w:hAnsi="Times New Roman"/>
          <w:color w:val="000000"/>
          <w:sz w:val="22"/>
        </w:rPr>
        <w:t>means, in respect of any transaction involving any Credit Party or any Subsidiary, the ordinary course of business of such Credit Party or Subsidiary, as conducted by such Credit Party or Subsidiary in accordance with past practices and undertaken by such Person in good faith and not for purposes of evading any covenant or restriction in any Financing Document.</w:t>
      </w:r>
    </w:p>
    <w:p>
      <w:pPr>
        <w:pStyle w:val="TextBody"/>
        <w:bidi w:val="0"/>
        <w:spacing w:before="0" w:after="240"/>
        <w:jc w:val="both"/>
        <w:rPr/>
      </w:pPr>
      <w:r>
        <w:rPr>
          <w:color w:val="000000"/>
        </w:rPr>
        <w:t>“</w:t>
      </w:r>
      <w:r>
        <w:rPr>
          <w:rFonts w:ascii="Times New Roman" w:hAnsi="Times New Roman"/>
          <w:b/>
          <w:color w:val="000000"/>
          <w:sz w:val="22"/>
        </w:rPr>
        <w:t>Organizational Documents</w:t>
      </w:r>
      <w:r>
        <w:rPr>
          <w:rFonts w:ascii="Times New Roman" w:hAnsi="Times New Roman"/>
          <w:color w:val="000000"/>
          <w:sz w:val="20"/>
        </w:rPr>
        <w:t xml:space="preserve">” </w:t>
      </w:r>
      <w:r>
        <w:rPr>
          <w:rFonts w:ascii="Times New Roman" w:hAnsi="Times New Roman"/>
          <w:color w:val="000000"/>
          <w:sz w:val="22"/>
        </w:rPr>
        <w:t>means, with respect to any Person other than a natural person, the documents by which such Person was organized (such as a certificate of incorporation, articles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pStyle w:val="TextBody"/>
        <w:bidi w:val="0"/>
        <w:spacing w:before="0" w:after="240"/>
        <w:jc w:val="both"/>
        <w:rPr/>
      </w:pPr>
      <w:r>
        <w:rPr>
          <w:color w:val="000000"/>
        </w:rPr>
        <w:t>“</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taxes imposed as a result of a present or former connection between Agent, Term Loan Servicer or any Lender and the jurisdiction imposing such tax (other than connections arising from Agent, Term Loan Servicer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pStyle w:val="TextBody"/>
        <w:bidi w:val="0"/>
        <w:spacing w:before="0" w:after="240"/>
        <w:jc w:val="both"/>
        <w:rPr/>
      </w:pPr>
      <w:r>
        <w:rPr>
          <w:color w:val="000000"/>
        </w:rPr>
        <w:t>“</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pStyle w:val="TextBody"/>
        <w:bidi w:val="0"/>
        <w:spacing w:before="0" w:after="24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has the meaning set forth in Section 11.17.</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Participant Register</w:t>
      </w:r>
      <w:r>
        <w:rPr>
          <w:rFonts w:ascii="Times New Roman" w:hAnsi="Times New Roman"/>
          <w:color w:val="000000"/>
          <w:sz w:val="20"/>
        </w:rPr>
        <w:t xml:space="preserve">” </w:t>
      </w:r>
      <w:r>
        <w:rPr>
          <w:rFonts w:ascii="Times New Roman" w:hAnsi="Times New Roman"/>
          <w:color w:val="000000"/>
          <w:sz w:val="22"/>
        </w:rPr>
        <w:t>has the meaning set forth in Section 11.17(a)(iii).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Payment Account</w:t>
      </w:r>
      <w:r>
        <w:rPr>
          <w:rFonts w:ascii="Times New Roman" w:hAnsi="Times New Roman"/>
          <w:color w:val="000000"/>
          <w:sz w:val="20"/>
        </w:rPr>
        <w:t xml:space="preserve">” </w:t>
      </w:r>
      <w:r>
        <w:rPr>
          <w:rFonts w:ascii="Times New Roman" w:hAnsi="Times New Roman"/>
          <w:color w:val="000000"/>
          <w:sz w:val="22"/>
        </w:rPr>
        <w:t>means, as applicable, the Term Loan Payment Account or the Revolving Loan Payment Account.</w:t>
      </w:r>
    </w:p>
    <w:p>
      <w:pPr>
        <w:pStyle w:val="TextBody"/>
        <w:bidi w:val="0"/>
        <w:spacing w:before="0" w:after="240"/>
        <w:jc w:val="both"/>
        <w:rPr/>
      </w:pPr>
      <w:r>
        <w:rPr>
          <w:color w:val="000000"/>
        </w:rPr>
        <w:t>“</w:t>
      </w:r>
      <w:r>
        <w:rPr>
          <w:rFonts w:ascii="Times New Roman" w:hAnsi="Times New Roman"/>
          <w:b/>
          <w:color w:val="000000"/>
          <w:sz w:val="22"/>
        </w:rPr>
        <w:t>Payment Recipient</w:t>
      </w:r>
      <w:r>
        <w:rPr>
          <w:rFonts w:ascii="Times New Roman" w:hAnsi="Times New Roman"/>
          <w:color w:val="000000"/>
          <w:sz w:val="20"/>
        </w:rPr>
        <w:t xml:space="preserve">” </w:t>
      </w:r>
      <w:r>
        <w:rPr>
          <w:rFonts w:ascii="Times New Roman" w:hAnsi="Times New Roman"/>
          <w:color w:val="000000"/>
          <w:sz w:val="22"/>
        </w:rPr>
        <w:t>has the meaning set forth in Section 13.20.</w:t>
      </w:r>
    </w:p>
    <w:p>
      <w:pPr>
        <w:pStyle w:val="TextBody"/>
        <w:bidi w:val="0"/>
        <w:spacing w:before="0" w:after="240"/>
        <w:jc w:val="both"/>
        <w:rPr/>
      </w:pPr>
      <w:r>
        <w:rPr>
          <w:color w:val="000000"/>
        </w:rPr>
        <w:t>“</w:t>
      </w:r>
      <w:r>
        <w:rPr>
          <w:rFonts w:ascii="Times New Roman" w:hAnsi="Times New Roman"/>
          <w:b/>
          <w:color w:val="000000"/>
          <w:sz w:val="22"/>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 and any Person succeeding to any or all of its functions under ERISA.</w:t>
      </w:r>
    </w:p>
    <w:p>
      <w:pPr>
        <w:pStyle w:val="TextBody"/>
        <w:bidi w:val="0"/>
        <w:spacing w:before="0" w:after="240"/>
        <w:jc w:val="both"/>
        <w:rPr/>
      </w:pPr>
      <w:r>
        <w:rPr>
          <w:color w:val="000000"/>
        </w:rPr>
        <w:t>“</w:t>
      </w:r>
      <w:r>
        <w:rPr>
          <w:rFonts w:ascii="Times New Roman" w:hAnsi="Times New Roman"/>
          <w:b/>
          <w:color w:val="000000"/>
          <w:sz w:val="22"/>
        </w:rPr>
        <w:t>Pension Plan</w:t>
      </w:r>
      <w:r>
        <w:rPr>
          <w:rFonts w:ascii="Times New Roman" w:hAnsi="Times New Roman"/>
          <w:color w:val="000000"/>
          <w:sz w:val="20"/>
        </w:rPr>
        <w:t xml:space="preserve">” </w:t>
      </w:r>
      <w:r>
        <w:rPr>
          <w:rFonts w:ascii="Times New Roman" w:hAnsi="Times New Roman"/>
          <w:color w:val="000000"/>
          <w:sz w:val="22"/>
        </w:rPr>
        <w:t>means any ERISA Plan that is subject to Section 412 of the Code or Title IV of ERISA.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Perfection Certificate</w:t>
      </w:r>
      <w:r>
        <w:rPr>
          <w:rFonts w:ascii="Times New Roman" w:hAnsi="Times New Roman"/>
          <w:color w:val="000000"/>
          <w:sz w:val="20"/>
        </w:rPr>
        <w:t xml:space="preserve">” </w:t>
      </w:r>
      <w:r>
        <w:rPr>
          <w:rFonts w:ascii="Times New Roman" w:hAnsi="Times New Roman"/>
          <w:color w:val="000000"/>
          <w:sz w:val="22"/>
        </w:rPr>
        <w:t>means the Perfection Certificate delivered to Agent as of the Closing Date, as amended, restated, supplemented or otherwise modified from time to time in accordance with the terms of this Agreement.</w:t>
      </w:r>
    </w:p>
    <w:p>
      <w:pPr>
        <w:pStyle w:val="TextBody"/>
        <w:bidi w:val="0"/>
        <w:spacing w:before="0" w:after="240"/>
        <w:jc w:val="both"/>
        <w:rPr/>
      </w:pPr>
      <w:r>
        <w:rPr>
          <w:color w:val="000000"/>
        </w:rPr>
        <w:t>“</w:t>
      </w:r>
      <w:r>
        <w:rPr>
          <w:rFonts w:ascii="Times New Roman" w:hAnsi="Times New Roman"/>
          <w:b/>
          <w:color w:val="000000"/>
          <w:sz w:val="22"/>
        </w:rPr>
        <w:t>Permit</w:t>
      </w:r>
      <w:r>
        <w:rPr>
          <w:rFonts w:ascii="Times New Roman" w:hAnsi="Times New Roman"/>
          <w:color w:val="000000"/>
          <w:sz w:val="20"/>
        </w:rPr>
        <w:t xml:space="preserve">” </w:t>
      </w:r>
      <w:r>
        <w:rPr>
          <w:rFonts w:ascii="Times New Roman" w:hAnsi="Times New Roman"/>
          <w:color w:val="000000"/>
          <w:sz w:val="22"/>
        </w:rPr>
        <w:t>means all licenses, certificates, accreditations, product clearances or approvals, supplier numbers, marketing authorizations, drug or device authorizations and approvals, other authorizations, franchises, qualifications, accreditations, registrations, permits, consents and approvals of a Credit Party issued or required under Laws applicable to the business of the Credit Parties or any of their Subsidiaries or necessary in the manufacturing, importing, exporting, possession, ownership, warehousing, marketing,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promoting, sale, labeling, furnishing, distribution or delivery of goods or services under Laws applicable to the business of the Credit Parties or any of their Subsidiaries. Without limiting the generality of the foregoing, “</w:t>
      </w:r>
      <w:r>
        <w:rPr>
          <w:rFonts w:ascii="Times New Roman" w:hAnsi="Times New Roman"/>
          <w:b/>
          <w:color w:val="000000"/>
          <w:sz w:val="22"/>
        </w:rPr>
        <w:t>Permit</w:t>
      </w:r>
      <w:r>
        <w:rPr>
          <w:rFonts w:ascii="Times New Roman" w:hAnsi="Times New Roman"/>
          <w:color w:val="000000"/>
          <w:sz w:val="20"/>
        </w:rPr>
        <w:t xml:space="preserve">” </w:t>
      </w:r>
      <w:r>
        <w:rPr>
          <w:rFonts w:ascii="Times New Roman" w:hAnsi="Times New Roman"/>
          <w:color w:val="000000"/>
          <w:sz w:val="22"/>
        </w:rPr>
        <w:t>includes any Regulatory Required Permit.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Asset Dispositions</w:t>
      </w:r>
      <w:r>
        <w:rPr>
          <w:rFonts w:ascii="Times New Roman" w:hAnsi="Times New Roman"/>
          <w:color w:val="000000"/>
          <w:sz w:val="20"/>
        </w:rPr>
        <w:t xml:space="preserve">” </w:t>
      </w:r>
      <w:r>
        <w:rPr>
          <w:rFonts w:ascii="Times New Roman" w:hAnsi="Times New Roman"/>
          <w:color w:val="000000"/>
          <w:sz w:val="22"/>
        </w:rPr>
        <w:t>means the following Asset Dispositions: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dispositions of Inventory in the Ordinary Course of Business and not pursuant to any bulk sale;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dispositions of furniture, fixtures and equipment in the Ordinary Course of Business that the applicable Credit Party or Subsidiary determines in good faith is no longer used or useful in the business of such Credit Party and its Subsidiaries and with a fair salable value not to exceed Two Million Dollars ($2,000,000) in the aggregate for all such furniture, fixtures and equipment in any calendar year;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expiration, forfeiture, invalidation, cancellation, abandonment or lapse (including, without limitation, the narrowing of claims) of Intellectual Property (other than Material Intangible Assets) that is, in the reasonable good faith judgment of a Credit Party, no longer useful in the conduct of the business of the Credit Parties or any of their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Permitted Licenses;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dispositions consisting of the use or payment of cash or Cash Equivalents in the Ordinary Course of Business for equivalent value and in a manner that is not prohibited by the terms of this Agreement or the other Financing Documents;</w:t>
      </w:r>
    </w:p>
    <w:p>
      <w:pPr>
        <w:pStyle w:val="TextBody"/>
        <w:bidi w:val="0"/>
        <w:spacing w:before="0" w:after="240"/>
        <w:jc w:val="both"/>
        <w:rPr>
          <w:rFonts w:ascii="Times New Roman" w:hAnsi="Times New Roman"/>
          <w:sz w:val="20"/>
        </w:rPr>
      </w:pPr>
      <w:r>
        <w:rPr>
          <w:rFonts w:ascii="Times New Roman" w:hAnsi="Times New Roman"/>
          <w:color w:val="000000"/>
          <w:sz w:val="22"/>
        </w:rPr>
        <w:t>(f) Asset Dispositions from a Credit Party to any other Credit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sales, forgiveness or discounting, on a non-recourse basis and in the Ordinary Course of Business, of past due Accounts (other than Eligible Accounts included in the Borrowing Base) in connection with the settlement of delinquent Accounts or in connection with the bankruptcy or reorganization of suppliers or customers in accordance with the applicable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(h) to the extent constituting an Asset Disposition, the granting of Permitted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(i) any termination of any lease, sublease, license or sub-license (other than any licenses constituting Material Contracts or Material Intangible Assets) in the Ordinary Course of Business (and any related Asset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w:t>
      </w:r>
      <w:r>
        <w:rPr>
          <w:rFonts w:ascii="Times New Roman" w:hAnsi="Times New Roman"/>
          <w:color w:val="000000"/>
          <w:sz w:val="24"/>
        </w:rPr>
        <w:t xml:space="preserve">; </w:t>
      </w:r>
      <w:r>
        <w:rPr>
          <w:rFonts w:ascii="Times New Roman" w:hAnsi="Times New Roman"/>
          <w:color w:val="000000"/>
          <w:sz w:val="22"/>
        </w:rPr>
        <w:t>and</w:t>
      </w:r>
    </w:p>
    <w:p>
      <w:pPr>
        <w:pStyle w:val="TextBody"/>
        <w:bidi w:val="0"/>
        <w:spacing w:before="0" w:after="240"/>
        <w:jc w:val="both"/>
        <w:rPr>
          <w:rFonts w:ascii="Times New Roman" w:hAnsi="Times New Roman"/>
          <w:sz w:val="20"/>
        </w:rPr>
      </w:pPr>
      <w:r>
        <w:rPr>
          <w:rFonts w:ascii="Times New Roman" w:hAnsi="Times New Roman"/>
          <w:color w:val="000000"/>
          <w:sz w:val="22"/>
        </w:rPr>
        <w:t>(j) dispositions of tangible personal property (and not, for the avoidance of doubt, any Intellectual Property or other General Intangibles) so long as (i) the assets subject to such Asset Dispositions are sold for fair value, as determined by the Borrowers in good faith, (ii) at least 75% of the consideration therefor is cash or Cash Equivalents, (iii) the aggregate amount of such Asset Dispositions in any twelve (12) month period does not exceed $500,000, and (iv) no Event of Default has occurred and is continuing or would result from the making of such disposition.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Permitted Contest</w:t>
      </w:r>
      <w:r>
        <w:rPr>
          <w:rFonts w:ascii="Times New Roman" w:hAnsi="Times New Roman"/>
          <w:color w:val="000000"/>
          <w:sz w:val="20"/>
        </w:rPr>
        <w:t xml:space="preserve">” </w:t>
      </w:r>
      <w:r>
        <w:rPr>
          <w:rFonts w:ascii="Times New Roman" w:hAnsi="Times New Roman"/>
          <w:color w:val="000000"/>
          <w:sz w:val="22"/>
        </w:rPr>
        <w:t xml:space="preserve">means, with respect to any tax obligation or other obligation allegedly or potentially owing from any Credit Party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 compliance with the obligation that is the subject of such contest is effectively stayed during such challenge; (b) Credit Parties’ and their Subsidiaries’ title to, and its right to use, the Collateral is not adversely affected thereby and Agent’s Lien and priority on the Collateral are not adversely affected, altered or impaired thereby; (c) the Collateral or any part thereof or any interest therein shall not be in any danger of being sold, forfeited or lost by reason of such contest by Credit Parties or their Subsidiaries; and (d) upon a final determination of such contest, Credit Parties and their Subsidiaries shall promptly comply with the requirements thereof.</w:t>
      </w:r>
    </w:p>
    <w:p>
      <w:pPr>
        <w:pStyle w:val="TextBody"/>
        <w:bidi w:val="0"/>
        <w:spacing w:before="0" w:after="240"/>
        <w:jc w:val="both"/>
        <w:rPr/>
      </w:pPr>
      <w:r>
        <w:rPr>
          <w:color w:val="000000"/>
        </w:rPr>
        <w:t>“</w:t>
      </w:r>
      <w:r>
        <w:rPr>
          <w:rFonts w:ascii="Times New Roman" w:hAnsi="Times New Roman"/>
          <w:b/>
          <w:color w:val="000000"/>
          <w:sz w:val="22"/>
        </w:rPr>
        <w:t>Permitted Contingent Obligations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Contingent Obligations arising in respect of the Debt under the Financing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Contingent Obligations resulting from endorsements for collection or deposit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Contingent Obligations outstanding on the Closing Date and set forth on </w:t>
      </w:r>
      <w:r>
        <w:rPr>
          <w:rFonts w:ascii="Times New Roman" w:hAnsi="Times New Roman"/>
          <w:color w:val="000000"/>
          <w:sz w:val="22"/>
          <w:u w:val="single"/>
        </w:rPr>
        <w:t>Schedule 5.1</w:t>
      </w:r>
      <w:r>
        <w:rPr>
          <w:rFonts w:ascii="Times New Roman" w:hAnsi="Times New Roman"/>
          <w:color w:val="000000"/>
          <w:sz w:val="20"/>
        </w:rPr>
        <w:t xml:space="preserve"> </w:t>
      </w:r>
      <w:r>
        <w:rPr>
          <w:rFonts w:ascii="Times New Roman" w:hAnsi="Times New Roman"/>
          <w:color w:val="000000"/>
          <w:sz w:val="22"/>
        </w:rPr>
        <w:t>(but not including any refinancings, extensions, increases or amendments to such Debt other than a Permitted Refinancing);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Contingent Obligations incurred in the Ordinary Course of Business with respect to surety and appeal bonds, performance bonds and other similar obligations not to exceed Five Hundred Thousand ($500,000) in the aggregate at any time outstanding;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 Contingent Obligations arising under indemnity agreements with title insurers to cause such title insurers to issue to Agent mortgagee title insurance policies;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 Contingent Obligations arising with respect to customary indemnification obligations in favor of purchasers in connection with dispositions of personal property assets permitted under Section 5.6 or in connection with any other commercial agreement entered into by a Credit Party or a Subsidiary thereof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so long as there exists no Event of Default both immediately before and immediately after giving effect to any such transaction, Contingent Obligations existing or arising under any Swap Contract, </w:t>
      </w:r>
      <w:r>
        <w:rPr>
          <w:rFonts w:ascii="Times New Roman" w:hAnsi="Times New Roman"/>
          <w:i/>
          <w:color w:val="000000"/>
          <w:sz w:val="22"/>
        </w:rPr>
        <w:t>provided, however</w:t>
      </w:r>
      <w:r>
        <w:rPr>
          <w:rFonts w:ascii="Times New Roman" w:hAnsi="Times New Roman"/>
          <w:color w:val="000000"/>
          <w:sz w:val="22"/>
        </w:rPr>
        <w:t>, that such obligations are (or were) entered into by a Credit Party or a Subsidiary in the Ordinary Course of Business for the purpose of directly mitigating risks associated with liabilities, commitments, investments, assets, or property held or reasonably anticipated by such Person and not for purposes of speculation;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Contingent Obligations existing or arising in connection with any letter of credit for the primary purpose of securing a lease of real property in the Ordinary Course of Business,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aggregate amount of all such letter of credit reimbursement obligations does not at any time exceed Five Hundred Thousand Dollars ($500,000) outstanding;</w:t>
      </w:r>
    </w:p>
    <w:p>
      <w:pPr>
        <w:pStyle w:val="TextBody"/>
        <w:bidi w:val="0"/>
        <w:jc w:val="both"/>
        <w:rPr>
          <w:rFonts w:ascii="Times New Roman" w:hAnsi="Times New Roman"/>
          <w:sz w:val="20"/>
        </w:rPr>
      </w:pPr>
      <w:r>
        <w:rPr>
          <w:rFonts w:ascii="Times New Roman" w:hAnsi="Times New Roman"/>
          <w:color w:val="000000"/>
          <w:sz w:val="22"/>
        </w:rPr>
        <w:t>(i) Contingent Obligations arising under guarantees by a Credit Party of Debt or other obligations, which Debt or other obligations are otherwise permitted hereunder; provided,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however, that if such obligation is subordinated to the Obligations, such guarantee shall be subordinated to the same extent; and</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(j) other Contingent Obligations not permitted by clauses (a) through (i) above, not to exceed One Million Dollars ($1,000,000) in the aggregate at any time outstanding.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Debt</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Credit Parties Debt to Agent and each Lender under this Agreement and the other Financing Documents;</w:t>
      </w:r>
    </w:p>
    <w:p>
      <w:pPr>
        <w:pStyle w:val="TextBody"/>
        <w:bidi w:val="0"/>
        <w:spacing w:before="0" w:after="240"/>
        <w:jc w:val="both"/>
        <w:rPr>
          <w:rFonts w:ascii="Times New Roman" w:hAnsi="Times New Roman"/>
          <w:sz w:val="20"/>
        </w:rPr>
      </w:pPr>
      <w:r>
        <w:rPr>
          <w:rFonts w:ascii="Times New Roman" w:hAnsi="Times New Roman"/>
          <w:color w:val="000000"/>
          <w:sz w:val="22"/>
        </w:rPr>
        <w:t>(b) Debt incurred as a result of endorsing negotiable instruments received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purchase money Debt and Capital Leases not to exceed $500,000 in the aggregate at any time (whether in the form of a loan or a lease) used solely to acquire Equipment used in the Ordinary Course of Business and secured only by such Equipment and any Permitted Refinancing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Debt existing on the date of this Agreement and described on </w:t>
      </w:r>
      <w:r>
        <w:rPr>
          <w:rFonts w:ascii="Times New Roman" w:hAnsi="Times New Roman"/>
          <w:color w:val="000000"/>
          <w:sz w:val="22"/>
          <w:u w:val="single"/>
        </w:rPr>
        <w:t>Schedule 5.1</w:t>
      </w:r>
      <w:r>
        <w:rPr>
          <w:rFonts w:ascii="Times New Roman" w:hAnsi="Times New Roman"/>
          <w:color w:val="000000"/>
          <w:sz w:val="20"/>
        </w:rPr>
        <w:t xml:space="preserve"> </w:t>
      </w:r>
      <w:r>
        <w:rPr>
          <w:rFonts w:ascii="Times New Roman" w:hAnsi="Times New Roman"/>
          <w:color w:val="000000"/>
          <w:sz w:val="22"/>
        </w:rPr>
        <w:t>(but not including any refinancings, extensions, increases or amendments to such Debt other than any Permitted Refinancing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so long as there exists no Event of Default both immediately before and immediately after giving effect to any such transaction, Debt existing or arising under any Swap Contract, provided, however, that such obligations are (or were) entered into by Borrower or a Subsidiary in the Ordinary Course of Business for the purpose of directly mitigating risks associated with liabilities, commitments, investments, assets, or property held or reasonably anticipated by such Person and not for purposes of speculation;</w:t>
      </w:r>
    </w:p>
    <w:p>
      <w:pPr>
        <w:pStyle w:val="TextBody"/>
        <w:bidi w:val="0"/>
        <w:spacing w:before="0" w:after="240"/>
        <w:jc w:val="both"/>
        <w:rPr>
          <w:rFonts w:ascii="Times New Roman" w:hAnsi="Times New Roman"/>
          <w:sz w:val="20"/>
        </w:rPr>
      </w:pPr>
      <w:r>
        <w:rPr>
          <w:rFonts w:ascii="Times New Roman" w:hAnsi="Times New Roman"/>
          <w:color w:val="000000"/>
          <w:sz w:val="22"/>
        </w:rPr>
        <w:t>(f) Debt owed to any Person providing property, casualty, liability, or other insurance to the Credit Parties, including to finance insurance premiums, so long as the amount of such Debt is not in excess of the amount of the unpaid cost of, and shall be incurred only to defer the cost of, such insurance for the policy year in which such Debt is incurred and such Debt is outstanding only during such policy year;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Debt consisting of unsecured intercompany loans and advances incurred by any Credit Party owing to any other Credit Party so long as such Debt constitutes a Permitted Investment of the applicable Credit Party pursuant to clause (i) of the definition of Permitted Investments and, in each case; </w:t>
      </w:r>
      <w:r>
        <w:rPr>
          <w:rFonts w:ascii="Times New Roman" w:hAnsi="Times New Roman"/>
          <w:i/>
          <w:color w:val="000000"/>
          <w:sz w:val="22"/>
        </w:rPr>
        <w:t xml:space="preserve">provided </w:t>
      </w:r>
      <w:r>
        <w:rPr>
          <w:rFonts w:ascii="Times New Roman" w:hAnsi="Times New Roman"/>
          <w:color w:val="000000"/>
          <w:sz w:val="22"/>
        </w:rPr>
        <w:t>that any such Debt</w:t>
      </w:r>
      <w:r>
        <w:rPr>
          <w:rFonts w:ascii="Times New Roman" w:hAnsi="Times New Roman"/>
          <w:color w:val="000000"/>
          <w:sz w:val="20"/>
        </w:rPr>
        <w:t xml:space="preserve"> </w:t>
      </w:r>
      <w:r>
        <w:rPr>
          <w:rFonts w:ascii="Times New Roman" w:hAnsi="Times New Roman"/>
          <w:color w:val="000000"/>
          <w:sz w:val="22"/>
        </w:rPr>
        <w:t>owed by a Credit Party shall, at the request of Agent, be subordinated to the payment in full of the Obligations pursuant to documentation in form and substance reasonably satisfactory to Agent;</w:t>
      </w:r>
    </w:p>
    <w:p>
      <w:pPr>
        <w:pStyle w:val="TextBody"/>
        <w:bidi w:val="0"/>
        <w:spacing w:before="0" w:after="240"/>
        <w:jc w:val="both"/>
        <w:rPr>
          <w:rFonts w:ascii="Times New Roman" w:hAnsi="Times New Roman"/>
          <w:sz w:val="20"/>
        </w:rPr>
      </w:pPr>
      <w:r>
        <w:rPr>
          <w:rFonts w:ascii="Times New Roman" w:hAnsi="Times New Roman"/>
          <w:color w:val="000000"/>
          <w:sz w:val="22"/>
        </w:rPr>
        <w:t>(h) Subordinated Debt;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to the extent also constituting Debt (without duplication), Permitted Contingent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Debt in respect of netting services, overdraft protections and other like services, in each case incurred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Debt, in an aggregate amount not to exceed $1,000,000 at any time outstanding, in respect of credit cards, credit card processing services, debit cards, stored value cards, purchase cards (including so-called “procurement cards” or “P-cards”) or other similar cash management or merchant services, in each case, incurred in the Ordinary Course of Business; </w:t>
      </w:r>
      <w:r>
        <w:rPr>
          <w:rFonts w:ascii="Times New Roman" w:hAnsi="Times New Roman"/>
          <w:i/>
          <w:color w:val="000000"/>
          <w:sz w:val="22"/>
        </w:rPr>
        <w:t xml:space="preserve">provided </w:t>
      </w:r>
      <w:r>
        <w:rPr>
          <w:rFonts w:ascii="Times New Roman" w:hAnsi="Times New Roman"/>
          <w:color w:val="000000"/>
          <w:sz w:val="22"/>
        </w:rPr>
        <w:t>that, to the extent such Debt is secured, it is secured solely by cash collateral held in a Credit Card Cash Collateral Account;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(l) unsecured Debt with respect to judgments or decrees not otherwise constituting an Event of Default under Section 10.1 and in an amount not to exceed $2,500,000 in the aggregate outstanding at any time;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(m) other unsecured Debt not to exceed $1,000,000 in the aggregate at any time at any time outstanding.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Discretion</w:t>
      </w:r>
      <w:r>
        <w:rPr>
          <w:rFonts w:ascii="Times New Roman" w:hAnsi="Times New Roman"/>
          <w:color w:val="000000"/>
          <w:sz w:val="20"/>
        </w:rPr>
        <w:t xml:space="preserve">” </w:t>
      </w:r>
      <w:r>
        <w:rPr>
          <w:rFonts w:ascii="Times New Roman" w:hAnsi="Times New Roman"/>
          <w:color w:val="000000"/>
          <w:sz w:val="22"/>
        </w:rPr>
        <w:t>means a determination made in good faith and in the exercise of reasonable business judgment.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Distributions</w:t>
      </w:r>
      <w:r>
        <w:rPr>
          <w:rFonts w:ascii="Times New Roman" w:hAnsi="Times New Roman"/>
          <w:color w:val="000000"/>
          <w:sz w:val="20"/>
        </w:rPr>
        <w:t xml:space="preserve">” </w:t>
      </w:r>
      <w:r>
        <w:rPr>
          <w:rFonts w:ascii="Times New Roman" w:hAnsi="Times New Roman"/>
          <w:color w:val="000000"/>
          <w:sz w:val="22"/>
        </w:rPr>
        <w:t>means the following Distributions: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Distributions by any Subsidiary of a Credit Party to a Credit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dividends payable solely in common Equity Interests</w:t>
      </w:r>
      <w:r>
        <w:rPr>
          <w:rFonts w:ascii="Times New Roman" w:hAnsi="Times New Roman"/>
          <w:color w:val="000000"/>
          <w:sz w:val="20"/>
        </w:rPr>
        <w:t xml:space="preserve"> </w:t>
      </w:r>
      <w:r>
        <w:rPr>
          <w:rFonts w:ascii="Times New Roman" w:hAnsi="Times New Roman"/>
          <w:color w:val="000000"/>
          <w:sz w:val="22"/>
        </w:rPr>
        <w:t>(other than Disqualified Equity Interests) so long as such dividends do not result in a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repurchases of stock of current or former employees, directors or consultants pursuant to stock purchase agreements so long as an Event of Default does not exist at the time of such repurchase and would not exist after giving effect to such repurchase,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such repurchase does not exceed Two Hundred Fifty Thousand Dollars ($250,000) in the aggregate per fiscal year;</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(d) distributions of Equity Interests (other than Disqualified Equity Interests) upon the conversion or exchange of Equity Interests (including options and warrants) or Subordinated Debt;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 cash payments in lieu of the issuance of fractional shares in connection with the exercise of warrants, options or other securities convertible into or exchangeable for capital stock, or in connection with dividends, share splits, reverse share splits (or any combination thereof) and other Investments permitted hereunder, in an aggregate maximum amount not to exceed One Hundred Thousand Dollars ($100,000) in any fiscal year.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Permitted Investments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Investments shown on </w:t>
      </w:r>
      <w:r>
        <w:rPr>
          <w:rFonts w:ascii="Times New Roman" w:hAnsi="Times New Roman"/>
          <w:color w:val="000000"/>
          <w:sz w:val="22"/>
          <w:u w:val="single"/>
        </w:rPr>
        <w:t>Schedule 5.7</w:t>
      </w:r>
      <w:r>
        <w:rPr>
          <w:rFonts w:ascii="Times New Roman" w:hAnsi="Times New Roman"/>
          <w:color w:val="000000"/>
          <w:sz w:val="20"/>
        </w:rPr>
        <w:t xml:space="preserve"> </w:t>
      </w:r>
      <w:r>
        <w:rPr>
          <w:rFonts w:ascii="Times New Roman" w:hAnsi="Times New Roman"/>
          <w:color w:val="000000"/>
          <w:sz w:val="22"/>
        </w:rPr>
        <w:t>and existing on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to the extent constituting an Investment, the holding by a Person of cash and Cash Equivalents owned by such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Investments consisting of the endorsement of negotiable instruments for deposit or collection or similar transactions in the Ordinary Course of Business;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 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in the Ordinary Course of Business, but the aggregate of all such loans and advances outstanding pursuant to this clause (d) may not exceed $250,000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 Investments (including debt obligations) received in connection with bankruptcy or reorganization of customers or suppliers and in settlement of delinquent obligations of, and other disputes with, customers or suppliers arising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Investments consisting of notes receivable of, or prepaid royalties and other credit extensions, to customers and suppliers who are not Affiliates, in the Ordinary Course of Business, </w:t>
      </w:r>
      <w:r>
        <w:rPr>
          <w:rFonts w:ascii="Times New Roman" w:hAnsi="Times New Roman"/>
          <w:i/>
          <w:color w:val="000000"/>
          <w:sz w:val="22"/>
        </w:rPr>
        <w:t>provided, however</w:t>
      </w:r>
      <w:r>
        <w:rPr>
          <w:rFonts w:ascii="Times New Roman" w:hAnsi="Times New Roman"/>
          <w:color w:val="000000"/>
          <w:sz w:val="22"/>
        </w:rPr>
        <w:t>, that this clause (f) shall not apply to Investments of any Credit Party in any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 Investments consisting of Deposit Accounts or Securities Accounts in which Agent has received a Deposit Account Control Agreement or Securities Account Control Agreement, except in the case of Excluded Accounts;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(h) Investments by any Credit Party in any other Credit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so long as no Event of Default has occurred and is continuing or would result therefrom, Investments of cash and cash equivalents in an entity established to perform EEG reading services in an amount not to exceed Three Million ($3,000,000) in the aggregate at any time outstanding;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Investments in accordance with the Borrower’s Investment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Investments accepted in connection with Dispositions permitted by Section 5.6;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the granting of Permitted Licenses;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Investments in prepaid expenses, utility and workers’ compensation, performance and other similar deposits, each as entered into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00000"/>
          <w:sz w:val="22"/>
        </w:rPr>
        <w:t>(n) so long as no Event of Default exists at the time of such Investment or after giving effect to such Investment, other Investments of cash and Cash Equivalents in an amount not exceeding Five Hundred Thousand Dollars ($500,000) in the aggregate at any time outstanding.</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License</w:t>
      </w:r>
      <w:r>
        <w:rPr>
          <w:rFonts w:ascii="Times New Roman" w:hAnsi="Times New Roman"/>
          <w:color w:val="000000"/>
          <w:sz w:val="20"/>
        </w:rPr>
        <w:t xml:space="preserve">” </w:t>
      </w:r>
      <w:r>
        <w:rPr>
          <w:rFonts w:ascii="Times New Roman" w:hAnsi="Times New Roman"/>
          <w:color w:val="000000"/>
          <w:sz w:val="22"/>
        </w:rPr>
        <w:t>means (a) any non-exclusive license or sublicense of discrete Intellectual Property rights of Credit Parties or their Subsidiaries so long as all such licenses or sublicenses (i) are granted to third parties in the Ordinary Course of Business, (ii) do not result in a legal transfer of title to the licensed property, (iii) have been granted in exchange for fair consideration on commercially reasonable terms, and (iv) no Event of Default has occurred and is continuing or would result from the granting of such license or sublicense, (b) any exclusive license or sublicense of discrete Intellectual Property rights of Credit Parties or their Subsidiaries so long as all such licenses or sublicenses (i) are granted to third parties in the Ordinary Course of Business, (ii) do not result in a legal transfer of title to the licensed property, (iii) have been granted in exchange for fair consideration on commercially reasonable terms, (iv) are exclusive solely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as to discrete geographical areas outside of the United States (and are not exclusive in any other respect), and (v) no Event of Default has occurred and is continuing or would result from the granting of such license or sublicense and (c) any exclusive license or sublicense of discrete Intellectual Property rights of Credit Parties or their Subsidiaries so long as such licenses or sublicenses have been approved in advance in writing by Agent, in its sole discretion.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Permitted Liens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deposits or pledges of cash arising in the Ordinary Course of Business to secure obligations under workmen’s compensation, social security or similar laws, or under unemployment insurance (but excluding Liens arising under ERISA or, with respect to any Pension Plan or Multiemployer Plan, the Code) pertaining to a Credit Party’s or its Subsidiary’s employees, if 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deposits or pledges of cash</w:t>
      </w:r>
      <w:r>
        <w:rPr>
          <w:rFonts w:ascii="Times New Roman" w:hAnsi="Times New Roman"/>
          <w:color w:val="000000"/>
          <w:sz w:val="20"/>
        </w:rPr>
        <w:t xml:space="preserve"> </w:t>
      </w:r>
      <w:r>
        <w:rPr>
          <w:rFonts w:ascii="Times New Roman" w:hAnsi="Times New Roman"/>
          <w:color w:val="000000"/>
          <w:sz w:val="22"/>
        </w:rPr>
        <w:t>and Cash Equivalents in the Ordinary Course of Business to secure, without duplication, (i)</w:t>
      </w:r>
      <w:r>
        <w:rPr>
          <w:rFonts w:ascii="Times New Roman" w:hAnsi="Times New Roman"/>
          <w:color w:val="000000"/>
          <w:sz w:val="20"/>
        </w:rPr>
        <w:t xml:space="preserve"> </w:t>
      </w:r>
      <w:r>
        <w:rPr>
          <w:rFonts w:ascii="Times New Roman" w:hAnsi="Times New Roman"/>
          <w:color w:val="000000"/>
          <w:sz w:val="22"/>
        </w:rPr>
        <w:t>leases and other obligations of like nature arising in the Ordinary Course of Business</w:t>
      </w:r>
      <w:r>
        <w:rPr>
          <w:rFonts w:ascii="Times New Roman" w:hAnsi="Times New Roman"/>
          <w:color w:val="000000"/>
          <w:sz w:val="20"/>
        </w:rPr>
        <w:t xml:space="preserve"> </w:t>
      </w:r>
      <w:r>
        <w:rPr>
          <w:rFonts w:ascii="Times New Roman" w:hAnsi="Times New Roman"/>
          <w:color w:val="000000"/>
          <w:sz w:val="22"/>
        </w:rPr>
        <w:t>and (ii) Permitted Contingent Obligations described in clause (h) of the definition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carriers’, warehousemen’s, mechanics’, materialmen’s, repairmen’s or other like Liens arising by operation of law in the ordinary course of business that are not overdue for a period of more than 30 days or which are being contested pursuant to a Permitted Contest (provided that nothing in this clause (c) shall be deemed to be consent or permission given by Agent or Lenders to the transfer of inventory or other property to any carrier, warehousemen, mechanic, materialmen, repairment or other like Person as security for the payment of the obligations due to such a Person or to any such Person’s Lien taking priority over the Liens granted to Agent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Liens for taxes or other governmental charges not at the time delinquent or thereafter payable without penalty or the subject of a Permitted Contest;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attachments, stay or appeal bonds, judgments and other similar Liens on Collateral for sums not exceeding $250,000 in the aggregate and arising in connection with court proceedings that do not constitute an Event of Default; </w:t>
      </w:r>
      <w:r>
        <w:rPr>
          <w:rFonts w:ascii="Times New Roman" w:hAnsi="Times New Roman"/>
          <w:i/>
          <w:color w:val="000000"/>
          <w:sz w:val="22"/>
        </w:rPr>
        <w:t>provided, however</w:t>
      </w:r>
      <w:r>
        <w:rPr>
          <w:rFonts w:ascii="Times New Roman" w:hAnsi="Times New Roman"/>
          <w:color w:val="000000"/>
          <w:sz w:val="22"/>
        </w:rPr>
        <w:t>, that the execution or other enforcement of such Liens is effectively stayed and the claims secured thereby are the subject of a Permitted Contest;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 Liens 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Credit Parties’ ability to pay the Obligations in a timely manner or impair the use of the Collateral or the ordinary conduct of the business of any Credit Party or any Subsidiary and which, in the case of any real estate that is part of the Collateral, are set forth as exceptions to or subordinate matters in the title insurance policy accepted by Agent insuring the lien of the Security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 Liens and encumbrances in favor of Agent under the Financing Documents;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Liens, other than on Collateral that is part of the Borrowing Base, existing on the date hereof and set forth on </w:t>
      </w:r>
      <w:r>
        <w:rPr>
          <w:rFonts w:ascii="Times New Roman" w:hAnsi="Times New Roman"/>
          <w:color w:val="000000"/>
          <w:sz w:val="22"/>
          <w:u w:val="single"/>
        </w:rPr>
        <w:t>Schedule 5.2</w:t>
      </w:r>
      <w:r>
        <w:rPr>
          <w:rFonts w:ascii="Times New Roman" w:hAnsi="Times New Roman"/>
          <w:color w:val="000000"/>
          <w:sz w:val="20"/>
        </w:rPr>
        <w:t xml:space="preserve"> </w:t>
      </w:r>
      <w:r>
        <w:rPr>
          <w:rFonts w:ascii="Times New Roman" w:hAnsi="Times New Roman"/>
          <w:color w:val="000000"/>
          <w:sz w:val="22"/>
        </w:rPr>
        <w:t>on the Closing Date and Liens granted in a Permitted Refinancing of the obligations or liabilities secured by such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Lien on any Equipment and the proceeds thereof securing Debt permitted under clause (c) of the definition of Permitted Debt;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Lien attaches concurrently with or within twenty (20) days after the acquisition thereof and Liens incurred in a Permitted Refinancing of such Debt secured by such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to the extent constituting a Lien, the granting of a Permitted License;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purported Liens evidenced by the filing of precautionary UCC financing statements relating solely to operating leases or consignments of personal property entered into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Liens granted in the Ordinary Course of Business on the unearned portion of insurance premiums securing the financing of insurance premiums to the extent the financing is permitted clause (f) of the definition of Permitted Debt;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Liens that are rights of set-off, bankers’ liens or similar non-consensual Liens relating to Deposit Accounts or Securities Accounts in favor of banks, other depositary institutions and securities intermediaries solely to secure payment of fees and similar costs and expenses and arising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(n) Leases or subleases of real property granted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Liens, deposits and pledges encumbering cash and Cash Equivalents with a value not to exceed Five Hundred Thousand Dollars ($500,000) in the aggregate at any time, to secure the performance of bids, tenders, contracts (other than contracts for the payment of money), public or statutory obligations, surety, indemnity, performance or other similar bonds or other similar obligations arising in the Ordinary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Liens solely in respect of the Credit Card Cash Collateral Accounts and amounts deposited therein to the extent securing obligations permitted pursuant to clause (k) of the definition of Permitted Debt;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Liens solely in respect of the L/C Cash Collateral Accounts and amounts deposited therein to the extent securing obligations permitted pursuant to clause (h) of the definition of Permitted Contingent Obligations;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 Liens in favor of customs and revenue authorities arising as a matter of Law to secure payment of customs duties in connection with the importation of goods in the Ordinary Course of Business.</w:t>
      </w:r>
    </w:p>
    <w:p>
      <w:pPr>
        <w:pStyle w:val="TextBody"/>
        <w:bidi w:val="0"/>
        <w:spacing w:before="0" w:after="240"/>
        <w:jc w:val="both"/>
        <w:rPr/>
      </w:pPr>
      <w:r>
        <w:rPr>
          <w:color w:val="000000"/>
        </w:rPr>
        <w:t>“</w:t>
      </w:r>
      <w:r>
        <w:rPr>
          <w:rFonts w:ascii="Times New Roman" w:hAnsi="Times New Roman"/>
          <w:b/>
          <w:color w:val="000000"/>
          <w:sz w:val="22"/>
        </w:rPr>
        <w:t>Permitted Modifications</w:t>
      </w:r>
      <w:r>
        <w:rPr>
          <w:rFonts w:ascii="Times New Roman" w:hAnsi="Times New Roman"/>
          <w:color w:val="000000"/>
          <w:sz w:val="20"/>
        </w:rPr>
        <w:t xml:space="preserve">” </w:t>
      </w:r>
      <w:r>
        <w:rPr>
          <w:rFonts w:ascii="Times New Roman" w:hAnsi="Times New Roman"/>
          <w:color w:val="000000"/>
          <w:sz w:val="22"/>
        </w:rPr>
        <w:t>means (a) such amendments or other modifications to a Borrower’s or Subsidiary’s Organizational Documents as are required under this Agreement or by applicable Law and fully disclosed to Agent with the next quarterly Compliance Certificate after such amendments or modifications have become effective, and (b) such amendments or modifications to a Borrower’s or Subsidiary’s Organizational Documents (other than those involving a change in the name of a Borrower or Subsidiary or involving a reorganization of a Borrower or Subsidiary under the laws of a different jurisdiction) that would not adversely affect the rights and interests of Agent or Lenders and fully disclosed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Agent with the next quarterly Compliance Certificate after such amendments or modifications have become effective.</w:t>
      </w:r>
    </w:p>
    <w:p>
      <w:pPr>
        <w:pStyle w:val="TextBody"/>
        <w:bidi w:val="0"/>
        <w:spacing w:before="0" w:after="240"/>
        <w:jc w:val="both"/>
        <w:rPr/>
      </w:pPr>
      <w:r>
        <w:rPr>
          <w:color w:val="000000"/>
        </w:rPr>
        <w:t>“</w:t>
      </w:r>
      <w:r>
        <w:rPr>
          <w:rFonts w:ascii="Times New Roman" w:hAnsi="Times New Roman"/>
          <w:b/>
          <w:color w:val="000000"/>
          <w:sz w:val="22"/>
        </w:rPr>
        <w:t>Permitted Refinancing</w:t>
      </w:r>
      <w:r>
        <w:rPr>
          <w:rFonts w:ascii="Times New Roman" w:hAnsi="Times New Roman"/>
          <w:color w:val="000000"/>
          <w:sz w:val="20"/>
        </w:rPr>
        <w:t xml:space="preserve">” </w:t>
      </w:r>
      <w:r>
        <w:rPr>
          <w:rFonts w:ascii="Times New Roman" w:hAnsi="Times New Roman"/>
          <w:color w:val="000000"/>
          <w:sz w:val="22"/>
        </w:rPr>
        <w:t>means Debt constituting a refinancing, extension or renewal of Debt; provided that the refinanced, extended, or renewed Debt (a) has an aggregate outstanding principal amount not greater than the aggregate principal amount of the Debt being refinanced or extended (plus any reasonable and customary interest, fees, premiums and costs and expenses)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(f) is otherwise on terms no less favorable to Credit Parties and their Subsidiaries, taken as a whole, than those of the Debt being refinanced or extended, and (g) no Event of Default has occurred and is continuing at the time such refinancing, extension or renewal occurs or would result therefrom.</w:t>
      </w:r>
    </w:p>
    <w:p>
      <w:pPr>
        <w:pStyle w:val="TextBody"/>
        <w:bidi w:val="0"/>
        <w:spacing w:before="0" w:after="240"/>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pStyle w:val="TextBody"/>
        <w:bidi w:val="0"/>
        <w:spacing w:before="0" w:after="240"/>
        <w:jc w:val="both"/>
        <w:rPr/>
      </w:pPr>
      <w:r>
        <w:rPr>
          <w:color w:val="000000"/>
        </w:rPr>
        <w:t>“</w:t>
      </w:r>
      <w:r>
        <w:rPr>
          <w:rFonts w:ascii="Times New Roman" w:hAnsi="Times New Roman"/>
          <w:b/>
          <w:color w:val="000000"/>
          <w:sz w:val="22"/>
        </w:rPr>
        <w:t>Pledge Agreement</w:t>
      </w:r>
      <w:r>
        <w:rPr>
          <w:rFonts w:ascii="Times New Roman" w:hAnsi="Times New Roman"/>
          <w:color w:val="000000"/>
          <w:sz w:val="20"/>
        </w:rPr>
        <w:t xml:space="preserve">” </w:t>
      </w:r>
      <w:r>
        <w:rPr>
          <w:rFonts w:ascii="Times New Roman" w:hAnsi="Times New Roman"/>
          <w:color w:val="000000"/>
          <w:sz w:val="22"/>
        </w:rPr>
        <w:t>means any Pledge Agreement (if any), dated on or after the Closing Date, executed by certain Credit Parties in favor of Agent, for the benefit of Lenders, covering all the Equity Interests respectively owned by the Credit Parties, as amended, restated, or otherwise modified from time to time.</w:t>
      </w:r>
    </w:p>
    <w:p>
      <w:pPr>
        <w:pStyle w:val="TextBody"/>
        <w:bidi w:val="0"/>
        <w:spacing w:before="0" w:after="240"/>
        <w:jc w:val="both"/>
        <w:rPr/>
      </w:pPr>
      <w:r>
        <w:rPr>
          <w:color w:val="000000"/>
        </w:rPr>
        <w:t>“</w:t>
      </w:r>
      <w:r>
        <w:rPr>
          <w:rFonts w:ascii="Times New Roman" w:hAnsi="Times New Roman"/>
          <w:b/>
          <w:color w:val="000000"/>
          <w:sz w:val="22"/>
        </w:rPr>
        <w:t>Pledged Collateral</w:t>
      </w:r>
      <w:r>
        <w:rPr>
          <w:rFonts w:ascii="Times New Roman" w:hAnsi="Times New Roman"/>
          <w:color w:val="000000"/>
          <w:sz w:val="20"/>
        </w:rPr>
        <w:t xml:space="preserve">” </w:t>
      </w:r>
      <w:r>
        <w:rPr>
          <w:rFonts w:ascii="Times New Roman" w:hAnsi="Times New Roman"/>
          <w:color w:val="000000"/>
          <w:sz w:val="22"/>
        </w:rPr>
        <w:t>shall mean and include all Pledged Debt and Pledged Equity, wherever located, whether now owned or hereafter acquired or arising, and all proceeds and products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Pledged Debt</w:t>
      </w:r>
      <w:r>
        <w:rPr>
          <w:rFonts w:ascii="Times New Roman" w:hAnsi="Times New Roman"/>
          <w:color w:val="000000"/>
          <w:sz w:val="20"/>
        </w:rPr>
        <w:t xml:space="preserve">” </w:t>
      </w:r>
      <w:r>
        <w:rPr>
          <w:rFonts w:ascii="Times New Roman" w:hAnsi="Times New Roman"/>
          <w:color w:val="000000"/>
          <w:sz w:val="22"/>
        </w:rPr>
        <w:t>has the meaning set forth in Section 9.1.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Pledged Equity</w:t>
      </w:r>
      <w:r>
        <w:rPr>
          <w:rFonts w:ascii="Times New Roman" w:hAnsi="Times New Roman"/>
          <w:color w:val="000000"/>
          <w:sz w:val="20"/>
        </w:rPr>
        <w:t xml:space="preserve">” </w:t>
      </w:r>
      <w:r>
        <w:rPr>
          <w:rFonts w:ascii="Times New Roman" w:hAnsi="Times New Roman"/>
          <w:color w:val="000000"/>
          <w:sz w:val="22"/>
        </w:rPr>
        <w:t>has the meaning set forth in Section 9.1.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Prepayment Fee</w:t>
      </w:r>
      <w:r>
        <w:rPr>
          <w:rFonts w:ascii="Times New Roman" w:hAnsi="Times New Roman"/>
          <w:color w:val="000000"/>
          <w:sz w:val="20"/>
        </w:rPr>
        <w:t xml:space="preserve">” </w:t>
      </w:r>
      <w:r>
        <w:rPr>
          <w:rFonts w:ascii="Times New Roman" w:hAnsi="Times New Roman"/>
          <w:color w:val="000000"/>
          <w:sz w:val="22"/>
        </w:rPr>
        <w:t>has the meaning set forth in Section 2.2(i).</w:t>
      </w:r>
    </w:p>
    <w:p>
      <w:pPr>
        <w:pStyle w:val="TextBody"/>
        <w:bidi w:val="0"/>
        <w:spacing w:before="0" w:after="240"/>
        <w:jc w:val="both"/>
        <w:rPr/>
      </w:pPr>
      <w:r>
        <w:rPr>
          <w:color w:val="000000"/>
        </w:rPr>
        <w:t>“</w:t>
      </w:r>
      <w:r>
        <w:rPr>
          <w:rFonts w:ascii="Times New Roman" w:hAnsi="Times New Roman"/>
          <w:b/>
          <w:color w:val="000000"/>
          <w:sz w:val="22"/>
        </w:rPr>
        <w:t>Pro Rata Share</w:t>
      </w:r>
      <w:r>
        <w:rPr>
          <w:rFonts w:ascii="Times New Roman" w:hAnsi="Times New Roman"/>
          <w:color w:val="000000"/>
          <w:sz w:val="20"/>
        </w:rPr>
        <w:t xml:space="preserve">” </w:t>
      </w:r>
      <w:r>
        <w:rPr>
          <w:rFonts w:ascii="Times New Roman" w:hAnsi="Times New Roman"/>
          <w:color w:val="000000"/>
          <w:sz w:val="22"/>
        </w:rPr>
        <w:t xml:space="preserve">means (a) with respect to a Lender’s obligation to make advances in respect of a Term Loan Tranche 1 and such Lender’s right to receive payments of principal, interest and fees with respect to the Term Loan Tranche 1, the Term Loan Tranche 1 Commitment Percentage of such Lender; </w:t>
      </w:r>
      <w:r>
        <w:rPr>
          <w:rFonts w:ascii="Times New Roman" w:hAnsi="Times New Roman"/>
          <w:i/>
          <w:color w:val="231F20"/>
          <w:sz w:val="22"/>
        </w:rPr>
        <w:t xml:space="preserve">provided </w:t>
      </w:r>
      <w:r>
        <w:rPr>
          <w:rFonts w:ascii="Times New Roman" w:hAnsi="Times New Roman"/>
          <w:color w:val="231F20"/>
          <w:sz w:val="22"/>
        </w:rPr>
        <w:t>that if the Term Loan Tranche 1 Commitment has been reduced to zero, the numerator shall be the aggregate unpaid principal amount of such Lender’s portion of the Term Loan Tranche 1 and the denominator shall be the aggregate unpaid principal amount of the Term Loan Tranche 1</w:t>
      </w:r>
      <w:r>
        <w:rPr>
          <w:rFonts w:ascii="Times New Roman" w:hAnsi="Times New Roman"/>
          <w:color w:val="000000"/>
          <w:sz w:val="22"/>
        </w:rPr>
        <w:t xml:space="preserve">, (b) with respect to a Lender’s obligation to make advances in respect of a Term Loan Tranche 2 and such Lender’s right to receive payments of principal, interest and fees with respect to the Term Loan Tranche 2, the Term Loan Tranche 2 Commitment Percentage of such Lender; </w:t>
      </w:r>
      <w:r>
        <w:rPr>
          <w:rFonts w:ascii="Times New Roman" w:hAnsi="Times New Roman"/>
          <w:i/>
          <w:color w:val="231F20"/>
          <w:sz w:val="22"/>
        </w:rPr>
        <w:t xml:space="preserve">provided </w:t>
      </w:r>
      <w:r>
        <w:rPr>
          <w:rFonts w:ascii="Times New Roman" w:hAnsi="Times New Roman"/>
          <w:color w:val="231F20"/>
          <w:sz w:val="22"/>
        </w:rPr>
        <w:t>that if the Term Loan Tranche 2 Commitment has been reduced to zero, the numerator shall be the aggregate unpaid principal amount of such Lender’s portion of the Term Loan Tranche 2 and the denominator shall be the aggregate unpaid principal amount of the Term Loan Tranche 2,</w:t>
      </w:r>
      <w:r>
        <w:rPr>
          <w:rFonts w:ascii="Times New Roman" w:hAnsi="Times New Roman"/>
          <w:color w:val="000000"/>
          <w:sz w:val="20"/>
        </w:rPr>
        <w:t xml:space="preserve"> </w:t>
      </w:r>
      <w:r>
        <w:rPr>
          <w:rFonts w:ascii="Times New Roman" w:hAnsi="Times New Roman"/>
          <w:color w:val="000000"/>
          <w:sz w:val="22"/>
        </w:rPr>
        <w:t>(c) with respect to a Lender’s obligation to make Revolving Loans, and such Lender’s right to receive any fee payable to or for the benefit of the Revolving Lenders, the Revolving Loan Commitment Percentage of such Lender,</w:t>
      </w:r>
      <w:r>
        <w:rPr>
          <w:rFonts w:ascii="Times New Roman" w:hAnsi="Times New Roman"/>
          <w:color w:val="000000"/>
          <w:sz w:val="20"/>
        </w:rPr>
        <w:t xml:space="preserve"> </w:t>
      </w:r>
      <w:r>
        <w:rPr>
          <w:rFonts w:ascii="Times New Roman" w:hAnsi="Times New Roman"/>
          <w:color w:val="000000"/>
          <w:sz w:val="22"/>
        </w:rPr>
        <w:t xml:space="preserve">(d) with respect to a Lender’s right to receive payments of principal and interest with respect to Revolving Loans, such Lender’s Revolving Loan Exposure with respect thereto, and (e) for all other purposes (including, without limitation, the indemnification obligations arising under Section 11.6) with respect to any Lender, the percentage obtained by </w:t>
      </w:r>
      <w:r>
        <w:rPr>
          <w:rFonts w:ascii="Times New Roman" w:hAnsi="Times New Roman"/>
          <w:i/>
          <w:color w:val="000000"/>
          <w:sz w:val="22"/>
        </w:rPr>
        <w:t>dividing</w:t>
      </w:r>
      <w:r>
        <w:rPr>
          <w:rFonts w:ascii="Times New Roman" w:hAnsi="Times New Roman"/>
          <w:color w:val="000000"/>
          <w:sz w:val="20"/>
        </w:rPr>
        <w:t xml:space="preserve"> </w:t>
      </w:r>
      <w:r>
        <w:rPr>
          <w:rFonts w:ascii="Times New Roman" w:hAnsi="Times New Roman"/>
          <w:color w:val="000000"/>
          <w:sz w:val="22"/>
        </w:rPr>
        <w:t>(i) the sum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Revolving Loan Commitment Amount (or, in the event the Revolving Loan Commitment shall have been reduced to zero, such Lender’s then existing Revolving Loan Outstandings), the then remaining Term Loan Commitment Amount, and the then outstanding principal advances under the Term Loan of such Lender,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(ii) the sum of the Revolving Loan Commitment (or, in the event the Revolving Loan Commitment shall have been reduced to zero, the then existing Revolving Loan Outstandings), the then remaining Term Loan Commitment, and the then outstanding principal advances under the Term Loans of all Lenders.</w:t>
      </w:r>
    </w:p>
    <w:p>
      <w:pPr>
        <w:pStyle w:val="TextBody"/>
        <w:bidi w:val="0"/>
        <w:spacing w:before="0" w:after="240"/>
        <w:jc w:val="both"/>
        <w:rPr/>
      </w:pPr>
      <w:r>
        <w:rPr>
          <w:color w:val="000000"/>
        </w:rPr>
        <w:t>“</w:t>
      </w:r>
      <w:r>
        <w:rPr>
          <w:rFonts w:ascii="Times New Roman" w:hAnsi="Times New Roman"/>
          <w:b/>
          <w:color w:val="000000"/>
          <w:sz w:val="22"/>
        </w:rPr>
        <w:t>Proceeding</w:t>
      </w:r>
      <w:r>
        <w:rPr>
          <w:rFonts w:ascii="Times New Roman" w:hAnsi="Times New Roman"/>
          <w:color w:val="000000"/>
          <w:sz w:val="20"/>
        </w:rPr>
        <w:t xml:space="preserve">” </w:t>
      </w:r>
      <w:r>
        <w:rPr>
          <w:rFonts w:ascii="Times New Roman" w:hAnsi="Times New Roman"/>
          <w:color w:val="000000"/>
          <w:sz w:val="22"/>
        </w:rPr>
        <w:t>means any suit, formal charge, complaint, action or hearing, whether judicial or administrative, before any Governmental Authority or arbitrator.</w:t>
      </w:r>
    </w:p>
    <w:p>
      <w:pPr>
        <w:pStyle w:val="TextBody"/>
        <w:bidi w:val="0"/>
        <w:spacing w:before="0" w:after="240"/>
        <w:jc w:val="both"/>
        <w:rPr/>
      </w:pPr>
      <w:r>
        <w:rPr>
          <w:color w:val="000000"/>
        </w:rPr>
        <w:t>“</w:t>
      </w:r>
      <w:r>
        <w:rPr>
          <w:rFonts w:ascii="Times New Roman" w:hAnsi="Times New Roman"/>
          <w:b/>
          <w:color w:val="000000"/>
          <w:sz w:val="22"/>
        </w:rPr>
        <w:t>Proceeds</w:t>
      </w:r>
      <w:r>
        <w:rPr>
          <w:rFonts w:ascii="Times New Roman" w:hAnsi="Times New Roman"/>
          <w:color w:val="000000"/>
          <w:sz w:val="20"/>
        </w:rPr>
        <w:t xml:space="preserve">” </w:t>
      </w:r>
      <w:r>
        <w:rPr>
          <w:rFonts w:ascii="Times New Roman" w:hAnsi="Times New Roman"/>
          <w:color w:val="000000"/>
          <w:sz w:val="22"/>
        </w:rPr>
        <w:t>means “proceeds” (as defined in Article 9 of the UCC).</w:t>
      </w:r>
    </w:p>
    <w:p>
      <w:pPr>
        <w:pStyle w:val="TextBody"/>
        <w:bidi w:val="0"/>
        <w:spacing w:before="0" w:after="240"/>
        <w:jc w:val="both"/>
        <w:rPr/>
      </w:pPr>
      <w:r>
        <w:rPr>
          <w:color w:val="000000"/>
        </w:rPr>
        <w:t>“</w:t>
      </w:r>
      <w:r>
        <w:rPr>
          <w:rFonts w:ascii="Times New Roman" w:hAnsi="Times New Roman"/>
          <w:b/>
          <w:color w:val="000000"/>
          <w:sz w:val="22"/>
        </w:rPr>
        <w:t>Products</w:t>
      </w:r>
      <w:r>
        <w:rPr>
          <w:rFonts w:ascii="Times New Roman" w:hAnsi="Times New Roman"/>
          <w:color w:val="000000"/>
          <w:sz w:val="20"/>
        </w:rPr>
        <w:t xml:space="preserve">” </w:t>
      </w:r>
      <w:r>
        <w:rPr>
          <w:rFonts w:ascii="Times New Roman" w:hAnsi="Times New Roman"/>
          <w:color w:val="000000"/>
          <w:sz w:val="22"/>
        </w:rPr>
        <w:t xml:space="preserve">means, from time to time, any products currently manufactured, sold, developed, tested or marketed by any Credit Party or any of its Subsidiaries, including without limitation, those products set forth on </w:t>
      </w:r>
      <w:r>
        <w:rPr>
          <w:rFonts w:ascii="Times New Roman" w:hAnsi="Times New Roman"/>
          <w:color w:val="000000"/>
          <w:sz w:val="22"/>
          <w:u w:val="single"/>
        </w:rPr>
        <w:t>Schedule 4.17</w:t>
      </w:r>
      <w:r>
        <w:rPr>
          <w:rFonts w:ascii="Times New Roman" w:hAnsi="Times New Roman"/>
          <w:color w:val="000000"/>
          <w:sz w:val="20"/>
        </w:rPr>
        <w:t xml:space="preserve"> </w:t>
      </w:r>
      <w:r>
        <w:rPr>
          <w:rFonts w:ascii="Times New Roman" w:hAnsi="Times New Roman"/>
          <w:color w:val="000000"/>
          <w:sz w:val="22"/>
        </w:rPr>
        <w:t xml:space="preserve">(as updated from time to time in accordance with Section 4.15); provided, that, for the avoidance of doubt, any new Product not disclosed on </w:t>
      </w:r>
      <w:r>
        <w:rPr>
          <w:rFonts w:ascii="Times New Roman" w:hAnsi="Times New Roman"/>
          <w:color w:val="000000"/>
          <w:sz w:val="22"/>
          <w:u w:val="single"/>
        </w:rPr>
        <w:t>Schedule 4.17</w:t>
      </w:r>
      <w:r>
        <w:rPr>
          <w:rFonts w:ascii="Times New Roman" w:hAnsi="Times New Roman"/>
          <w:color w:val="000000"/>
          <w:sz w:val="20"/>
        </w:rPr>
        <w:t xml:space="preserve"> </w:t>
      </w:r>
      <w:r>
        <w:rPr>
          <w:rFonts w:ascii="Times New Roman" w:hAnsi="Times New Roman"/>
          <w:color w:val="000000"/>
          <w:sz w:val="22"/>
        </w:rPr>
        <w:t>shall still constitute a “Product” as herein defined.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Protective Advance</w:t>
      </w:r>
      <w:r>
        <w:rPr>
          <w:rFonts w:ascii="Times New Roman" w:hAnsi="Times New Roman"/>
          <w:color w:val="000000"/>
          <w:sz w:val="20"/>
        </w:rPr>
        <w:t xml:space="preserve">” </w:t>
      </w:r>
      <w:r>
        <w:rPr>
          <w:rFonts w:ascii="Times New Roman" w:hAnsi="Times New Roman"/>
          <w:color w:val="000000"/>
          <w:sz w:val="22"/>
        </w:rPr>
        <w:t>means all sums expended by Agent in accordance with the provisions of Section 10.4 to (a) protect the priority, validity and enforceability of any lien on, and security interests in, any Collateral and the instruments evidencing and securing the Obligations, (b) prevent the value of any Collateral from being diminished, or (c) protect any of the Collateral from being materially damaged, impaired, mismanaged or taken.</w:t>
      </w:r>
    </w:p>
    <w:p>
      <w:pPr>
        <w:pStyle w:val="TextBody"/>
        <w:bidi w:val="0"/>
        <w:spacing w:before="0" w:after="240"/>
        <w:jc w:val="both"/>
        <w:rPr/>
      </w:pPr>
      <w:r>
        <w:rPr>
          <w:color w:val="000000"/>
        </w:rPr>
        <w:t>“</w:t>
      </w:r>
      <w:r>
        <w:rPr>
          <w:rFonts w:ascii="Times New Roman" w:hAnsi="Times New Roman"/>
          <w:b/>
          <w:color w:val="000000"/>
          <w:sz w:val="22"/>
        </w:rPr>
        <w:t>Recall</w:t>
      </w:r>
      <w:r>
        <w:rPr>
          <w:rFonts w:ascii="Times New Roman" w:hAnsi="Times New Roman"/>
          <w:color w:val="000000"/>
          <w:sz w:val="20"/>
        </w:rPr>
        <w:t xml:space="preserve">” </w:t>
      </w:r>
      <w:r>
        <w:rPr>
          <w:rFonts w:ascii="Times New Roman" w:hAnsi="Times New Roman"/>
          <w:color w:val="000000"/>
          <w:sz w:val="22"/>
        </w:rPr>
        <w:t>means a Person’s Removal or Correction of a marketed product that the FDA considers to be in violation of the laws it administers and against which the FDA would initiate legal action, e.g., seizure.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Reference Time</w:t>
      </w:r>
      <w:r>
        <w:rPr>
          <w:rFonts w:ascii="Times New Roman" w:hAnsi="Times New Roman"/>
          <w:color w:val="000000"/>
          <w:sz w:val="20"/>
        </w:rPr>
        <w:t xml:space="preserve">” </w:t>
      </w:r>
      <w:r>
        <w:rPr>
          <w:rFonts w:ascii="Times New Roman" w:hAnsi="Times New Roman"/>
          <w:color w:val="000000"/>
          <w:sz w:val="22"/>
        </w:rPr>
        <w:t>means approximately a time substantially consistent with market practice two (2) SOFR Business Days prior to the first day of each calendar month. If by 5:00 pm (New York City time) on any interest lookback day, Term SOFR in respect of such interest lookback day has not been published on the SOFR Administrator’s Website, then Term SOFR for such interest lookback day will be Term SOFR as published in respect of the first preceding SOFR Business Day for which Term SOFR was published on the SOFR Administrator’s Website; provided that such first preceding SOFR Business Day is not more than three (3) SOFR Business Days prior to such interest lookback day.</w:t>
      </w:r>
    </w:p>
    <w:p>
      <w:pPr>
        <w:pStyle w:val="TextBody"/>
        <w:bidi w:val="0"/>
        <w:spacing w:before="0" w:after="240"/>
        <w:jc w:val="both"/>
        <w:rPr/>
      </w:pPr>
      <w:r>
        <w:rPr>
          <w:color w:val="000000"/>
        </w:rPr>
        <w:t>“</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has the meaning set forth in Section 11.17(a)(iii).</w:t>
      </w:r>
    </w:p>
    <w:p>
      <w:pPr>
        <w:pStyle w:val="TextBody"/>
        <w:bidi w:val="0"/>
        <w:spacing w:before="0" w:after="240"/>
        <w:jc w:val="both"/>
        <w:rPr/>
      </w:pPr>
      <w:r>
        <w:rPr>
          <w:color w:val="000000"/>
        </w:rPr>
        <w:t>“</w:t>
      </w:r>
      <w:r>
        <w:rPr>
          <w:rFonts w:ascii="Times New Roman" w:hAnsi="Times New Roman"/>
          <w:b/>
          <w:color w:val="000000"/>
          <w:sz w:val="22"/>
        </w:rPr>
        <w:t>Registered Intellectual Property</w:t>
      </w:r>
      <w:r>
        <w:rPr>
          <w:rFonts w:ascii="Times New Roman" w:hAnsi="Times New Roman"/>
          <w:color w:val="000000"/>
          <w:sz w:val="20"/>
        </w:rPr>
        <w:t xml:space="preserve">” </w:t>
      </w:r>
      <w:r>
        <w:rPr>
          <w:rFonts w:ascii="Times New Roman" w:hAnsi="Times New Roman"/>
          <w:color w:val="000000"/>
          <w:sz w:val="22"/>
        </w:rPr>
        <w:t>means any patent, registered trademark or servicemark, registered copyright, registered mask work, or any pending application for any of the foregoing.</w:t>
      </w:r>
    </w:p>
    <w:p>
      <w:pPr>
        <w:pStyle w:val="TextBody"/>
        <w:bidi w:val="0"/>
        <w:spacing w:before="0" w:after="240"/>
        <w:jc w:val="both"/>
        <w:rPr/>
      </w:pPr>
      <w:r>
        <w:rPr>
          <w:color w:val="000000"/>
        </w:rPr>
        <w:t>“</w:t>
      </w:r>
      <w:r>
        <w:rPr>
          <w:rFonts w:ascii="Times New Roman" w:hAnsi="Times New Roman"/>
          <w:b/>
          <w:color w:val="000000"/>
          <w:sz w:val="22"/>
        </w:rPr>
        <w:t>Regulatory Reporting Event</w:t>
      </w:r>
      <w:r>
        <w:rPr>
          <w:rFonts w:ascii="Times New Roman" w:hAnsi="Times New Roman"/>
          <w:color w:val="000000"/>
          <w:sz w:val="20"/>
        </w:rPr>
        <w:t xml:space="preserve">” </w:t>
      </w:r>
      <w:r>
        <w:rPr>
          <w:rFonts w:ascii="Times New Roman" w:hAnsi="Times New Roman"/>
          <w:color w:val="000000"/>
          <w:sz w:val="22"/>
        </w:rPr>
        <w:t>has the meaning set forth in Section 4.17.</w:t>
      </w:r>
    </w:p>
    <w:p>
      <w:pPr>
        <w:pStyle w:val="TextBody"/>
        <w:bidi w:val="0"/>
        <w:spacing w:before="0" w:after="240"/>
        <w:jc w:val="both"/>
        <w:rPr/>
      </w:pPr>
      <w:r>
        <w:rPr>
          <w:color w:val="000000"/>
        </w:rPr>
        <w:t>“</w:t>
      </w:r>
      <w:r>
        <w:rPr>
          <w:rFonts w:ascii="Times New Roman" w:hAnsi="Times New Roman"/>
          <w:b/>
          <w:color w:val="000000"/>
          <w:sz w:val="22"/>
        </w:rPr>
        <w:t>Regulatory Required Permit</w:t>
      </w:r>
      <w:r>
        <w:rPr>
          <w:rFonts w:ascii="Times New Roman" w:hAnsi="Times New Roman"/>
          <w:color w:val="000000"/>
          <w:sz w:val="20"/>
        </w:rPr>
        <w:t xml:space="preserve">” </w:t>
      </w:r>
      <w:r>
        <w:rPr>
          <w:rFonts w:ascii="Times New Roman" w:hAnsi="Times New Roman"/>
          <w:color w:val="000000"/>
          <w:sz w:val="22"/>
        </w:rPr>
        <w:t>means any and all licenses, approvals and permits issued by the FDA, or any other applicable Governmental Authority, necessary for (a)</w:t>
      </w:r>
      <w:r>
        <w:rPr>
          <w:rFonts w:ascii="Times New Roman" w:hAnsi="Times New Roman"/>
          <w:color w:val="000000"/>
          <w:sz w:val="20"/>
        </w:rPr>
        <w:t xml:space="preserve"> </w:t>
      </w:r>
      <w:r>
        <w:rPr>
          <w:rFonts w:ascii="Times New Roman" w:hAnsi="Times New Roman"/>
          <w:color w:val="000000"/>
          <w:sz w:val="22"/>
        </w:rPr>
        <w:t>the testing, manufacture, marketing or sale of any Product by any applicable Credit Party or</w:t>
      </w:r>
      <w:r>
        <w:rPr>
          <w:rFonts w:ascii="Times New Roman" w:hAnsi="Times New Roman"/>
          <w:color w:val="000000"/>
          <w:sz w:val="20"/>
        </w:rPr>
        <w:t xml:space="preserve"> </w:t>
      </w:r>
      <w:r>
        <w:rPr>
          <w:rFonts w:ascii="Times New Roman" w:hAnsi="Times New Roman"/>
          <w:color w:val="000000"/>
          <w:sz w:val="22"/>
        </w:rPr>
        <w:t>its Subsidiaries as such activities are being conducted by such Credit Party and its Subsidiaries with respect to such Product at such time, and those issued by State governments or foreign governments for the conduct of any Credit Party’s or any Subsidiary’s business or (b) the operation by any applicable Credit Party or its subsidiaries of any manufacturing facility or other similar operation.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240"/>
        <w:jc w:val="both"/>
        <w:rPr/>
      </w:pPr>
      <w:r>
        <w:rPr>
          <w:color w:val="000000"/>
        </w:rPr>
        <w:t>“</w:t>
      </w:r>
      <w:r>
        <w:rPr>
          <w:rFonts w:ascii="Times New Roman" w:hAnsi="Times New Roman"/>
          <w:b/>
          <w:color w:val="000000"/>
          <w:sz w:val="22"/>
        </w:rPr>
        <w:t>Removal</w:t>
      </w:r>
      <w:r>
        <w:rPr>
          <w:rFonts w:ascii="Times New Roman" w:hAnsi="Times New Roman"/>
          <w:color w:val="000000"/>
          <w:sz w:val="20"/>
        </w:rPr>
        <w:t xml:space="preserve">” </w:t>
      </w:r>
      <w:r>
        <w:rPr>
          <w:rFonts w:ascii="Times New Roman" w:hAnsi="Times New Roman"/>
          <w:color w:val="000000"/>
          <w:sz w:val="22"/>
        </w:rPr>
        <w:t>means the physical removal of a Product from its point of use to some other location for repair, modification, adjustment, relabeling, destruction, or inspection.</w:t>
      </w:r>
    </w:p>
    <w:p>
      <w:pPr>
        <w:pStyle w:val="TextBody"/>
        <w:bidi w:val="0"/>
        <w:spacing w:before="0" w:after="240"/>
        <w:jc w:val="both"/>
        <w:rPr/>
      </w:pPr>
      <w:r>
        <w:rPr>
          <w:color w:val="000000"/>
        </w:rPr>
        <w:t>“</w:t>
      </w:r>
      <w:r>
        <w:rPr>
          <w:rFonts w:ascii="Times New Roman" w:hAnsi="Times New Roman"/>
          <w:b/>
          <w:color w:val="000000"/>
          <w:sz w:val="22"/>
        </w:rPr>
        <w:t>Replacement Lender</w:t>
      </w:r>
      <w:r>
        <w:rPr>
          <w:rFonts w:ascii="Times New Roman" w:hAnsi="Times New Roman"/>
          <w:color w:val="000000"/>
          <w:sz w:val="20"/>
        </w:rPr>
        <w:t xml:space="preserve">” </w:t>
      </w:r>
      <w:r>
        <w:rPr>
          <w:rFonts w:ascii="Times New Roman" w:hAnsi="Times New Roman"/>
          <w:color w:val="000000"/>
          <w:sz w:val="22"/>
        </w:rPr>
        <w:t>has the meaning set forth in Section 11.17(c).</w:t>
      </w:r>
    </w:p>
    <w:p>
      <w:pPr>
        <w:pStyle w:val="TextBody"/>
        <w:bidi w:val="0"/>
        <w:spacing w:before="0" w:after="240"/>
        <w:jc w:val="both"/>
        <w:rPr/>
      </w:pPr>
      <w:r>
        <w:rPr>
          <w:color w:val="000000"/>
        </w:rPr>
        <w:t>“</w:t>
      </w:r>
      <w:r>
        <w:rPr>
          <w:rFonts w:ascii="Times New Roman" w:hAnsi="Times New Roman"/>
          <w:b/>
          <w:color w:val="000000"/>
          <w:sz w:val="22"/>
        </w:rPr>
        <w:t>Required Lenders</w:t>
      </w:r>
      <w:r>
        <w:rPr>
          <w:rFonts w:ascii="Times New Roman" w:hAnsi="Times New Roman"/>
          <w:color w:val="000000"/>
          <w:sz w:val="20"/>
        </w:rPr>
        <w:t xml:space="preserve">” </w:t>
      </w:r>
      <w:r>
        <w:rPr>
          <w:rFonts w:ascii="Times New Roman" w:hAnsi="Times New Roman"/>
          <w:color w:val="000000"/>
          <w:sz w:val="22"/>
        </w:rPr>
        <w:t>means at any time Lenders holding (a) more than fifty percent (50%) the sum of the Revolving Loan Commitments, the remaining Term Loan Commitments, and the then outstanding principal advances under the Term Loans (taken as a whole) or (b) if the Revolving Loan Commitments has been reduced to zero, more than fifty percent (50%) of the sum of the then aggregate outstanding principal balance of the Revolving Loans, the remaining Term Loan Commitments, and the then outstanding principal advances under the Term Loans (taken as a whole)</w:t>
      </w:r>
      <w:r>
        <w:rPr>
          <w:rFonts w:ascii="Times New Roman" w:hAnsi="Times New Roman"/>
          <w:i/>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color w:val="000000"/>
          <w:sz w:val="22"/>
        </w:rPr>
        <w:t>Responsible Officer</w:t>
      </w:r>
      <w:r>
        <w:rPr>
          <w:rFonts w:ascii="Times New Roman" w:hAnsi="Times New Roman"/>
          <w:color w:val="000000"/>
          <w:sz w:val="20"/>
        </w:rPr>
        <w:t xml:space="preserve">” </w:t>
      </w:r>
      <w:r>
        <w:rPr>
          <w:rFonts w:ascii="Times New Roman" w:hAnsi="Times New Roman"/>
          <w:color w:val="000000"/>
          <w:sz w:val="22"/>
        </w:rPr>
        <w:t>means any of the President, Chief Executive Officer, Chief Financial Officer or any other officer of the applicable Credit Party acceptable to Agent.</w:t>
      </w:r>
    </w:p>
    <w:p>
      <w:pPr>
        <w:pStyle w:val="TextBody"/>
        <w:bidi w:val="0"/>
        <w:spacing w:before="0" w:after="240"/>
        <w:jc w:val="both"/>
        <w:rPr/>
      </w:pPr>
      <w:r>
        <w:rPr>
          <w:color w:val="000000"/>
        </w:rPr>
        <w:t>“</w:t>
      </w:r>
      <w:r>
        <w:rPr>
          <w:rFonts w:ascii="Times New Roman" w:hAnsi="Times New Roman"/>
          <w:b/>
          <w:color w:val="000000"/>
          <w:sz w:val="22"/>
        </w:rPr>
        <w:t>Revolving Lender</w:t>
      </w:r>
      <w:r>
        <w:rPr>
          <w:rFonts w:ascii="Times New Roman" w:hAnsi="Times New Roman"/>
          <w:color w:val="000000"/>
          <w:sz w:val="20"/>
        </w:rPr>
        <w:t xml:space="preserve">” </w:t>
      </w:r>
      <w:r>
        <w:rPr>
          <w:rFonts w:ascii="Times New Roman" w:hAnsi="Times New Roman"/>
          <w:color w:val="000000"/>
          <w:sz w:val="22"/>
        </w:rPr>
        <w:t>means each Lender having a Revolving Loan Commitment Amount in excess of Zero Dollars ($0) (or, in the event the Revolving Loan Commitment shall have been terminated at any time, each Lender at such time having Revolving Loan Outstandings in excess of Zero Dollars ($0)).</w:t>
      </w:r>
    </w:p>
    <w:p>
      <w:pPr>
        <w:pStyle w:val="TextBody"/>
        <w:bidi w:val="0"/>
        <w:spacing w:before="0" w:after="240"/>
        <w:jc w:val="both"/>
        <w:rPr/>
      </w:pPr>
      <w:r>
        <w:rPr>
          <w:color w:val="000000"/>
        </w:rPr>
        <w:t>“</w:t>
      </w:r>
      <w:r>
        <w:rPr>
          <w:rFonts w:ascii="Times New Roman" w:hAnsi="Times New Roman"/>
          <w:b/>
          <w:color w:val="000000"/>
          <w:sz w:val="22"/>
        </w:rPr>
        <w:t>Revolving Loan Account</w:t>
      </w:r>
      <w:r>
        <w:rPr>
          <w:rFonts w:ascii="Times New Roman" w:hAnsi="Times New Roman"/>
          <w:color w:val="000000"/>
          <w:sz w:val="20"/>
        </w:rPr>
        <w:t xml:space="preserve">” </w:t>
      </w:r>
      <w:r>
        <w:rPr>
          <w:rFonts w:ascii="Times New Roman" w:hAnsi="Times New Roman"/>
          <w:color w:val="000000"/>
          <w:sz w:val="22"/>
        </w:rPr>
        <w:t>has the meaning set forth in Section 2.6(b).</w:t>
      </w:r>
    </w:p>
    <w:p>
      <w:pPr>
        <w:pStyle w:val="TextBody"/>
        <w:bidi w:val="0"/>
        <w:spacing w:before="0" w:after="240"/>
        <w:jc w:val="both"/>
        <w:rPr/>
      </w:pPr>
      <w:r>
        <w:rPr>
          <w:color w:val="000000"/>
        </w:rPr>
        <w:t>“</w:t>
      </w:r>
      <w:r>
        <w:rPr>
          <w:rFonts w:ascii="Times New Roman" w:hAnsi="Times New Roman"/>
          <w:b/>
          <w:color w:val="000000"/>
          <w:sz w:val="22"/>
        </w:rPr>
        <w:t>Revolving Loan Availability</w:t>
      </w:r>
      <w:r>
        <w:rPr>
          <w:rFonts w:ascii="Times New Roman" w:hAnsi="Times New Roman"/>
          <w:color w:val="000000"/>
          <w:sz w:val="20"/>
        </w:rPr>
        <w:t xml:space="preserve">” </w:t>
      </w:r>
      <w:r>
        <w:rPr>
          <w:rFonts w:ascii="Times New Roman" w:hAnsi="Times New Roman"/>
          <w:color w:val="000000"/>
          <w:sz w:val="22"/>
        </w:rPr>
        <w:t>means, at any time, the Revolving Loan Limit minus the Revolving Loan Outstandings.</w:t>
      </w:r>
    </w:p>
    <w:p>
      <w:pPr>
        <w:pStyle w:val="TextBody"/>
        <w:bidi w:val="0"/>
        <w:spacing w:before="0" w:after="240"/>
        <w:jc w:val="both"/>
        <w:rPr/>
      </w:pPr>
      <w:r>
        <w:rPr>
          <w:color w:val="000000"/>
        </w:rPr>
        <w:t>“</w:t>
      </w:r>
      <w:r>
        <w:rPr>
          <w:rFonts w:ascii="Times New Roman" w:hAnsi="Times New Roman"/>
          <w:b/>
          <w:color w:val="000000"/>
          <w:sz w:val="22"/>
        </w:rPr>
        <w:t>Revolving Loan Commitment</w:t>
      </w:r>
      <w:r>
        <w:rPr>
          <w:rFonts w:ascii="Times New Roman" w:hAnsi="Times New Roman"/>
          <w:color w:val="000000"/>
          <w:sz w:val="20"/>
        </w:rPr>
        <w:t xml:space="preserve">” </w:t>
      </w:r>
      <w:r>
        <w:rPr>
          <w:rFonts w:ascii="Times New Roman" w:hAnsi="Times New Roman"/>
          <w:color w:val="000000"/>
          <w:sz w:val="22"/>
        </w:rPr>
        <w:t>means, as of any date of determination, the aggregate Revolving Loan Commitment Amounts of all Lenders as of such date.</w:t>
      </w:r>
    </w:p>
    <w:p>
      <w:pPr>
        <w:pStyle w:val="TextBody"/>
        <w:bidi w:val="0"/>
        <w:spacing w:before="0" w:after="240"/>
        <w:jc w:val="both"/>
        <w:rPr/>
      </w:pPr>
      <w:r>
        <w:rPr>
          <w:color w:val="000000"/>
        </w:rPr>
        <w:t>“</w:t>
      </w:r>
      <w:r>
        <w:rPr>
          <w:rFonts w:ascii="Times New Roman" w:hAnsi="Times New Roman"/>
          <w:b/>
          <w:color w:val="000000"/>
          <w:sz w:val="22"/>
        </w:rPr>
        <w:t>Revolving Loan Commitment Amount</w:t>
      </w:r>
      <w:r>
        <w:rPr>
          <w:rFonts w:ascii="Times New Roman" w:hAnsi="Times New Roman"/>
          <w:color w:val="000000"/>
          <w:sz w:val="20"/>
        </w:rPr>
        <w:t xml:space="preserve">” </w:t>
      </w:r>
      <w:r>
        <w:rPr>
          <w:rFonts w:ascii="Times New Roman" w:hAnsi="Times New Roman"/>
          <w:color w:val="000000"/>
          <w:sz w:val="22"/>
        </w:rPr>
        <w:t>means, as to any Lender, the dollar amount set forth opposite such Lender’s name on the Commitment Annex under the column “Revolving Loan Commitment Amount” (if such Lender’s name is not so set forth thereon, then the dollar amount on the Commitment Annex for the Revolving Loan Commitment Amount for such Lender shall be deemed to be Zero Dollars ($0)), as such amount may be adjusted from time to time by (a) any amounts assigned (with respect to such Lender’s portion of Revolving Loans outstanding and its commitment to make Revolving Loans) pursuant to the terms of any and all effective Assignment Agreements to which such Lender is a party and (b) any Additional Tranche(s) activated by Borrowers. For the avoidance of doubt, the aggregate Revolving Loan Commitment Amount of all Lenders on the Closing Date shall be $20,000,000 and if the Additional Tranche is fully activated by Borrowers pursuant to the terms of the Agreement such amount shall increase to $30,000,000.</w:t>
      </w:r>
    </w:p>
    <w:p>
      <w:pPr>
        <w:pStyle w:val="TextBody"/>
        <w:bidi w:val="0"/>
        <w:jc w:val="both"/>
        <w:rPr/>
      </w:pPr>
      <w:r>
        <w:rPr>
          <w:color w:val="000000"/>
        </w:rPr>
        <w:t>“</w:t>
      </w:r>
      <w:r>
        <w:rPr>
          <w:rFonts w:ascii="Times New Roman" w:hAnsi="Times New Roman"/>
          <w:b/>
          <w:color w:val="000000"/>
          <w:sz w:val="22"/>
        </w:rPr>
        <w:t>Revolving Loan Commitment Increase Conditions</w:t>
      </w:r>
      <w:r>
        <w:rPr>
          <w:rFonts w:ascii="Times New Roman" w:hAnsi="Times New Roman"/>
          <w:color w:val="000000"/>
          <w:sz w:val="20"/>
        </w:rPr>
        <w:t xml:space="preserve">” </w:t>
      </w:r>
      <w:r>
        <w:rPr>
          <w:rFonts w:ascii="Times New Roman" w:hAnsi="Times New Roman"/>
          <w:color w:val="000000"/>
          <w:sz w:val="22"/>
        </w:rPr>
        <w:t>means each of the following conditions, the satisfaction of which shall be determined by Agent in its reasonable discretion: (a) no Default or Event of Default has occurred and is continuing as of the date on which the applicable Revolving Loan Commitment increase is to be activated (the “</w:t>
      </w:r>
      <w:r>
        <w:rPr>
          <w:rFonts w:ascii="Times New Roman" w:hAnsi="Times New Roman"/>
          <w:b/>
          <w:color w:val="000000"/>
          <w:sz w:val="22"/>
        </w:rPr>
        <w:t>Applicable Commitment Increase Date</w:t>
      </w:r>
      <w:r>
        <w:rPr>
          <w:rFonts w:ascii="Times New Roman" w:hAnsi="Times New Roman"/>
          <w:color w:val="000000"/>
          <w:sz w:val="20"/>
        </w:rPr>
        <w:t>”</w:t>
      </w:r>
      <w:r>
        <w:rPr>
          <w:rFonts w:ascii="Times New Roman" w:hAnsi="Times New Roman"/>
          <w:color w:val="000000"/>
          <w:sz w:val="22"/>
        </w:rPr>
        <w:t>), (b) the Borrowing Base Certificate delivered to Agent on the Applicable Commitment Increase Date demonstrates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to Agent’s reasonable satisfaction that the Borrowing Base on the Applicable Commitment Increase Date is greater than or equal to the Revolving Loan Commitment prior to giving effect to the aggregate amount of the Additional Tranche requested on such date, (c) on the date of the requested increase, the Credit Parties have demonstrated to Agent’s reasonable satisfaction that either (i) the Credit Parties are in pro forma compliance with the Minimum Net Revenue Covenant, measured as of the last day of the most recently ended Defined Period or (ii) the Credit Parties have in excess of $65,000,000 in Credit Party Unrestricted Cash prior to giving effect to the requested commitment increase, and (d) Credit Parties shall have paid to Agent all fees required in connection with such increase in accordance with the terms of the Fee Letter.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Revolving Loan Commitment Percentage</w:t>
      </w:r>
      <w:r>
        <w:rPr>
          <w:rFonts w:ascii="Times New Roman" w:hAnsi="Times New Roman"/>
          <w:color w:val="000000"/>
          <w:sz w:val="20"/>
        </w:rPr>
        <w:t xml:space="preserve">” </w:t>
      </w:r>
      <w:r>
        <w:rPr>
          <w:rFonts w:ascii="Times New Roman" w:hAnsi="Times New Roman"/>
          <w:color w:val="000000"/>
          <w:sz w:val="22"/>
        </w:rPr>
        <w:t xml:space="preserve">means, as to any Lender, (a) on the Closing Date, the percentage set forth opposite such Lender’s name on the Commitment Annex under the column “Revolving Loan Commitment Percentage” (if such Lender’s name is not so set forth thereon, then, on the Closing Date, such percentage for such Lender shall be deemed to be zero), and (b) on any date following the Closing Date, the percentage equal to the Revolving Loan Commitment Amount of such Lender on such date </w:t>
      </w:r>
      <w:r>
        <w:rPr>
          <w:rFonts w:ascii="Times New Roman" w:hAnsi="Times New Roman"/>
          <w:i/>
          <w:color w:val="000000"/>
          <w:sz w:val="22"/>
        </w:rPr>
        <w:t>divided</w:t>
      </w:r>
      <w:r>
        <w:rPr>
          <w:rFonts w:ascii="Times New Roman" w:hAnsi="Times New Roman"/>
          <w:color w:val="000000"/>
          <w:sz w:val="20"/>
        </w:rPr>
        <w:t xml:space="preserve">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the Revolving Loan Commitment on such date.</w:t>
      </w:r>
    </w:p>
    <w:p>
      <w:pPr>
        <w:pStyle w:val="TextBody"/>
        <w:bidi w:val="0"/>
        <w:spacing w:before="0" w:after="240"/>
        <w:jc w:val="both"/>
        <w:rPr/>
      </w:pPr>
      <w:r>
        <w:rPr>
          <w:color w:val="000000"/>
        </w:rPr>
        <w:t>“</w:t>
      </w:r>
      <w:r>
        <w:rPr>
          <w:rFonts w:ascii="Times New Roman" w:hAnsi="Times New Roman"/>
          <w:b/>
          <w:color w:val="000000"/>
          <w:sz w:val="22"/>
        </w:rPr>
        <w:t>Revolving Loan Exposure</w:t>
      </w:r>
      <w:r>
        <w:rPr>
          <w:rFonts w:ascii="Times New Roman" w:hAnsi="Times New Roman"/>
          <w:color w:val="000000"/>
          <w:sz w:val="20"/>
        </w:rPr>
        <w:t xml:space="preserve">” </w:t>
      </w:r>
      <w:r>
        <w:rPr>
          <w:rFonts w:ascii="Times New Roman" w:hAnsi="Times New Roman"/>
          <w:color w:val="000000"/>
          <w:sz w:val="22"/>
        </w:rPr>
        <w:t xml:space="preserve">means, with respect to any Lender on any date of determination, the percentage equal to the amount of such Lender’s Revolving Loan Outstandings on such date </w:t>
      </w:r>
      <w:r>
        <w:rPr>
          <w:rFonts w:ascii="Times New Roman" w:hAnsi="Times New Roman"/>
          <w:i/>
          <w:color w:val="000000"/>
          <w:sz w:val="22"/>
        </w:rPr>
        <w:t>divided by</w:t>
      </w:r>
      <w:r>
        <w:rPr>
          <w:rFonts w:ascii="Times New Roman" w:hAnsi="Times New Roman"/>
          <w:color w:val="000000"/>
          <w:sz w:val="20"/>
        </w:rPr>
        <w:t xml:space="preserve"> </w:t>
      </w:r>
      <w:r>
        <w:rPr>
          <w:rFonts w:ascii="Times New Roman" w:hAnsi="Times New Roman"/>
          <w:color w:val="000000"/>
          <w:sz w:val="22"/>
        </w:rPr>
        <w:t>the aggregate Revolving Loan Outstandings of all Lenders on such date.</w:t>
      </w:r>
    </w:p>
    <w:p>
      <w:pPr>
        <w:pStyle w:val="TextBody"/>
        <w:bidi w:val="0"/>
        <w:spacing w:before="0" w:after="240"/>
        <w:jc w:val="both"/>
        <w:rPr/>
      </w:pPr>
      <w:r>
        <w:rPr>
          <w:color w:val="000000"/>
        </w:rPr>
        <w:t>“</w:t>
      </w:r>
      <w:r>
        <w:rPr>
          <w:rFonts w:ascii="Times New Roman" w:hAnsi="Times New Roman"/>
          <w:b/>
          <w:color w:val="000000"/>
          <w:sz w:val="22"/>
        </w:rPr>
        <w:t>Revolving Loan Limit</w:t>
      </w:r>
      <w:r>
        <w:rPr>
          <w:rFonts w:ascii="Times New Roman" w:hAnsi="Times New Roman"/>
          <w:color w:val="000000"/>
          <w:sz w:val="20"/>
        </w:rPr>
        <w:t xml:space="preserve">” </w:t>
      </w:r>
      <w:r>
        <w:rPr>
          <w:rFonts w:ascii="Times New Roman" w:hAnsi="Times New Roman"/>
          <w:color w:val="000000"/>
          <w:sz w:val="22"/>
        </w:rPr>
        <w:t>means, at any time, the lesser of (a) the Revolving Loan Commitment and (b) the Borrowing Base.</w:t>
      </w:r>
    </w:p>
    <w:p>
      <w:pPr>
        <w:pStyle w:val="TextBody"/>
        <w:bidi w:val="0"/>
        <w:spacing w:before="0" w:after="240"/>
        <w:jc w:val="both"/>
        <w:rPr/>
      </w:pPr>
      <w:r>
        <w:rPr>
          <w:color w:val="000000"/>
        </w:rPr>
        <w:t>“</w:t>
      </w:r>
      <w:r>
        <w:rPr>
          <w:rFonts w:ascii="Times New Roman" w:hAnsi="Times New Roman"/>
          <w:b/>
          <w:color w:val="000000"/>
          <w:sz w:val="22"/>
        </w:rPr>
        <w:t>Revolving Loan Outstandings</w:t>
      </w:r>
      <w:r>
        <w:rPr>
          <w:rFonts w:ascii="Times New Roman" w:hAnsi="Times New Roman"/>
          <w:color w:val="000000"/>
          <w:sz w:val="20"/>
        </w:rPr>
        <w:t xml:space="preserve">” </w:t>
      </w:r>
      <w:r>
        <w:rPr>
          <w:rFonts w:ascii="Times New Roman" w:hAnsi="Times New Roman"/>
          <w:color w:val="000000"/>
          <w:sz w:val="22"/>
        </w:rPr>
        <w:t>means, at any time of calculation, without duplication (a) the then existing aggregate outstanding principal amount of Revolving Loans, and (b) when used with reference to any single Lender, the then existing outstanding principal amount of Revolving Loans advanced by such Lender.</w:t>
      </w:r>
    </w:p>
    <w:p>
      <w:pPr>
        <w:pStyle w:val="TextBody"/>
        <w:bidi w:val="0"/>
        <w:spacing w:before="0" w:after="240"/>
        <w:jc w:val="both"/>
        <w:rPr/>
      </w:pPr>
      <w:r>
        <w:rPr>
          <w:color w:val="000000"/>
        </w:rPr>
        <w:t>“</w:t>
      </w:r>
      <w:r>
        <w:rPr>
          <w:rFonts w:ascii="Times New Roman" w:hAnsi="Times New Roman"/>
          <w:b/>
          <w:color w:val="000000"/>
          <w:sz w:val="22"/>
        </w:rPr>
        <w:t>Revolving Loan Payment Account</w:t>
      </w:r>
      <w:r>
        <w:rPr>
          <w:rFonts w:ascii="Times New Roman" w:hAnsi="Times New Roman"/>
          <w:color w:val="000000"/>
          <w:sz w:val="20"/>
        </w:rPr>
        <w:t xml:space="preserve">” </w:t>
      </w:r>
      <w:r>
        <w:rPr>
          <w:rFonts w:ascii="Times New Roman" w:hAnsi="Times New Roman"/>
          <w:color w:val="000000"/>
          <w:sz w:val="22"/>
        </w:rPr>
        <w:t>means the account specified on Schedule 1.1 as the Revolving Loan Payment Account, into which all payments by or on behalf of each Borrower to Agent (other than payments of principal, interest, fees, expenses, charges and all other amounts owing solely in respect of the Term Loans) under the Financing Documents shall be made, or such other account as Agent shall from time to time specify by notice to Borrower Representative.</w:t>
      </w:r>
    </w:p>
    <w:p>
      <w:pPr>
        <w:pStyle w:val="TextBody"/>
        <w:bidi w:val="0"/>
        <w:spacing w:before="0" w:after="240"/>
        <w:jc w:val="both"/>
        <w:rPr/>
      </w:pPr>
      <w:r>
        <w:rPr>
          <w:color w:val="000000"/>
        </w:rPr>
        <w:t>“</w:t>
      </w:r>
      <w:r>
        <w:rPr>
          <w:rFonts w:ascii="Times New Roman" w:hAnsi="Times New Roman"/>
          <w:b/>
          <w:color w:val="000000"/>
          <w:sz w:val="22"/>
        </w:rPr>
        <w:t>Revolving Loans</w:t>
      </w:r>
      <w:r>
        <w:rPr>
          <w:rFonts w:ascii="Times New Roman" w:hAnsi="Times New Roman"/>
          <w:color w:val="000000"/>
          <w:sz w:val="20"/>
        </w:rPr>
        <w:t xml:space="preserve">” </w:t>
      </w:r>
      <w:r>
        <w:rPr>
          <w:rFonts w:ascii="Times New Roman" w:hAnsi="Times New Roman"/>
          <w:color w:val="000000"/>
          <w:sz w:val="22"/>
        </w:rPr>
        <w:t>has the meaning set forth in Section 2.1(b).</w:t>
      </w:r>
    </w:p>
    <w:p>
      <w:pPr>
        <w:pStyle w:val="TextBody"/>
        <w:bidi w:val="0"/>
        <w:spacing w:before="0" w:after="240"/>
        <w:jc w:val="both"/>
        <w:rPr/>
      </w:pPr>
      <w:r>
        <w:rPr>
          <w:color w:val="000000"/>
        </w:rPr>
        <w:t>“</w:t>
      </w:r>
      <w:r>
        <w:rPr>
          <w:rFonts w:ascii="Times New Roman" w:hAnsi="Times New Roman"/>
          <w:b/>
          <w:color w:val="000000"/>
          <w:sz w:val="22"/>
        </w:rPr>
        <w:t>Sanctioned Country”</w:t>
      </w:r>
      <w:r>
        <w:rPr>
          <w:rFonts w:ascii="Times New Roman" w:hAnsi="Times New Roman"/>
          <w:color w:val="000000"/>
          <w:sz w:val="20"/>
        </w:rPr>
        <w:t xml:space="preserve"> </w:t>
      </w:r>
      <w:r>
        <w:rPr>
          <w:rFonts w:ascii="Times New Roman" w:hAnsi="Times New Roman"/>
          <w:color w:val="000000"/>
          <w:sz w:val="22"/>
        </w:rPr>
        <w:t>means any country or territory that is itself subject to comprehensive sanctions maintained by OFAC including at the time of this Agreement, Cuba, Iran, North Korea, Syria and the Crimea, Donetsk People’s Republic and Luhansk People’s Republic regions.</w:t>
      </w:r>
    </w:p>
    <w:p>
      <w:pPr>
        <w:pStyle w:val="TextBody"/>
        <w:bidi w:val="0"/>
        <w:spacing w:before="0" w:after="240"/>
        <w:jc w:val="both"/>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means the United States Securities and Exchange Commission.</w:t>
      </w:r>
    </w:p>
    <w:p>
      <w:pPr>
        <w:pStyle w:val="TextBody"/>
        <w:bidi w:val="0"/>
        <w:spacing w:before="0" w:after="240"/>
        <w:jc w:val="both"/>
        <w:rPr/>
      </w:pPr>
      <w:r>
        <w:rPr>
          <w:color w:val="000000"/>
        </w:rPr>
        <w:t>“</w:t>
      </w:r>
      <w:r>
        <w:rPr>
          <w:rFonts w:ascii="Times New Roman" w:hAnsi="Times New Roman"/>
          <w:b/>
          <w:color w:val="000000"/>
          <w:sz w:val="22"/>
        </w:rPr>
        <w:t>Securities Account</w:t>
      </w:r>
      <w:r>
        <w:rPr>
          <w:rFonts w:ascii="Times New Roman" w:hAnsi="Times New Roman"/>
          <w:color w:val="000000"/>
          <w:sz w:val="20"/>
        </w:rPr>
        <w:t xml:space="preserve">” </w:t>
      </w:r>
      <w:r>
        <w:rPr>
          <w:rFonts w:ascii="Times New Roman" w:hAnsi="Times New Roman"/>
          <w:color w:val="000000"/>
          <w:sz w:val="22"/>
        </w:rPr>
        <w:t>means a “securities account” (as defined in Article 9 of the UCC), an investment account, or other account in which investment property or securities are held or invested for credit to or for the benefit of any Credit Party.</w:t>
      </w:r>
    </w:p>
    <w:p>
      <w:pPr>
        <w:pStyle w:val="TextBody"/>
        <w:bidi w:val="0"/>
        <w:spacing w:before="0" w:after="240"/>
        <w:jc w:val="both"/>
        <w:rPr/>
      </w:pPr>
      <w:r>
        <w:rPr>
          <w:color w:val="000000"/>
        </w:rPr>
        <w:t>“</w:t>
      </w:r>
      <w:r>
        <w:rPr>
          <w:rFonts w:ascii="Times New Roman" w:hAnsi="Times New Roman"/>
          <w:b/>
          <w:color w:val="000000"/>
          <w:sz w:val="22"/>
        </w:rPr>
        <w:t>Securities Account Control Agreement</w:t>
      </w:r>
      <w:r>
        <w:rPr>
          <w:rFonts w:ascii="Times New Roman" w:hAnsi="Times New Roman"/>
          <w:color w:val="000000"/>
          <w:sz w:val="20"/>
        </w:rPr>
        <w:t xml:space="preserve">” </w:t>
      </w:r>
      <w:r>
        <w:rPr>
          <w:rFonts w:ascii="Times New Roman" w:hAnsi="Times New Roman"/>
          <w:color w:val="000000"/>
          <w:sz w:val="22"/>
        </w:rPr>
        <w:t>means an agreement, in form and substance satisfactory to Agent, among Agent, any applicable Credit Party and each securities intermediary in which such Credit Party maintains a Securities Account pursuant to which Agent shall obtain “control” (as defined in Article 9 of the UCC) over such Securities Account.</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Security Document</w:t>
      </w:r>
      <w:r>
        <w:rPr>
          <w:rFonts w:ascii="Times New Roman" w:hAnsi="Times New Roman"/>
          <w:color w:val="000000"/>
          <w:sz w:val="20"/>
        </w:rPr>
        <w:t xml:space="preserve">” </w:t>
      </w:r>
      <w:r>
        <w:rPr>
          <w:rFonts w:ascii="Times New Roman" w:hAnsi="Times New Roman"/>
          <w:color w:val="000000"/>
          <w:sz w:val="22"/>
        </w:rPr>
        <w:t>means this Agreement, any Pledge Agreement, and each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pStyle w:val="TextBody"/>
        <w:bidi w:val="0"/>
        <w:spacing w:before="0" w:after="240"/>
        <w:jc w:val="both"/>
        <w:rPr/>
      </w:pPr>
      <w:r>
        <w:rPr>
          <w:color w:val="000000"/>
        </w:rPr>
        <w:t>“</w:t>
      </w:r>
      <w:r>
        <w:rPr>
          <w:rFonts w:ascii="Times New Roman" w:hAnsi="Times New Roman"/>
          <w:b/>
          <w:color w:val="000000"/>
          <w:sz w:val="22"/>
        </w:rPr>
        <w:t>SOFR</w:t>
      </w:r>
      <w:r>
        <w:rPr>
          <w:rFonts w:ascii="Times New Roman" w:hAnsi="Times New Roman"/>
          <w:color w:val="000000"/>
          <w:sz w:val="20"/>
        </w:rPr>
        <w:t xml:space="preserve">” </w:t>
      </w:r>
      <w:r>
        <w:rPr>
          <w:rFonts w:ascii="Times New Roman" w:hAnsi="Times New Roman"/>
          <w:color w:val="000000"/>
          <w:sz w:val="22"/>
        </w:rPr>
        <w:t>means, with respect to any SOFR Business Day, a rate per annum equal to the secured overnight financing rate for such SOFR Business Day.</w:t>
      </w:r>
    </w:p>
    <w:p>
      <w:pPr>
        <w:pStyle w:val="TextBody"/>
        <w:bidi w:val="0"/>
        <w:spacing w:before="0" w:after="240"/>
        <w:jc w:val="both"/>
        <w:rPr/>
      </w:pPr>
      <w:r>
        <w:rPr>
          <w:color w:val="000000"/>
        </w:rPr>
        <w:t>“</w:t>
      </w:r>
      <w:r>
        <w:rPr>
          <w:rFonts w:ascii="Times New Roman" w:hAnsi="Times New Roman"/>
          <w:b/>
          <w:color w:val="000000"/>
          <w:sz w:val="22"/>
        </w:rPr>
        <w:t>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(CBA) (or a successor administrator of Term SOFR selected by Agent in its reasonable discretion).</w:t>
      </w:r>
    </w:p>
    <w:p>
      <w:pPr>
        <w:pStyle w:val="TextBody"/>
        <w:bidi w:val="0"/>
        <w:spacing w:before="0" w:after="240"/>
        <w:jc w:val="both"/>
        <w:rPr/>
      </w:pPr>
      <w:r>
        <w:rPr>
          <w:color w:val="000000"/>
        </w:rPr>
        <w:t>“</w:t>
      </w:r>
      <w:r>
        <w:rPr>
          <w:rFonts w:ascii="Times New Roman" w:hAnsi="Times New Roman"/>
          <w:b/>
          <w:color w:val="000000"/>
          <w:sz w:val="22"/>
        </w:rPr>
        <w:t>SOFR Administrator’s Website</w:t>
      </w:r>
      <w:r>
        <w:rPr>
          <w:rFonts w:ascii="Times New Roman" w:hAnsi="Times New Roman"/>
          <w:color w:val="000000"/>
          <w:sz w:val="20"/>
        </w:rPr>
        <w:t xml:space="preserve">” </w:t>
      </w:r>
      <w:r>
        <w:rPr>
          <w:rFonts w:ascii="Times New Roman" w:hAnsi="Times New Roman"/>
          <w:color w:val="000000"/>
          <w:sz w:val="22"/>
        </w:rPr>
        <w:t>means the website of the SOFR Administrator, currently at https://www.cmegroup.com/market-data/cme-group-benchmark-administration/term-sofr.html, or any successor source for Term SOFR identified by the SOFR Administrator from time to time.</w:t>
      </w:r>
    </w:p>
    <w:p>
      <w:pPr>
        <w:pStyle w:val="TextBody"/>
        <w:bidi w:val="0"/>
        <w:spacing w:before="0" w:after="240"/>
        <w:jc w:val="both"/>
        <w:rPr/>
      </w:pPr>
      <w:r>
        <w:rPr>
          <w:color w:val="000000"/>
        </w:rPr>
        <w:t>“</w:t>
      </w:r>
      <w:r>
        <w:rPr>
          <w:rFonts w:ascii="Times New Roman" w:hAnsi="Times New Roman"/>
          <w:b/>
          <w:color w:val="000000"/>
          <w:sz w:val="22"/>
        </w:rPr>
        <w:t>SOFR Business Day</w:t>
      </w:r>
      <w:r>
        <w:rPr>
          <w:rFonts w:ascii="Times New Roman" w:hAnsi="Times New Roman"/>
          <w:color w:val="000000"/>
          <w:sz w:val="20"/>
        </w:rPr>
        <w:t xml:space="preserve">” </w:t>
      </w:r>
      <w:r>
        <w:rPr>
          <w:rFonts w:ascii="Times New Roman" w:hAnsi="Times New Roman"/>
          <w:color w:val="000000"/>
          <w:sz w:val="22"/>
        </w:rPr>
        <w:t>means any day other than a Saturday or Sunday or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color w:val="000000"/>
          <w:sz w:val="22"/>
        </w:rPr>
        <w:t>SOFR Interest Rate</w:t>
      </w:r>
      <w:r>
        <w:rPr>
          <w:rFonts w:ascii="Times New Roman" w:hAnsi="Times New Roman"/>
          <w:color w:val="000000"/>
          <w:sz w:val="20"/>
        </w:rPr>
        <w:t xml:space="preserve">” </w:t>
      </w:r>
      <w:r>
        <w:rPr>
          <w:rFonts w:ascii="Times New Roman" w:hAnsi="Times New Roman"/>
          <w:color w:val="000000"/>
          <w:sz w:val="22"/>
        </w:rPr>
        <w:t>means, with respect to each day during which interest accrues on a Loan, the rate per annum (expressed as a percentage) equal to (a) Term SOFR for the applicable Interest Period for such day; or (b) if the then-current Benchmark has been replaced with a Benchmark Replacement pursuant to Section 2.2(o), such Benchmark Replacement for such day. Notwithstanding the foregoing, the SOFR Interest Rate shall not at any time be less than the Floor.</w:t>
      </w:r>
    </w:p>
    <w:p>
      <w:pPr>
        <w:pStyle w:val="TextBody"/>
        <w:bidi w:val="0"/>
        <w:spacing w:before="0" w:after="240"/>
        <w:jc w:val="both"/>
        <w:rPr/>
      </w:pPr>
      <w:r>
        <w:rPr>
          <w:color w:val="000000"/>
        </w:rPr>
        <w:t>“</w:t>
      </w:r>
      <w:r>
        <w:rPr>
          <w:rFonts w:ascii="Times New Roman" w:hAnsi="Times New Roman"/>
          <w:b/>
          <w:color w:val="000000"/>
          <w:sz w:val="22"/>
        </w:rPr>
        <w:t>SOFR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Term SOFR.</w:t>
      </w:r>
    </w:p>
    <w:p>
      <w:pPr>
        <w:pStyle w:val="TextBody"/>
        <w:bidi w:val="0"/>
        <w:spacing w:before="0" w:after="240"/>
        <w:jc w:val="both"/>
        <w:rPr/>
      </w:pPr>
      <w:r>
        <w:rPr>
          <w:color w:val="000000"/>
        </w:rPr>
        <w:t>“</w:t>
      </w:r>
      <w:r>
        <w:rPr>
          <w:rFonts w:ascii="Times New Roman" w:hAnsi="Times New Roman"/>
          <w:b/>
          <w:color w:val="000000"/>
          <w:sz w:val="22"/>
        </w:rPr>
        <w:t>Solvent</w:t>
      </w:r>
      <w:r>
        <w:rPr>
          <w:rFonts w:ascii="Times New Roman" w:hAnsi="Times New Roman"/>
          <w:color w:val="000000"/>
          <w:sz w:val="20"/>
        </w:rPr>
        <w:t xml:space="preserve">” </w:t>
      </w:r>
      <w:r>
        <w:rPr>
          <w:rFonts w:ascii="Times New Roman" w:hAnsi="Times New Roman"/>
          <w:color w:val="000000"/>
          <w:sz w:val="22"/>
        </w:rPr>
        <w:t>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pStyle w:val="TextBody"/>
        <w:bidi w:val="0"/>
        <w:spacing w:before="0" w:after="240"/>
        <w:jc w:val="both"/>
        <w:rPr/>
      </w:pPr>
      <w:r>
        <w:rPr>
          <w:color w:val="000000"/>
        </w:rPr>
        <w:t>“</w:t>
      </w:r>
      <w:r>
        <w:rPr>
          <w:rFonts w:ascii="Times New Roman" w:hAnsi="Times New Roman"/>
          <w:b/>
          <w:color w:val="000000"/>
          <w:sz w:val="22"/>
        </w:rPr>
        <w:t>Stated Rate</w:t>
      </w:r>
      <w:r>
        <w:rPr>
          <w:rFonts w:ascii="Times New Roman" w:hAnsi="Times New Roman"/>
          <w:color w:val="000000"/>
          <w:sz w:val="20"/>
        </w:rPr>
        <w:t xml:space="preserve">” </w:t>
      </w:r>
      <w:r>
        <w:rPr>
          <w:rFonts w:ascii="Times New Roman" w:hAnsi="Times New Roman"/>
          <w:color w:val="000000"/>
          <w:sz w:val="22"/>
        </w:rPr>
        <w:t>has the meaning set forth in Section 2.7.</w:t>
      </w:r>
    </w:p>
    <w:p>
      <w:pPr>
        <w:pStyle w:val="TextBody"/>
        <w:bidi w:val="0"/>
        <w:spacing w:before="0" w:after="240"/>
        <w:jc w:val="both"/>
        <w:rPr/>
      </w:pPr>
      <w:r>
        <w:rPr>
          <w:color w:val="000000"/>
        </w:rPr>
        <w:t>“</w:t>
      </w:r>
      <w:r>
        <w:rPr>
          <w:rFonts w:ascii="Times New Roman" w:hAnsi="Times New Roman"/>
          <w:b/>
          <w:color w:val="000000"/>
          <w:sz w:val="22"/>
        </w:rPr>
        <w:t>Subordinated Debt</w:t>
      </w:r>
      <w:r>
        <w:rPr>
          <w:rFonts w:ascii="Times New Roman" w:hAnsi="Times New Roman"/>
          <w:color w:val="000000"/>
          <w:sz w:val="20"/>
        </w:rPr>
        <w:t xml:space="preserve">” </w:t>
      </w:r>
      <w:r>
        <w:rPr>
          <w:rFonts w:ascii="Times New Roman" w:hAnsi="Times New Roman"/>
          <w:color w:val="000000"/>
          <w:sz w:val="22"/>
        </w:rPr>
        <w:t>means any Debt of Credit Parties incurred pursuant to the terms of the Subordinated Debt Documents and with the prior written consent of Agent. As of the Closing Date, there is no Subordinated Debt.</w:t>
      </w:r>
    </w:p>
    <w:p>
      <w:pPr>
        <w:pStyle w:val="TextBody"/>
        <w:bidi w:val="0"/>
        <w:spacing w:before="0" w:after="240"/>
        <w:jc w:val="both"/>
        <w:rPr/>
      </w:pPr>
      <w:r>
        <w:rPr>
          <w:color w:val="000000"/>
        </w:rPr>
        <w:t>“</w:t>
      </w:r>
      <w:r>
        <w:rPr>
          <w:rFonts w:ascii="Times New Roman" w:hAnsi="Times New Roman"/>
          <w:b/>
          <w:color w:val="000000"/>
          <w:sz w:val="22"/>
        </w:rPr>
        <w:t>Subordinated Debt Documents</w:t>
      </w:r>
      <w:r>
        <w:rPr>
          <w:rFonts w:ascii="Times New Roman" w:hAnsi="Times New Roman"/>
          <w:color w:val="000000"/>
          <w:sz w:val="20"/>
        </w:rPr>
        <w:t xml:space="preserve">” </w:t>
      </w:r>
      <w:r>
        <w:rPr>
          <w:rFonts w:ascii="Times New Roman" w:hAnsi="Times New Roman"/>
          <w:color w:val="000000"/>
          <w:sz w:val="22"/>
        </w:rPr>
        <w:t>means any documents evidencing and/or securing Debt governed by a Subordination Agreement, all of which documents must be in form and substance acceptable to Agent in its sole discretion. As of the Closing Date, there are no Subordinated Debt Documents.</w:t>
      </w:r>
    </w:p>
    <w:p>
      <w:pPr>
        <w:pStyle w:val="TextBody"/>
        <w:bidi w:val="0"/>
        <w:spacing w:before="0" w:after="240"/>
        <w:jc w:val="both"/>
        <w:rPr/>
      </w:pPr>
      <w:r>
        <w:rPr>
          <w:color w:val="000000"/>
        </w:rPr>
        <w:t>“</w:t>
      </w:r>
      <w:r>
        <w:rPr>
          <w:rFonts w:ascii="Times New Roman" w:hAnsi="Times New Roman"/>
          <w:b/>
          <w:color w:val="000000"/>
          <w:sz w:val="22"/>
        </w:rPr>
        <w:t>Subordination Agreement</w:t>
      </w:r>
      <w:r>
        <w:rPr>
          <w:rFonts w:ascii="Times New Roman" w:hAnsi="Times New Roman"/>
          <w:color w:val="000000"/>
          <w:sz w:val="20"/>
        </w:rPr>
        <w:t xml:space="preserve">” </w:t>
      </w:r>
      <w:r>
        <w:rPr>
          <w:rFonts w:ascii="Times New Roman" w:hAnsi="Times New Roman"/>
          <w:color w:val="000000"/>
          <w:sz w:val="22"/>
        </w:rPr>
        <w:t>means each agreement between Agent and another creditor of Credit Parties, as the same may be amended, supplemented, restated or otherwise modified from time to time in accordance with the terms thereof, pursuant to which the Debt owing from any Credit Party and/or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Liens securing such Debt granted by any Credit Party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pStyle w:val="TextBody"/>
        <w:bidi w:val="0"/>
        <w:spacing w:before="0" w:after="240"/>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means, with respect to any Person, (a) any corporation (or any foreign equivalent thereof) of which an aggregate of fifty percent (50%) or more of the outstanding Equity Interests having ordinary voting power to elect a majority of the board of directors of such corporation (irrespective of whether, at the time, Equity Interests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Equity Interests whether by proxy, agreement, operation of law or otherwise or which corporation’s operational and financial policies are controlled, directly or indirectly, by such Person, and (b) any partnership or limited liability company (or any foreign equivalent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or which partnership’s or limited liability company’s operational and financial policies are controlled, directly or indirectly, by such Person. Unless the context otherwise requires, each reference to a Subsidiary shall be a reference to a Subsidiary of a Credit Party.</w:t>
      </w:r>
    </w:p>
    <w:p>
      <w:pPr>
        <w:pStyle w:val="TextBody"/>
        <w:bidi w:val="0"/>
        <w:spacing w:before="0" w:after="240"/>
        <w:jc w:val="both"/>
        <w:rPr/>
      </w:pPr>
      <w:r>
        <w:rPr>
          <w:color w:val="000000"/>
        </w:rPr>
        <w:t>“</w:t>
      </w:r>
      <w:r>
        <w:rPr>
          <w:rFonts w:ascii="Times New Roman" w:hAnsi="Times New Roman"/>
          <w:b/>
          <w:color w:val="000000"/>
          <w:sz w:val="22"/>
        </w:rPr>
        <w:t>Swap Contract</w:t>
      </w:r>
      <w:r>
        <w:rPr>
          <w:rFonts w:ascii="Times New Roman" w:hAnsi="Times New Roman"/>
          <w:color w:val="000000"/>
          <w:sz w:val="20"/>
        </w:rPr>
        <w:t xml:space="preserve">” </w:t>
      </w:r>
      <w:r>
        <w:rPr>
          <w:rFonts w:ascii="Times New Roman" w:hAnsi="Times New Roman"/>
          <w:color w:val="000000"/>
          <w:sz w:val="22"/>
        </w:rPr>
        <w:t>means any “swap agreement”, as defined in Section 101 of the Bankruptcy Code, that is obtained by a Credit Party to provide protection against fluctuations in interest or currency exchange rates, but only if Agent provides its prior written consent to the entry into such “swap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color w:val="000000"/>
          <w:sz w:val="22"/>
        </w:rPr>
        <w:t>Term Lender</w:t>
      </w:r>
      <w:r>
        <w:rPr>
          <w:rFonts w:ascii="Times New Roman" w:hAnsi="Times New Roman"/>
          <w:color w:val="000000"/>
          <w:sz w:val="20"/>
        </w:rPr>
        <w:t xml:space="preserve">” </w:t>
      </w:r>
      <w:r>
        <w:rPr>
          <w:rFonts w:ascii="Times New Roman" w:hAnsi="Times New Roman"/>
          <w:color w:val="000000"/>
          <w:sz w:val="22"/>
        </w:rPr>
        <w:t>means a Lender with a Term Loan Commitment or a portion of the outstanding Term Loans.</w:t>
      </w:r>
    </w:p>
    <w:p>
      <w:pPr>
        <w:pStyle w:val="TextBody"/>
        <w:bidi w:val="0"/>
        <w:spacing w:before="0" w:after="240"/>
        <w:jc w:val="both"/>
        <w:rPr/>
      </w:pPr>
      <w:r>
        <w:rPr>
          <w:color w:val="000000"/>
        </w:rPr>
        <w:t>“</w:t>
      </w:r>
      <w:r>
        <w:rPr>
          <w:rFonts w:ascii="Times New Roman" w:hAnsi="Times New Roman"/>
          <w:b/>
          <w:color w:val="000000"/>
          <w:sz w:val="22"/>
        </w:rPr>
        <w:t>Term Loan</w:t>
      </w:r>
      <w:r>
        <w:rPr>
          <w:rFonts w:ascii="Times New Roman" w:hAnsi="Times New Roman"/>
          <w:color w:val="000000"/>
          <w:sz w:val="20"/>
        </w:rPr>
        <w:t xml:space="preserve">” </w:t>
      </w:r>
      <w:r>
        <w:rPr>
          <w:rFonts w:ascii="Times New Roman" w:hAnsi="Times New Roman"/>
          <w:color w:val="000000"/>
          <w:sz w:val="22"/>
        </w:rPr>
        <w:t>means, collectively, the Term Loan Tranche 1 and the Term Loan Tranche 2.</w:t>
      </w:r>
    </w:p>
    <w:p>
      <w:pPr>
        <w:pStyle w:val="TextBody"/>
        <w:bidi w:val="0"/>
        <w:spacing w:before="0" w:after="240"/>
        <w:jc w:val="both"/>
        <w:rPr/>
      </w:pPr>
      <w:r>
        <w:rPr>
          <w:color w:val="000000"/>
        </w:rPr>
        <w:t>“</w:t>
      </w:r>
      <w:r>
        <w:rPr>
          <w:rFonts w:ascii="Times New Roman" w:hAnsi="Times New Roman"/>
          <w:b/>
          <w:color w:val="000000"/>
          <w:sz w:val="22"/>
        </w:rPr>
        <w:t>Term Loan Account</w:t>
      </w:r>
      <w:r>
        <w:rPr>
          <w:rFonts w:ascii="Times New Roman" w:hAnsi="Times New Roman"/>
          <w:color w:val="000000"/>
          <w:sz w:val="20"/>
        </w:rPr>
        <w:t xml:space="preserve">” </w:t>
      </w:r>
      <w:r>
        <w:rPr>
          <w:rFonts w:ascii="Times New Roman" w:hAnsi="Times New Roman"/>
          <w:color w:val="000000"/>
          <w:sz w:val="22"/>
        </w:rPr>
        <w:t>has the meaning set forth in Section 2.6(c).</w:t>
      </w:r>
    </w:p>
    <w:p>
      <w:pPr>
        <w:pStyle w:val="TextBody"/>
        <w:bidi w:val="0"/>
        <w:spacing w:before="0" w:after="240"/>
        <w:jc w:val="both"/>
        <w:rPr/>
      </w:pPr>
      <w:r>
        <w:rPr>
          <w:color w:val="000000"/>
        </w:rPr>
        <w:t>“</w:t>
      </w:r>
      <w:r>
        <w:rPr>
          <w:rFonts w:ascii="Times New Roman" w:hAnsi="Times New Roman"/>
          <w:b/>
          <w:color w:val="000000"/>
          <w:sz w:val="22"/>
        </w:rPr>
        <w:t>Term Loan Commitment Amount</w:t>
      </w:r>
      <w:r>
        <w:rPr>
          <w:rFonts w:ascii="Times New Roman" w:hAnsi="Times New Roman"/>
          <w:color w:val="000000"/>
          <w:sz w:val="20"/>
        </w:rPr>
        <w:t xml:space="preserve">” </w:t>
      </w:r>
      <w:r>
        <w:rPr>
          <w:rFonts w:ascii="Times New Roman" w:hAnsi="Times New Roman"/>
          <w:color w:val="000000"/>
          <w:sz w:val="22"/>
        </w:rPr>
        <w:t>means, with respect to each Lender, the sum of such Lender’s Term Loan Tranche 1 Commitment Amount and Term Loan Tranche 2 Commitment Amount.</w:t>
      </w:r>
    </w:p>
    <w:p>
      <w:pPr>
        <w:pStyle w:val="TextBody"/>
        <w:bidi w:val="0"/>
        <w:spacing w:before="0" w:after="240"/>
        <w:jc w:val="both"/>
        <w:rPr/>
      </w:pPr>
      <w:r>
        <w:rPr>
          <w:color w:val="000000"/>
        </w:rPr>
        <w:t>“</w:t>
      </w:r>
      <w:r>
        <w:rPr>
          <w:rFonts w:ascii="Times New Roman" w:hAnsi="Times New Roman"/>
          <w:b/>
          <w:color w:val="000000"/>
          <w:sz w:val="22"/>
        </w:rPr>
        <w:t>Term Loan Commitment Percentage</w:t>
      </w:r>
      <w:r>
        <w:rPr>
          <w:rFonts w:ascii="Times New Roman" w:hAnsi="Times New Roman"/>
          <w:color w:val="000000"/>
          <w:sz w:val="20"/>
        </w:rPr>
        <w:t xml:space="preserve">” </w:t>
      </w:r>
      <w:r>
        <w:rPr>
          <w:rFonts w:ascii="Times New Roman" w:hAnsi="Times New Roman"/>
          <w:color w:val="000000"/>
          <w:sz w:val="22"/>
        </w:rPr>
        <w:t xml:space="preserve">means, as to any Lender with respect to each of such Lender’s Term Loan Commitments, (a) on the Closing Date, with respect to each tranche of the Term Loan, the applicable percentage set forth opposite such Lender’s name on the Commitment Annex under the column “Term Loan Tranche 1 Commitment Percentage”, and “Term Loan Tranche 2 Commitment Percentage” (if such Lender’s name is not so set forth thereon, then, on the Closing Date, such percentage for such Lender shall be deemed to be zero), and (b) on any date following the Closing Date, as applicable to each tranche of Term Loan, the percentage equal to (i) the Term Loan Tranche 1 Commitment of such Lender on such date </w:t>
      </w:r>
      <w:r>
        <w:rPr>
          <w:rFonts w:ascii="Times New Roman" w:hAnsi="Times New Roman"/>
          <w:i/>
          <w:color w:val="000000"/>
          <w:sz w:val="22"/>
        </w:rPr>
        <w:t>divided by</w:t>
      </w:r>
      <w:r>
        <w:rPr>
          <w:rFonts w:ascii="Times New Roman" w:hAnsi="Times New Roman"/>
          <w:color w:val="000000"/>
          <w:sz w:val="20"/>
        </w:rPr>
        <w:t xml:space="preserve"> </w:t>
      </w:r>
      <w:r>
        <w:rPr>
          <w:rFonts w:ascii="Times New Roman" w:hAnsi="Times New Roman"/>
          <w:color w:val="000000"/>
          <w:sz w:val="22"/>
        </w:rPr>
        <w:t xml:space="preserve">the aggregate Term Loan Tranche 1 Commitments on such date, or (ii) the Term Loan Tranche 2 Commitment of such Lender on such date </w:t>
      </w:r>
      <w:r>
        <w:rPr>
          <w:rFonts w:ascii="Times New Roman" w:hAnsi="Times New Roman"/>
          <w:i/>
          <w:color w:val="000000"/>
          <w:sz w:val="22"/>
        </w:rPr>
        <w:t>divided by</w:t>
      </w:r>
      <w:r>
        <w:rPr>
          <w:rFonts w:ascii="Times New Roman" w:hAnsi="Times New Roman"/>
          <w:color w:val="000000"/>
          <w:sz w:val="20"/>
        </w:rPr>
        <w:t xml:space="preserve"> </w:t>
      </w:r>
      <w:r>
        <w:rPr>
          <w:rFonts w:ascii="Times New Roman" w:hAnsi="Times New Roman"/>
          <w:color w:val="000000"/>
          <w:sz w:val="22"/>
        </w:rPr>
        <w:t>the aggregate Term Loan Tranche 2 Commitments on such date.</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Term Loan Commitments</w:t>
      </w:r>
      <w:r>
        <w:rPr>
          <w:rFonts w:ascii="Times New Roman" w:hAnsi="Times New Roman"/>
          <w:color w:val="000000"/>
          <w:sz w:val="20"/>
        </w:rPr>
        <w:t xml:space="preserve">” </w:t>
      </w:r>
      <w:r>
        <w:rPr>
          <w:rFonts w:ascii="Times New Roman" w:hAnsi="Times New Roman"/>
          <w:color w:val="000000"/>
          <w:sz w:val="22"/>
        </w:rPr>
        <w:t>means the Term Loan Tranche 1 Commitments, and the Term Loan Tranche 2 Commitments. For the avoidance of doubt, the aggregate Term Loan Commitments of all Lenders on the Closing Date shall be $55,000,000.</w:t>
      </w:r>
    </w:p>
    <w:p>
      <w:pPr>
        <w:pStyle w:val="TextBody"/>
        <w:bidi w:val="0"/>
        <w:spacing w:before="0" w:after="240"/>
        <w:jc w:val="both"/>
        <w:rPr/>
      </w:pPr>
      <w:r>
        <w:rPr>
          <w:color w:val="000000"/>
        </w:rPr>
        <w:t>“</w:t>
      </w:r>
      <w:r>
        <w:rPr>
          <w:rFonts w:ascii="Times New Roman" w:hAnsi="Times New Roman"/>
          <w:b/>
          <w:color w:val="000000"/>
          <w:sz w:val="22"/>
        </w:rPr>
        <w:t>Term Loan Payment Account</w:t>
      </w:r>
      <w:r>
        <w:rPr>
          <w:rFonts w:ascii="Times New Roman" w:hAnsi="Times New Roman"/>
          <w:color w:val="000000"/>
          <w:sz w:val="20"/>
        </w:rPr>
        <w:t xml:space="preserve">” </w:t>
      </w:r>
      <w:r>
        <w:rPr>
          <w:rFonts w:ascii="Times New Roman" w:hAnsi="Times New Roman"/>
          <w:color w:val="000000"/>
          <w:sz w:val="22"/>
        </w:rPr>
        <w:t>means the account specified on Schedule 1.1 as the Term Loan Payment Account, into which all payments by or on behalf of each Borrower to Agent of principal, interest, fees, expenses, charges and all other amounts owing solely in respect of the Term Loans under the Financing Documents shall be made, or such other account as Term Loan Servicer shall from time to time specify by notice to Borrower Representative.</w:t>
      </w:r>
    </w:p>
    <w:p>
      <w:pPr>
        <w:pStyle w:val="TextBody"/>
        <w:bidi w:val="0"/>
        <w:spacing w:before="0" w:after="240"/>
        <w:jc w:val="both"/>
        <w:rPr/>
      </w:pPr>
      <w:r>
        <w:rPr>
          <w:color w:val="000000"/>
        </w:rPr>
        <w:t>“</w:t>
      </w:r>
      <w:r>
        <w:rPr>
          <w:rFonts w:ascii="Times New Roman" w:hAnsi="Times New Roman"/>
          <w:b/>
          <w:color w:val="000000"/>
          <w:sz w:val="22"/>
        </w:rPr>
        <w:t>Term Loan Servicer</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r>
        <w:rPr>
          <w:rFonts w:ascii="Times New Roman" w:hAnsi="Times New Roman"/>
          <w:color w:val="000000"/>
          <w:sz w:val="22"/>
        </w:rPr>
        <w:t>MidCap Financial Trust, in its capacity as Term Loan Servicer for itself and for Lenders hereunder, as such capacity is established in, and subject to the provisions of, Article 11, and the successors and assigns of MidCap Financial Trust in such capacity.</w:t>
      </w:r>
    </w:p>
    <w:p>
      <w:pPr>
        <w:pStyle w:val="TextBody"/>
        <w:bidi w:val="0"/>
        <w:spacing w:before="0" w:after="240"/>
        <w:jc w:val="both"/>
        <w:rPr/>
      </w:pPr>
      <w:r>
        <w:rPr>
          <w:color w:val="000000"/>
        </w:rPr>
        <w:t>“</w:t>
      </w:r>
      <w:r>
        <w:rPr>
          <w:rFonts w:ascii="Times New Roman" w:hAnsi="Times New Roman"/>
          <w:b/>
          <w:color w:val="000000"/>
          <w:sz w:val="22"/>
        </w:rPr>
        <w:t>Term Loan Tranche 1</w:t>
      </w:r>
      <w:r>
        <w:rPr>
          <w:rFonts w:ascii="Times New Roman" w:hAnsi="Times New Roman"/>
          <w:color w:val="000000"/>
          <w:sz w:val="20"/>
        </w:rPr>
        <w:t xml:space="preserve">” </w:t>
      </w:r>
      <w:r>
        <w:rPr>
          <w:rFonts w:ascii="Times New Roman" w:hAnsi="Times New Roman"/>
          <w:color w:val="000000"/>
          <w:sz w:val="22"/>
        </w:rPr>
        <w:t>has the meaning set forth in Section 2.1(a)(i)(A).</w:t>
      </w:r>
    </w:p>
    <w:p>
      <w:pPr>
        <w:pStyle w:val="TextBody"/>
        <w:bidi w:val="0"/>
        <w:spacing w:before="0" w:after="240"/>
        <w:jc w:val="both"/>
        <w:rPr/>
      </w:pPr>
      <w:r>
        <w:rPr>
          <w:color w:val="000000"/>
        </w:rPr>
        <w:t>“</w:t>
      </w:r>
      <w:r>
        <w:rPr>
          <w:rFonts w:ascii="Times New Roman" w:hAnsi="Times New Roman"/>
          <w:b/>
          <w:color w:val="000000"/>
          <w:sz w:val="22"/>
        </w:rPr>
        <w:t>Term Loan Tranche 1 Commitment Amount</w:t>
      </w:r>
      <w:r>
        <w:rPr>
          <w:rFonts w:ascii="Times New Roman" w:hAnsi="Times New Roman"/>
          <w:color w:val="000000"/>
          <w:sz w:val="20"/>
        </w:rPr>
        <w:t xml:space="preserve">” </w:t>
      </w:r>
      <w:r>
        <w:rPr>
          <w:rFonts w:ascii="Times New Roman" w:hAnsi="Times New Roman"/>
          <w:color w:val="000000"/>
          <w:sz w:val="22"/>
        </w:rPr>
        <w:t>means, with respect to each Lender, the amount set forth opposite such Lender’s name on Annex A hereto under the caption “Term Loan Tranche 1 Commitment Amount”, as amended from time to time to reflect any permitted and effective assignments and as such amount may be reduced or terminated pursuant to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Term Loan Tranche 1 Commitment Termination Date</w:t>
      </w:r>
      <w:r>
        <w:rPr>
          <w:rFonts w:ascii="Times New Roman" w:hAnsi="Times New Roman"/>
          <w:color w:val="000000"/>
          <w:sz w:val="20"/>
        </w:rPr>
        <w:t xml:space="preserve">” </w:t>
      </w:r>
      <w:r>
        <w:rPr>
          <w:rFonts w:ascii="Times New Roman" w:hAnsi="Times New Roman"/>
          <w:color w:val="000000"/>
          <w:sz w:val="22"/>
        </w:rPr>
        <w:t>means the earlier of (a) December 31, 2028 and (b) the date on which Agent provides notice to the Credit Parties, following the occurrence of an Event of Default (which has not been waived or cured as of the date such notice is given), that the Term Loan Tranche 1 Commitments have been terminated.</w:t>
      </w:r>
    </w:p>
    <w:p>
      <w:pPr>
        <w:pStyle w:val="TextBody"/>
        <w:bidi w:val="0"/>
        <w:spacing w:before="0" w:after="240"/>
        <w:jc w:val="both"/>
        <w:rPr/>
      </w:pPr>
      <w:r>
        <w:rPr>
          <w:color w:val="000000"/>
        </w:rPr>
        <w:t>“</w:t>
      </w:r>
      <w:r>
        <w:rPr>
          <w:rFonts w:ascii="Times New Roman" w:hAnsi="Times New Roman"/>
          <w:b/>
          <w:color w:val="000000"/>
          <w:sz w:val="22"/>
        </w:rPr>
        <w:t>Term Loan Tranche 1 Commitments</w:t>
      </w:r>
      <w:r>
        <w:rPr>
          <w:rFonts w:ascii="Times New Roman" w:hAnsi="Times New Roman"/>
          <w:color w:val="000000"/>
          <w:sz w:val="20"/>
        </w:rPr>
        <w:t xml:space="preserve">” </w:t>
      </w:r>
      <w:r>
        <w:rPr>
          <w:rFonts w:ascii="Times New Roman" w:hAnsi="Times New Roman"/>
          <w:color w:val="000000"/>
          <w:sz w:val="22"/>
        </w:rPr>
        <w:t>means the sum of each Lender’s Term Loan Tranche 1 Commitment Amount.</w:t>
      </w:r>
    </w:p>
    <w:p>
      <w:pPr>
        <w:pStyle w:val="TextBody"/>
        <w:bidi w:val="0"/>
        <w:spacing w:before="0" w:after="240"/>
        <w:jc w:val="both"/>
        <w:rPr/>
      </w:pPr>
      <w:r>
        <w:rPr>
          <w:color w:val="000000"/>
        </w:rPr>
        <w:t>“</w:t>
      </w:r>
      <w:r>
        <w:rPr>
          <w:rFonts w:ascii="Times New Roman" w:hAnsi="Times New Roman"/>
          <w:b/>
          <w:color w:val="000000"/>
          <w:sz w:val="22"/>
        </w:rPr>
        <w:t>Term Loan Tranche 2</w:t>
      </w:r>
      <w:r>
        <w:rPr>
          <w:rFonts w:ascii="Times New Roman" w:hAnsi="Times New Roman"/>
          <w:color w:val="000000"/>
          <w:sz w:val="20"/>
        </w:rPr>
        <w:t xml:space="preserve">” </w:t>
      </w:r>
      <w:r>
        <w:rPr>
          <w:rFonts w:ascii="Times New Roman" w:hAnsi="Times New Roman"/>
          <w:color w:val="000000"/>
          <w:sz w:val="22"/>
        </w:rPr>
        <w:t>has the meaning set forth in Section 2.1(a)(i)(B).</w:t>
      </w:r>
    </w:p>
    <w:p>
      <w:pPr>
        <w:pStyle w:val="TextBody"/>
        <w:bidi w:val="0"/>
        <w:spacing w:before="0" w:after="240"/>
        <w:jc w:val="both"/>
        <w:rPr/>
      </w:pPr>
      <w:r>
        <w:rPr>
          <w:color w:val="000000"/>
        </w:rPr>
        <w:t>“</w:t>
      </w:r>
      <w:r>
        <w:rPr>
          <w:rFonts w:ascii="Times New Roman" w:hAnsi="Times New Roman"/>
          <w:b/>
          <w:color w:val="000000"/>
          <w:sz w:val="22"/>
        </w:rPr>
        <w:t>Term Loan Tranche 2 Activation Date</w:t>
      </w:r>
      <w:r>
        <w:rPr>
          <w:rFonts w:ascii="Times New Roman" w:hAnsi="Times New Roman"/>
          <w:color w:val="000000"/>
          <w:sz w:val="20"/>
        </w:rPr>
        <w:t xml:space="preserve">” </w:t>
      </w:r>
      <w:r>
        <w:rPr>
          <w:rFonts w:ascii="Times New Roman" w:hAnsi="Times New Roman"/>
          <w:color w:val="000000"/>
          <w:sz w:val="22"/>
        </w:rPr>
        <w:t>means the date on which Agent and Lenders, in their sole discretion, provide notice to Borrower Representative that the Term Loan Tranche 2 Activation Date has occurred (it being understood and agreed that neither Agent nor any Lender shall be obligated to provide such notice or activate the Term Loan Tranche 2 Commitments, which notice may be given or withheld in Agent’s or any Lender’s sole discretion).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Term Loan Tranche 2 Commitment Amount</w:t>
      </w:r>
      <w:r>
        <w:rPr>
          <w:rFonts w:ascii="Times New Roman" w:hAnsi="Times New Roman"/>
          <w:color w:val="000000"/>
          <w:sz w:val="20"/>
        </w:rPr>
        <w:t xml:space="preserve">” </w:t>
      </w:r>
      <w:r>
        <w:rPr>
          <w:rFonts w:ascii="Times New Roman" w:hAnsi="Times New Roman"/>
          <w:color w:val="000000"/>
          <w:sz w:val="22"/>
        </w:rPr>
        <w:t>means, with respect to each Lender, the amount set forth opposite such Lender’s name on Annex A hereto under the caption “Term Loan Tranche 2 Commitment Amount”, as amended from time to time to reflect any permitted and effective assignments and as such amount may be reduced or terminated pursuant to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Term Loan Tranche 2 Commitment Termination Date</w:t>
      </w:r>
      <w:r>
        <w:rPr>
          <w:rFonts w:ascii="Times New Roman" w:hAnsi="Times New Roman"/>
          <w:color w:val="000000"/>
          <w:sz w:val="20"/>
        </w:rPr>
        <w:t xml:space="preserve">” </w:t>
      </w:r>
      <w:r>
        <w:rPr>
          <w:rFonts w:ascii="Times New Roman" w:hAnsi="Times New Roman"/>
          <w:color w:val="000000"/>
          <w:sz w:val="22"/>
        </w:rPr>
        <w:t>means the earlier of (a) the Termination Date and (b) the date on which Agent provides notice to the Credit Parties, following the occurrence of an Event of Default (which has not been waived or cured as of the date such notice is given), that the Term Loan Tranche 2 Commitments have been terminated.</w:t>
      </w:r>
    </w:p>
    <w:p>
      <w:pPr>
        <w:pStyle w:val="TextBody"/>
        <w:bidi w:val="0"/>
        <w:spacing w:before="0" w:after="240"/>
        <w:jc w:val="both"/>
        <w:rPr/>
      </w:pPr>
      <w:r>
        <w:rPr>
          <w:color w:val="000000"/>
        </w:rPr>
        <w:t>“</w:t>
      </w:r>
      <w:r>
        <w:rPr>
          <w:rFonts w:ascii="Times New Roman" w:hAnsi="Times New Roman"/>
          <w:b/>
          <w:color w:val="000000"/>
          <w:sz w:val="22"/>
        </w:rPr>
        <w:t>Term Loan Tranche 2 Commitments</w:t>
      </w:r>
      <w:r>
        <w:rPr>
          <w:rFonts w:ascii="Times New Roman" w:hAnsi="Times New Roman"/>
          <w:color w:val="000000"/>
          <w:sz w:val="20"/>
        </w:rPr>
        <w:t xml:space="preserve">” </w:t>
      </w:r>
      <w:r>
        <w:rPr>
          <w:rFonts w:ascii="Times New Roman" w:hAnsi="Times New Roman"/>
          <w:color w:val="000000"/>
          <w:sz w:val="22"/>
        </w:rPr>
        <w:t>means the sum of each Lender’s Term Loan Tranche 2 Commitment Amount.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2"/>
        </w:rPr>
        <w:t>Term SOFR</w:t>
      </w:r>
      <w:r>
        <w:rPr>
          <w:rFonts w:ascii="Times New Roman" w:hAnsi="Times New Roman"/>
          <w:color w:val="000000"/>
          <w:sz w:val="20"/>
        </w:rPr>
        <w:t xml:space="preserve">” </w:t>
      </w:r>
      <w:r>
        <w:rPr>
          <w:rFonts w:ascii="Times New Roman" w:hAnsi="Times New Roman"/>
          <w:color w:val="000000"/>
          <w:sz w:val="22"/>
        </w:rPr>
        <w:t>means the greater of (x) the forward-looking term rate for a period comparable to such Interest Period based on SOFR that is published by the SOFR Administrator and is displayed on the SOFR Administrator’s Website at approximately the Reference Time for such Interest Period and (y) the Floor. Unless otherwise specified in any amendment to this Agreement entered into in accordance with Section 2.2(o), in the event that a Benchmark Replacement with respect to Term SOFR is implemented, then all references herein to Term SOFR shall be deemed references to such Benchmark Replacement.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Termination Date</w:t>
      </w:r>
      <w:r>
        <w:rPr>
          <w:rFonts w:ascii="Times New Roman" w:hAnsi="Times New Roman"/>
          <w:color w:val="000000"/>
          <w:sz w:val="20"/>
        </w:rPr>
        <w:t xml:space="preserve">” </w:t>
      </w:r>
      <w:r>
        <w:rPr>
          <w:rFonts w:ascii="Times New Roman" w:hAnsi="Times New Roman"/>
          <w:color w:val="000000"/>
          <w:sz w:val="22"/>
        </w:rPr>
        <w:t>means the earliest to occur of (a) the Maturity Date, (b) any date on which the maturity of the Loans is accelerated pursuant to Section 10.2, or (c) the termination date stated in any notice of termination of this Agreement provided by Borrowers in accordance with Section 2.12.</w:t>
      </w:r>
    </w:p>
    <w:p>
      <w:pPr>
        <w:pStyle w:val="TextBody"/>
        <w:bidi w:val="0"/>
        <w:spacing w:before="0" w:after="240"/>
        <w:jc w:val="both"/>
        <w:rPr/>
      </w:pPr>
      <w:r>
        <w:rPr>
          <w:color w:val="000000"/>
        </w:rPr>
        <w:t>“</w:t>
      </w:r>
      <w:r>
        <w:rPr>
          <w:rFonts w:ascii="Times New Roman" w:hAnsi="Times New Roman"/>
          <w:b/>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of the State of New York or of any other state the laws of which are required to be applied in connection with the perfection of security interests in any Collateral.</w:t>
      </w:r>
    </w:p>
    <w:p>
      <w:pPr>
        <w:pStyle w:val="TextBody"/>
        <w:bidi w:val="0"/>
        <w:spacing w:before="0" w:after="240"/>
        <w:jc w:val="both"/>
        <w:rPr/>
      </w:pPr>
      <w:r>
        <w:rPr>
          <w:color w:val="000000"/>
        </w:rPr>
        <w:t>“</w:t>
      </w:r>
      <w:r>
        <w:rPr>
          <w:rFonts w:ascii="Times New Roman" w:hAnsi="Times New Roman"/>
          <w:b/>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b/>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color w:val="000000"/>
          <w:sz w:val="22"/>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spacing w:before="0" w:after="240"/>
        <w:jc w:val="both"/>
        <w:rPr/>
      </w:pPr>
      <w:r>
        <w:rPr>
          <w:color w:val="000000"/>
        </w:rPr>
        <w:t>“</w:t>
      </w:r>
      <w:r>
        <w:rPr>
          <w:rFonts w:ascii="Times New Roman" w:hAnsi="Times New Roman"/>
          <w:b/>
          <w:color w:val="000000"/>
          <w:sz w:val="22"/>
        </w:rPr>
        <w:t>U.S. Tax Compliance Certificate</w:t>
      </w:r>
      <w:r>
        <w:rPr>
          <w:rFonts w:ascii="Times New Roman" w:hAnsi="Times New Roman"/>
          <w:color w:val="000000"/>
          <w:sz w:val="20"/>
        </w:rPr>
        <w:t xml:space="preserve">” </w:t>
      </w:r>
      <w:r>
        <w:rPr>
          <w:rFonts w:ascii="Times New Roman" w:hAnsi="Times New Roman"/>
          <w:color w:val="000000"/>
          <w:sz w:val="22"/>
        </w:rPr>
        <w:t>has the meaning set forth in Section 2.8(c)(i).</w:t>
      </w:r>
    </w:p>
    <w:p>
      <w:pPr>
        <w:pStyle w:val="TextBody"/>
        <w:bidi w:val="0"/>
        <w:spacing w:before="0" w:after="240"/>
        <w:jc w:val="both"/>
        <w:rPr/>
      </w:pPr>
      <w:r>
        <w:rPr>
          <w:color w:val="000000"/>
        </w:rPr>
        <w:t>“</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any Borrower, Agent or Term Loan Servicer, as applicable.</w:t>
      </w:r>
    </w:p>
    <w:p>
      <w:pPr>
        <w:pStyle w:val="TextBody"/>
        <w:bidi w:val="0"/>
        <w:spacing w:before="0" w:after="240"/>
        <w:jc w:val="both"/>
        <w:rPr/>
      </w:pPr>
      <w:r>
        <w:rPr>
          <w:color w:val="000000"/>
        </w:rPr>
        <w:t>“</w:t>
      </w:r>
      <w:r>
        <w:rPr>
          <w:rFonts w:ascii="Times New Roman" w:hAnsi="Times New Roman"/>
          <w:b/>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 </w:t>
      </w:r>
      <w:r>
        <w:rPr>
          <w:rFonts w:ascii="Times New Roman" w:hAnsi="Times New Roman"/>
          <w:color w:val="000000"/>
          <w:sz w:val="22"/>
          <w:u w:val="single"/>
        </w:rPr>
        <w:t>Accounting Terms and Determinations</w:t>
      </w:r>
      <w:r>
        <w:rPr>
          <w:rFonts w:ascii="Times New Roman" w:hAnsi="Times New Roman"/>
          <w:color w:val="000000"/>
          <w:sz w:val="22"/>
        </w:rPr>
        <w:t>.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Credit Party and its Consolidated Subsidiaries delivered to Agent and each of the Lenders on or prior to the Closing Date. If at any time any change in GAAP would affect the computation of any financial ratio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(subject to the approval of the Required Lenders);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 Accounting Standards Update No. 2016-02, Leases, shall not be treated as a capital lease obligation solely as a result of the adoption of changes in GAAP, unless the parties hereto shall enter into a mutually acceptable amendment addressing such changes, as provided for above.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 </w:t>
      </w:r>
      <w:r>
        <w:rPr>
          <w:rFonts w:ascii="Times New Roman" w:hAnsi="Times New Roman"/>
          <w:color w:val="000000"/>
          <w:sz w:val="22"/>
          <w:u w:val="single"/>
        </w:rPr>
        <w:t>Other Definitional and Interpretive Provisions</w:t>
      </w:r>
      <w:r>
        <w:rPr>
          <w:rFonts w:ascii="Times New Roman" w:hAnsi="Times New Roman"/>
          <w:color w:val="000000"/>
          <w:sz w:val="22"/>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capitalized terms that are not defined herein, but are defined in the UCC, shall have the meanings given them in the UCC. All references herein to times of day shall be references to daylight or standard time, as applicable. All references herein to a merger, transfer, consolidation, amalgamation, assignment, sale or transfer, or analogous term, will be construed to mean also a division of or by a limited liability company, as if it were a merger, transfer, consolidation, amalgamation, assignment, sale or transfer, or similar term, as applicable. Any series of limited liability company shall be considered a separate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1.4 </w:t>
      </w:r>
      <w:r>
        <w:rPr>
          <w:rFonts w:ascii="Times New Roman" w:hAnsi="Times New Roman"/>
          <w:color w:val="000000"/>
          <w:sz w:val="22"/>
          <w:u w:val="single"/>
        </w:rPr>
        <w:t>Settlement and Funding Mechanics</w:t>
      </w:r>
      <w:r>
        <w:rPr>
          <w:rFonts w:ascii="Times New Roman" w:hAnsi="Times New Roman"/>
          <w:color w:val="000000"/>
          <w:sz w:val="22"/>
        </w:rPr>
        <w:t>. Unless otherwise specified herein, the settlement of all payments and fundings hereunder between or among the parties hereto shall be made in lawful money of the United States and in immediately available funds.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1.5 </w:t>
      </w:r>
      <w:r>
        <w:rPr>
          <w:rFonts w:ascii="Times New Roman" w:hAnsi="Times New Roman"/>
          <w:color w:val="000000"/>
          <w:sz w:val="22"/>
          <w:u w:val="single"/>
        </w:rPr>
        <w:t>Time is of the Essence</w:t>
      </w:r>
      <w:r>
        <w:rPr>
          <w:rFonts w:ascii="Times New Roman" w:hAnsi="Times New Roman"/>
          <w:color w:val="000000"/>
          <w:sz w:val="22"/>
        </w:rPr>
        <w:t>. Time is of the essence in Borrower’s and each other Credit Party’s performance under this Agreement and all other Financing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1.6 </w:t>
      </w:r>
      <w:r>
        <w:rPr>
          <w:rFonts w:ascii="Times New Roman" w:hAnsi="Times New Roman"/>
          <w:color w:val="000000"/>
          <w:sz w:val="22"/>
          <w:u w:val="single"/>
        </w:rPr>
        <w:t>Time of Day</w:t>
      </w:r>
      <w:r>
        <w:rPr>
          <w:rFonts w:ascii="Times New Roman" w:hAnsi="Times New Roman"/>
          <w:color w:val="000000"/>
          <w:sz w:val="22"/>
        </w:rPr>
        <w:t>. Unless otherwise specified, all references herein to times of day shall be references to Eastern time (daylight savings or standard, as applicable).</w:t>
      </w:r>
    </w:p>
    <w:p>
      <w:pPr>
        <w:pStyle w:val="TextBody"/>
        <w:bidi w:val="0"/>
        <w:spacing w:before="0" w:after="240"/>
        <w:jc w:val="center"/>
        <w:rPr>
          <w:rFonts w:ascii="Times New Roman" w:hAnsi="Times New Roman"/>
          <w:sz w:val="20"/>
        </w:rPr>
      </w:pPr>
      <w:r>
        <w:rPr>
          <w:rFonts w:ascii="Times New Roman" w:hAnsi="Times New Roman"/>
          <w:b/>
          <w:caps/>
          <w:color w:val="000000"/>
          <w:sz w:val="22"/>
        </w:rPr>
        <w:t>Article 2 - LOANS</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 </w:t>
      </w:r>
      <w:r>
        <w:rPr>
          <w:rFonts w:ascii="Times New Roman" w:hAnsi="Times New Roman"/>
          <w:color w:val="000000"/>
          <w:sz w:val="22"/>
          <w:u w:val="single"/>
        </w:rPr>
        <w:t>Loans</w:t>
      </w:r>
      <w:r>
        <w:rPr>
          <w:rFonts w:ascii="Times New Roman" w:hAnsi="Times New Roman"/>
          <w:color w:val="000000"/>
          <w:sz w:val="22"/>
        </w:rPr>
        <w:t>.</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Term Loans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Term Loan Amounts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2"/>
        </w:rPr>
        <w:t>(A) On the terms and subject to the conditions set forth herein and in the other Financing Documents, each Lender with a Term Loan Tranche 1 Commitment Amount severally hereby agrees to make to Borrowers a Term Loan on the Closing Date and on any Business Day thereafter, from time to time in one or more advances, in an original aggregate principal amount not to exceed such Lender’s Term Loan Tranche 1 Commitment (the “</w:t>
      </w:r>
      <w:r>
        <w:rPr>
          <w:rFonts w:ascii="Times New Roman" w:hAnsi="Times New Roman"/>
          <w:b/>
          <w:color w:val="000000"/>
          <w:sz w:val="22"/>
        </w:rPr>
        <w:t>Term Loan Tranche 1</w:t>
      </w:r>
      <w:r>
        <w:rPr>
          <w:rFonts w:ascii="Times New Roman" w:hAnsi="Times New Roman"/>
          <w:color w:val="000000"/>
          <w:sz w:val="20"/>
        </w:rPr>
        <w:t>”</w:t>
      </w:r>
      <w:r>
        <w:rPr>
          <w:rFonts w:ascii="Times New Roman" w:hAnsi="Times New Roman"/>
          <w:color w:val="000000"/>
          <w:sz w:val="22"/>
        </w:rPr>
        <w:t>). Each such Lender’s obligation to fund the Term Loan Tranche 1 shall be limited to such Lender’s Term Loan Tranche 1 Commitment Percentage, and no Lender shall have any obligation to fund any portion of any Term Loan required to be funded by any other Lender, but not so funded. The Term Loan Tranche 1 shall be funded in an aggregate amount equal to $0 on the Closing Date and may thereafter be funded on a Business Day occurring after the Closing Date in multiple advances in an aggregate amount not to exceed the remaining Term Loan Tranche 1 Commitments, but no advances under the Term Loan Tranche 1 shall be made after the Term Loan Tranche 1 Commitment Termination Date. Lenders shall have no obligation to make more than one (1) advance in respect of the Term Loan Tranche 1 per calendar month and each advance of the Term Loan Tranche 1 shall be in an amount equal to $5,000,000 (or a higher integral multiple of $5,000,000)</w:t>
      </w:r>
      <w:r>
        <w:rPr>
          <w:rFonts w:ascii="Times New Roman" w:hAnsi="Times New Roman"/>
          <w:color w:val="000000"/>
          <w:sz w:val="20"/>
        </w:rPr>
        <w:t xml:space="preserve"> </w:t>
      </w:r>
      <w:r>
        <w:rPr>
          <w:rFonts w:ascii="Times New Roman" w:hAnsi="Times New Roman"/>
          <w:color w:val="000000"/>
          <w:sz w:val="22"/>
        </w:rPr>
        <w:t>in the aggregate with respect to all such Lenders. Unless previously terminated, upon the Term Loan Tranche 1 Commitment Termination Date, the Term Loan Tranche 1 Commitment shall thereupon automatically be terminated and the Term Loan Tranche 1 Commitment Amount of each Lender as of such date shall be reduced by such Lender’s Pro Rata Share of such total reduction in the Term Loan Commitments.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On the terms and subject to the conditions set forth herein and in the other Financing Documents, each Lender with a Term Loan Tranche 2 Commitment Amount severally hereby agrees to make to Borrowers a Term Loan on a Business Day occurring on or after the Term Loan Tranche 2 Activation Date and on or prior to the Term Loan Tranche 2 Commitment Termination Date in an original aggregate principal amount equal to the Term Loan Tranche 2 Commitment (the “</w:t>
      </w:r>
      <w:r>
        <w:rPr>
          <w:rFonts w:ascii="Times New Roman" w:hAnsi="Times New Roman"/>
          <w:b/>
          <w:color w:val="000000"/>
          <w:sz w:val="22"/>
        </w:rPr>
        <w:t>Term Loan Tranche 2</w:t>
      </w:r>
      <w:r>
        <w:rPr>
          <w:rFonts w:ascii="Times New Roman" w:hAnsi="Times New Roman"/>
          <w:color w:val="000000"/>
          <w:sz w:val="20"/>
        </w:rPr>
        <w:t>”</w:t>
      </w:r>
      <w:r>
        <w:rPr>
          <w:rFonts w:ascii="Times New Roman" w:hAnsi="Times New Roman"/>
          <w:color w:val="000000"/>
          <w:sz w:val="22"/>
        </w:rPr>
        <w:t>). Each such Lender’s obligation to fund the Term Loan Tranche 2 shall be limited to such Lender’s Term Loan Tranche 2 Commitment Amount, and no Lender shall have any obligation to fund any portion of any Term Loan required to be funded by any other Lender, but not so funded. Without limiting the foregoing, until the Term Loan Tranche 2 Activation Date has occurred, no Borrower shall be entitled to request, and no Lender shall be required to advance, any principal amount in respect of the Term Loan Tranche 2. Unless previously terminated, upon the Term Loan Tranche 2 Commitment Termination Date, the Term Loan Tranche 2 Commitment shall thereupon automatically be terminated and the Term Loan Tranche 2 Commitment Amount of each Lender as of such date shall be reduced by such Lender’s Pro Rata Share of such total reduction in the Term Loan Commitments.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No Borrower shall have any right to reborrow any portion of the Term Loan that is repaid or prepaid from time to time. Borrowers shall deliver to Agent and Term Loan Servicer a Notice of Borrowing with respect to each proposed Term Loan advance, such Notice of Borrowing to be delivered, (i) in the case of a Term Loan Tranche 1 borrowing, no later than 12:00 P.M. (Eastern time) on the Closing Date, or if such borrowing is not to occur on the Closing Date, no later than 12:00 P.M. (Eastern Time) ten (10) Business Days (or such shorter period as may be agreed by Agent, Term Loan Servicer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and the Lenders) prior to such borrowing, and (ii) in the case of a Term Loan Tranche 2 borrowing, no later than 12:00 P.M. (Eastern time) ten (10) Business Days (or such shorter period as may be agreed by Agent, Term Loan Servicer and the Lenders) prior to such proposed borrowing.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Scheduled Repayments; Mandatory Prepayments; Optional Prepayments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outstanding principal amount of each Term Loan shall become immediately due and payable in full on the Termination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There shall become due and payable and Borrowers shall prepay each Term Loan in the following amounts and at the following times: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Unless Agent shall otherwise consent in writing, subject to Borrower’s option to apply casualty proceeds in accordance with this Section 2.1(a)(ii)(B)(i), within five (5) Business Days of the date on which any Credit Party (or Agent as loss payee or assignee) receives any casualty proceeds in excess of $250,000 with respect to any Collateral, an amount equal to one hundred percent (100%) of such proceeds (net of out-of-pocket expenses and repayment of secured debt permitted under clause (c) of the definition of Permitted Debt and encumbering the property that suffered such casualty), or such lesser portion of such proceeds as Agent shall elect to apply to the Term Loans and related Obligations; </w:t>
      </w:r>
      <w:r>
        <w:rPr>
          <w:rFonts w:ascii="Times New Roman" w:hAnsi="Times New Roman"/>
          <w:i/>
          <w:color w:val="000000"/>
          <w:sz w:val="22"/>
        </w:rPr>
        <w:t xml:space="preserve">provided </w:t>
      </w:r>
      <w:r>
        <w:rPr>
          <w:rFonts w:ascii="Times New Roman" w:hAnsi="Times New Roman"/>
          <w:color w:val="000000"/>
          <w:sz w:val="22"/>
        </w:rPr>
        <w:t>that, so long as no Event of Default then exists, any such casualty proceeds in excess of $250,000 and less than $2,000,000 may instead be used by Borrowers within three hundred and sixty (360) days from the receipt of such proceeds to replace, repair, purchase or otherwise reinvest such proceeds in assets used or useful in the business of the Credit Parties;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without limiting Section 5.6(b) and unless Agent shall otherwise consent in writing, within five (5) Business Days of receipt by any Credit Party of the proceeds of any Asset Disposition that is not made in the Ordinary Course of Business or that pertains to any Collateral upon which a Borrowing Base is calculated, an amount equal to one hundred percent (100%) of the net cash proceeds of such Asset Disposition (net of out-of-pocket expenses and repayment of secured debt permitted under clause (c) of the definition of Permitted Debt and encumbering such asset), or such lesser portion as Agent shall elect to apply to the Obligations;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 amount equal to any interest that is deemed to be in excess of the Maximum Lawful Rate (as defined below) and is required to be applied to the reduction of the principal balance of the Loans by any Lender as provided for in Section 2.7.</w:t>
      </w:r>
    </w:p>
    <w:p>
      <w:pPr>
        <w:pStyle w:val="TextBody"/>
        <w:bidi w:val="0"/>
        <w:spacing w:before="0" w:after="240"/>
        <w:jc w:val="both"/>
        <w:rPr>
          <w:rFonts w:ascii="Times New Roman" w:hAnsi="Times New Roman"/>
          <w:sz w:val="20"/>
        </w:rPr>
      </w:pPr>
      <w:r>
        <w:rPr>
          <w:rFonts w:ascii="Times New Roman" w:hAnsi="Times New Roman"/>
          <w:color w:val="000000"/>
          <w:sz w:val="22"/>
        </w:rPr>
        <w:t>(C) Borrowers may from time to time, with at least ten (10) Business Days prior irrevocable</w:t>
      </w:r>
      <w:r>
        <w:rPr>
          <w:rFonts w:ascii="Times New Roman" w:hAnsi="Times New Roman"/>
          <w:color w:val="000000"/>
          <w:sz w:val="20"/>
        </w:rPr>
        <w:t xml:space="preserve"> </w:t>
      </w:r>
      <w:r>
        <w:rPr>
          <w:rFonts w:ascii="Times New Roman" w:hAnsi="Times New Roman"/>
          <w:color w:val="000000"/>
          <w:sz w:val="22"/>
        </w:rPr>
        <w:t>written notice (which notice may be conditioned on the closing of a refinancing or other applicable transaction)</w:t>
      </w:r>
      <w:r>
        <w:rPr>
          <w:rFonts w:ascii="Times New Roman" w:hAnsi="Times New Roman"/>
          <w:color w:val="000000"/>
          <w:sz w:val="20"/>
        </w:rPr>
        <w:t xml:space="preserve"> </w:t>
      </w:r>
      <w:r>
        <w:rPr>
          <w:rFonts w:ascii="Times New Roman" w:hAnsi="Times New Roman"/>
          <w:color w:val="000000"/>
          <w:sz w:val="22"/>
        </w:rPr>
        <w:t>to Agent, prepay the Term Loans</w:t>
      </w:r>
      <w:r>
        <w:rPr>
          <w:rFonts w:ascii="Times New Roman" w:hAnsi="Times New Roman"/>
          <w:color w:val="000000"/>
          <w:sz w:val="20"/>
        </w:rPr>
        <w:t xml:space="preserve"> </w:t>
      </w:r>
      <w:r>
        <w:rPr>
          <w:rFonts w:ascii="Times New Roman" w:hAnsi="Times New Roman"/>
          <w:color w:val="000000"/>
          <w:sz w:val="22"/>
        </w:rPr>
        <w:t>in whole but not in part</w:t>
      </w:r>
      <w:r>
        <w:rPr>
          <w:rFonts w:ascii="Times New Roman" w:hAnsi="Times New Roman"/>
          <w:color w:val="000000"/>
          <w:sz w:val="20"/>
        </w:rPr>
        <w:t xml:space="preserve"> </w:t>
      </w:r>
      <w:r>
        <w:rPr>
          <w:rFonts w:ascii="Times New Roman" w:hAnsi="Times New Roman"/>
          <w:color w:val="000000"/>
          <w:sz w:val="22"/>
        </w:rPr>
        <w:t xml:space="preserve">(other than mandatory partial prepayments required under this Agreement); </w:t>
      </w:r>
      <w:r>
        <w:rPr>
          <w:rFonts w:ascii="Times New Roman" w:hAnsi="Times New Roman"/>
          <w:i/>
          <w:color w:val="000000"/>
          <w:sz w:val="22"/>
        </w:rPr>
        <w:t xml:space="preserve">provided, </w:t>
      </w:r>
      <w:r>
        <w:rPr>
          <w:rFonts w:ascii="Times New Roman" w:hAnsi="Times New Roman"/>
          <w:color w:val="000000"/>
          <w:sz w:val="22"/>
        </w:rPr>
        <w:t>that such prepayment shall be accompanied by all</w:t>
      </w:r>
      <w:r>
        <w:rPr>
          <w:rFonts w:ascii="Times New Roman" w:hAnsi="Times New Roman"/>
          <w:color w:val="000000"/>
          <w:sz w:val="20"/>
        </w:rPr>
        <w:t xml:space="preserve"> </w:t>
      </w:r>
      <w:r>
        <w:rPr>
          <w:rFonts w:ascii="Times New Roman" w:hAnsi="Times New Roman"/>
          <w:color w:val="000000"/>
          <w:sz w:val="22"/>
        </w:rPr>
        <w:t>prepayment fees and any other</w:t>
      </w:r>
      <w:r>
        <w:rPr>
          <w:rFonts w:ascii="Times New Roman" w:hAnsi="Times New Roman"/>
          <w:color w:val="000000"/>
          <w:sz w:val="20"/>
        </w:rPr>
        <w:t xml:space="preserve"> </w:t>
      </w:r>
      <w:r>
        <w:rPr>
          <w:rFonts w:ascii="Times New Roman" w:hAnsi="Times New Roman"/>
          <w:color w:val="000000"/>
          <w:sz w:val="22"/>
        </w:rPr>
        <w:t>fees required hereunder</w:t>
      </w:r>
      <w:r>
        <w:rPr>
          <w:rFonts w:ascii="Times New Roman" w:hAnsi="Times New Roman"/>
          <w:color w:val="000000"/>
          <w:sz w:val="20"/>
        </w:rPr>
        <w:t xml:space="preserve"> </w:t>
      </w:r>
      <w:r>
        <w:rPr>
          <w:rFonts w:ascii="Times New Roman" w:hAnsi="Times New Roman"/>
          <w:color w:val="000000"/>
          <w:sz w:val="22"/>
        </w:rPr>
        <w:t>and any fees required under the Fee Letter or any Financing Document in connection with such prepayments.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All Prepayments</w:t>
      </w:r>
      <w:r>
        <w:rPr>
          <w:rFonts w:ascii="Times New Roman" w:hAnsi="Times New Roman"/>
          <w:color w:val="000000"/>
          <w:sz w:val="22"/>
        </w:rPr>
        <w:t>. Except as this Agreement may specifically provide otherwise, all prepayments of the Term Loan shall be applied by Term Loan Servicer to the Term Loans and related Obligations in inverse order of maturity. Each prepayment of the Term Loan shall be applied by Term Loan Servicer to reduce and prepay the principal balance of the earliest-made advance then outstanding in the inverse order of maturity of the scheduled payments with respect to such advance until such earliest-made advance is paid in full (and to the extent the total amount of any such partial prepayment shall exceed the outstanding principal balance of such earliest-made advance, the remainder of such prepayment shall be applied successively to the remaining advances under the Term Loan in the direct order of the respective advance dates in the manner provided for in this sentence).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Payments Generally</w:t>
      </w:r>
      <w:r>
        <w:rPr>
          <w:rFonts w:ascii="Times New Roman" w:hAnsi="Times New Roman"/>
          <w:color w:val="000000"/>
          <w:sz w:val="22"/>
        </w:rPr>
        <w:t>. All payments by or on behalf of each Borrower to Term Loan Servicer of principal, interest, fees, expenses, charges and all other amounts owing solely in respect of the Term Loans under the Financing Documents shall be made to the Term Loan Payment Account.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Revolving Loans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Revolving Loans and Borrowings</w:t>
      </w:r>
      <w:r>
        <w:rPr>
          <w:rFonts w:ascii="Times New Roman" w:hAnsi="Times New Roman"/>
          <w:color w:val="000000"/>
          <w:sz w:val="22"/>
        </w:rPr>
        <w:t>. On the terms and subject to the conditions set forth herein, each Lender severally agrees to make loans to Borrowers from time to time as set forth herein (each a “</w:t>
      </w:r>
      <w:r>
        <w:rPr>
          <w:rFonts w:ascii="Times New Roman" w:hAnsi="Times New Roman"/>
          <w:b/>
          <w:color w:val="000000"/>
          <w:sz w:val="22"/>
        </w:rPr>
        <w:t>Revolving Loan</w:t>
      </w:r>
      <w:r>
        <w:rPr>
          <w:rFonts w:ascii="Times New Roman" w:hAnsi="Times New Roman"/>
          <w:color w:val="000000"/>
          <w:sz w:val="20"/>
        </w:rPr>
        <w:t>”</w:t>
      </w:r>
      <w:r>
        <w:rPr>
          <w:rFonts w:ascii="Times New Roman" w:hAnsi="Times New Roman"/>
          <w:color w:val="000000"/>
          <w:sz w:val="22"/>
        </w:rPr>
        <w:t>, and collectively, “</w:t>
      </w:r>
      <w:r>
        <w:rPr>
          <w:rFonts w:ascii="Times New Roman" w:hAnsi="Times New Roman"/>
          <w:b/>
          <w:color w:val="000000"/>
          <w:sz w:val="22"/>
        </w:rPr>
        <w:t>Revolving Loans</w:t>
      </w:r>
      <w:r>
        <w:rPr>
          <w:rFonts w:ascii="Times New Roman" w:hAnsi="Times New Roman"/>
          <w:color w:val="000000"/>
          <w:sz w:val="20"/>
        </w:rPr>
        <w:t>”</w:t>
      </w:r>
      <w:r>
        <w:rPr>
          <w:rFonts w:ascii="Times New Roman" w:hAnsi="Times New Roman"/>
          <w:color w:val="000000"/>
          <w:sz w:val="22"/>
        </w:rPr>
        <w:t xml:space="preserve">) equal to such Lender’s Revolving Loan Commitment Percentage of Revolving Loans requested by Borrowers hereunder,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after giving effect thereto, the Revolving Loan Outstandings shall not exceed the Revolving Loan Limit. Borrowers shall deliver to Agent a Notice of Borrowing with respect to each proposed borrowing of a Revolving Loan, such Notice of Borrowing to be delivered before 1:00 p.m. (Eastern time) two (2) Business Days prior to the date of such proposed borrowing. Each Borrower and each Revolving Lender hereby authorizes Agent to make Revolving Loans on behalf of Revolving Lenders, at any time in its sole discretion, to pay principal owing in respect of the Revolving Loans and interest, fees, expenses and other charges payable by any Credit Party in respect of the Revolving Loans from time to time arising under this Agreement or any other Financing Document (it being understood that Agent shall not be entitled to make discretionary Revolving Loans to pay any amounts due and owing under or in respect of the Term Loans). The Borrowing Base shall be determined by Agent based on the most recent Borrowing Base Certificate delivered to Agent in accordance with this Agreement (absent manifest error) and such other information as may be available to Agent. Without limiting any other rights and remedies of Agent hereunder or under the other Financing Documents, the Revolving Loans shall be subject to Agent’s continuing right to withhold from the Borrowing Base reserves, and to increase and decrease such reserves from time to time, if and to the extent that in Agent’s Permitted Discretion, such reserves are necessary. For the avoidance of doubt, prior to the Deemed Borrowing Base Termination Date, Agent shall not impose or increase any reserve, change any eligibility criteria, or otherwise take any action (other than upon the Termination Date or pursuant to Section 10.2) that would reduce the Deemed Borrowing Base or maximum amount available to be borrowed under the Revolving Loans below the Deemed Borrowing Base.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Mandatory Revolving Loan Repayments and Prepayments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Revolving Loan Commitment shall terminate on the Termination Date. On such Termination Date, there shall become due, and Borrowers shall pay, the entire outstanding principal amount of each Revolving Loan, together with accrued and unpaid Obligations pertaining thereto incurred to, but excluding the Termination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such payment is made not later than 12:00 Noon (Eastern time) on the Termination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at any time the Revolving Loan Outstandings exceed the Revolving Loan Limit, then, on the next succeeding Business Day, Borrowers shall repay the Revolving Loans, in an aggregate amount equal to such excess.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Principal payable on account of Revolving Loans shall be payable by Borrowers to Agent (I) during any Cash Dominion Period, immediately upon the receipt by any Borrower or Agent of any payments on or proceeds from any of the Accounts, to the extent of such payments or proceeds, as further described in Section 2.11 below, and (II) in full on the Termination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Optional Prepayments</w:t>
      </w:r>
      <w:r>
        <w:rPr>
          <w:rFonts w:ascii="Times New Roman" w:hAnsi="Times New Roman"/>
          <w:color w:val="000000"/>
          <w:sz w:val="22"/>
        </w:rPr>
        <w:t xml:space="preserve">. Borrowers may from time to time prepay the Revolving Loans in whole or in part;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such partial prepayment shall be in an amount equal to $100,000 or a higher integral multiple of $25,000 (or, if less, the principal amount of Revolving Loans outstanding). For the avoidance of doubt, nothing in this clause shall permit termination of the Revolving Loan Commitment by Borrower other than in accordance with Section 2.12(b).</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Payments Generally</w:t>
      </w:r>
      <w:r>
        <w:rPr>
          <w:rFonts w:ascii="Times New Roman" w:hAnsi="Times New Roman"/>
          <w:color w:val="000000"/>
          <w:sz w:val="22"/>
        </w:rPr>
        <w:t>. All payments by or on behalf of each Borrower to Agent under the Financing Documents (other than those described in Section 2.1(a)(iv) above) shall be made to the Revolving Loan Payment Account.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Additional Revolving Loan Tranches</w:t>
      </w:r>
      <w:r>
        <w:rPr>
          <w:rFonts w:ascii="Times New Roman" w:hAnsi="Times New Roman"/>
          <w:color w:val="000000"/>
          <w:sz w:val="22"/>
        </w:rPr>
        <w:t xml:space="preserve">. After the Closing Date, subject to the satisfaction of the Revolving Loan Commitment Increase Conditions, the Borrower Representative may elect, in its sole discretion and without consent of the Lenders, to increase the Revolving Loan Commitment by providing a written request (which such request shall state the aggregate amount of the Additional Tranche requested (which shall be no less than $5,000,000) and shall be made at least fifteen (15) days prior to the proposed effective date of such Additional Tranche) to Agent to activate an Additional Tranche and such Additional Tranche shall become effective on the Applicable Commitment Increase Date so long as the Revolving Loan Commitment Increase Conditions have been satisfied;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in no event shall the Borrower Representative be permitted to activate more than two (2) Additional Tranches pursuant to this Section 2.1(c) and in no event shall the aggregate amount of Additional Tranches activated pursuant to the Section 2.1(c) during the term of this Agreement exceed $10,000,000. Upon activating an Additional Tranche, each Lender’s Revolving Loan Commitment shall increase by a proportionate amount so as to maintain the same Pro Rata Share of the Revolving Loan Commitment as such Lender held immediately prior to such activation.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2.2 </w:t>
      </w:r>
      <w:r>
        <w:rPr>
          <w:rFonts w:ascii="Times New Roman" w:hAnsi="Times New Roman"/>
          <w:color w:val="000000"/>
          <w:sz w:val="22"/>
          <w:u w:val="single"/>
        </w:rPr>
        <w:t>Interest, Interest Calculations and Certain Fees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Interest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From and following the Closing Date, except as expressly set forth in this Agreement, Loans and the other Obligations shall bear interest at the sum of the SOFR Interest Rate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the Applicable Margin. Interest on the Loans shall be paid monthly in arrears on the first (1st) Business Day of each month and on the maturity of such Loans, whether by acceleration or otherwise. Interest on all other Obligations shall be payable upon demand.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For purposes of calculating interest, all funds transferred to the Revolving Loan Payment Account during any Cash Dominion Period for application to any Revolving Loans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shall be subject to a one (1) Business Day clearance period and all interest accruing on such funds during such clearance period shall accrue for the benefit of Agent, and not for the benefit of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In the event one or more of the following events occurs with respect to Term SOFR: (a) a public statement or publication of information by or on behalf of the SOFR Administrator announcing that the SOFR Administrator has ceased or will cease to provide Term SOFR for a 1-month period, permanently or indefinitely, provided that, at the time of such statement or publication, there is no successor administrator that will continue to provide Term SOFR for a 1-month period; (b) a public statement or publication of information by the regulatory supervisor for the SOFR Administrator, the Federal Reserve Board, the Federal Reserve Bank of New York, an insolvency official or resolution authority with jurisdiction over the SOFR Administrator, or a court or an entity with similar insolvency or resolution authority, which states that the SOFR Administrator has ceased or will cease to provide Term SOFR for a 1-month period permanently or indefinitely, provided that, at the time of such statement or publication, there is no successor administrator that will continue to provide Term SOFR for a 1-month period; or (c) a public statement or publication of information by the regulatory supervisor for the SOFR Administrator announcing that Term SOFR for a 1-month period is no longer, or as of a specified future date will no longer be, representative and Agent has provided Borrower Representative with notice of the same, any outstanding affected SOFR Loans will be deemed to have been converted to Base Rate Loan at the end of the applicable Interest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In connection with Term SOFR, Agent will have the right to make Conforming Changes from time to time (in consultation with Borrower Representative)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effectiveness of any Conforming Changes.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Fee Letter</w:t>
      </w:r>
      <w:r>
        <w:rPr>
          <w:rFonts w:ascii="Times New Roman" w:hAnsi="Times New Roman"/>
          <w:color w:val="000000"/>
          <w:sz w:val="22"/>
        </w:rPr>
        <w:t>. In addition to the other fees set forth herein, the Borrowers agree to pay Agent or Term Loan Servicer, as applicable, the fees set forth in the Fee Letter.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Minimum Balance Fee</w:t>
      </w:r>
      <w:r>
        <w:rPr>
          <w:rFonts w:ascii="Times New Roman" w:hAnsi="Times New Roman"/>
          <w:color w:val="000000"/>
          <w:sz w:val="22"/>
        </w:rPr>
        <w:t>. On the first Business Day of the first calendar month following the end of each fiscal quarter, the Borrowers agree to pay to Agent, for the ratable benefit of all Revolving Loan Lenders, the sum of the Minimum Balance Fee, if any, due for the prior fiscal quarter. The Minimum Balance Fee shall be deemed fully earned when due and payable and, once paid, shall be non-refundable.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Deferred Revolving Loan Origination Fee</w:t>
      </w:r>
      <w:r>
        <w:rPr>
          <w:rFonts w:ascii="Times New Roman" w:hAnsi="Times New Roman"/>
          <w:color w:val="000000"/>
          <w:sz w:val="22"/>
        </w:rPr>
        <w:t>. If Lenders’ funding obligations in respect of the Revolving Loan Commitment under this Agreement terminate or are permanently reduced for any reason (whether by voluntary termination by Borrowers, by reason of the occurrence of an Event of Default or the automatic termination of the Revolving Loan Commitments (including any automatic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termination due to the occurrence of an Event of Default described in Section 10.1(f)) or otherwise) prior to the Maturity Date, Borrowers shall pay to Agent on the date of such reduction, for the benefit of all Lenders committed to make Revolving Loans on the Closing Date, a fee as compensation for the costs of such Lenders being prepared to make funds available to Borrowers under this Agreement, equal to an amount determined by </w:t>
      </w:r>
      <w:r>
        <w:rPr>
          <w:rFonts w:ascii="Times New Roman" w:hAnsi="Times New Roman"/>
          <w:i/>
          <w:color w:val="000000"/>
          <w:sz w:val="22"/>
        </w:rPr>
        <w:t>multiplying</w:t>
      </w:r>
      <w:r>
        <w:rPr>
          <w:rFonts w:ascii="Times New Roman" w:hAnsi="Times New Roman"/>
          <w:color w:val="000000"/>
          <w:sz w:val="20"/>
        </w:rPr>
        <w:t xml:space="preserve"> </w:t>
      </w:r>
      <w:r>
        <w:rPr>
          <w:rFonts w:ascii="Times New Roman" w:hAnsi="Times New Roman"/>
          <w:color w:val="000000"/>
          <w:sz w:val="22"/>
        </w:rPr>
        <w:t xml:space="preserve">the amount of the Revolving Loan Commitment so terminated or permanently reduced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the following applicable percentage amount: (w) three percent (3.00%) for the first year following the Closing Date, (x) two percent (2.00%) for the second year following the Closing Date, (y) one percent (1.00%) for the third year following the Closing Date, and (z) zero percent (0.00%) thereafter. The fee payable pursuant to this paragraph shall not apply to or be assessed upon any permanent reduction and termination of all Revolving Loan Commitments by Borrower as a result of a refinancing of the Revolving Loan Commitments in full prior to the Maturity Date by Agent, Lenders, or an Affiliate of Agent, or an Affiliate of Lenders. All fees payable pursuant to this paragraph shall be deemed fully-earned on of the Closing Date and non-refundable once paid.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Prepayment Fee</w:t>
      </w:r>
      <w:r>
        <w:rPr>
          <w:rFonts w:ascii="Times New Roman" w:hAnsi="Times New Roman"/>
          <w:color w:val="000000"/>
          <w:sz w:val="22"/>
        </w:rPr>
        <w:t>. If any advance under the Term Loan is prepaid at any time, in whole or in part, for any reason (whether by voluntary prepayment by Borrower, by mandatory prepayment by Borrower, by reason of the occurrence of an Event of Default or otherwise, or if the Term Loan shall become accelerated (including any automatic acceleration due to the occurrence of an Event of Default described in Section 10.1(f)) or otherwise) and due and payable in full, Borrowers shall pay to Term Loan Servicer, for the benefit of all Term Lenders in accordance with their Pro Rata Shares, as compensation for the costs of such Lenders making funds available to Borrowers under this Agreement, a prepayment fee (the “</w:t>
      </w:r>
      <w:r>
        <w:rPr>
          <w:rFonts w:ascii="Times New Roman" w:hAnsi="Times New Roman"/>
          <w:b/>
          <w:color w:val="000000"/>
          <w:sz w:val="22"/>
        </w:rPr>
        <w:t>Prepayment Fee</w:t>
      </w:r>
      <w:r>
        <w:rPr>
          <w:rFonts w:ascii="Times New Roman" w:hAnsi="Times New Roman"/>
          <w:color w:val="000000"/>
          <w:sz w:val="20"/>
        </w:rPr>
        <w:t>”</w:t>
      </w:r>
      <w:r>
        <w:rPr>
          <w:rFonts w:ascii="Times New Roman" w:hAnsi="Times New Roman"/>
          <w:color w:val="000000"/>
          <w:sz w:val="22"/>
        </w:rPr>
        <w:t xml:space="preserve">) calculated in accordance with this subsection. The Prepayment Fee in respect of the Term Loans shall be equal to an amount determined by </w:t>
      </w:r>
      <w:r>
        <w:rPr>
          <w:rFonts w:ascii="Times New Roman" w:hAnsi="Times New Roman"/>
          <w:i/>
          <w:color w:val="000000"/>
          <w:sz w:val="22"/>
        </w:rPr>
        <w:t>multiplying</w:t>
      </w:r>
      <w:r>
        <w:rPr>
          <w:rFonts w:ascii="Times New Roman" w:hAnsi="Times New Roman"/>
          <w:color w:val="000000"/>
          <w:sz w:val="20"/>
        </w:rPr>
        <w:t xml:space="preserve"> </w:t>
      </w:r>
      <w:r>
        <w:rPr>
          <w:rFonts w:ascii="Times New Roman" w:hAnsi="Times New Roman"/>
          <w:color w:val="000000"/>
          <w:sz w:val="22"/>
        </w:rPr>
        <w:t xml:space="preserve">the amount being prepaid (or required to be prepaid, if such amount is greater) </w:t>
      </w:r>
      <w:r>
        <w:rPr>
          <w:rFonts w:ascii="Times New Roman" w:hAnsi="Times New Roman"/>
          <w:i/>
          <w:color w:val="000000"/>
          <w:sz w:val="22"/>
        </w:rPr>
        <w:t>by</w:t>
      </w:r>
      <w:r>
        <w:rPr>
          <w:rFonts w:ascii="Times New Roman" w:hAnsi="Times New Roman"/>
          <w:color w:val="000000"/>
          <w:sz w:val="20"/>
        </w:rPr>
        <w:t xml:space="preserve"> </w:t>
      </w:r>
      <w:r>
        <w:rPr>
          <w:rFonts w:ascii="Times New Roman" w:hAnsi="Times New Roman"/>
          <w:color w:val="000000"/>
          <w:sz w:val="22"/>
        </w:rPr>
        <w:t>the following applicable percentage amount: (w) three percent (3.00%) for the first year following the Closing Date, (x) two percent (2.00%) for the second year following the Closing Date, (y) one percent (1.00%) for the third year following the Closing Date, and (z) zero percent (0.00%) thereafter. The Prepayment Fee shall not apply to or be assessed upon any prepayment made by Borrowers if such payments were required by Agent to be made (x) pursuant to Section 2.1(a)(ii)(B) subpart (i) (relating to casualty proceeds) or subpart (iii) (relating to payments exceeding the Maximum Lawful Rate) or (y) due to the Term Loans being paid in full as a result of a refinancing of the Term Loans in full prior to the Maturity Date by Agent, Lenders, an Affiliate of Agent or an Affiliate of Lenders. All fees payable pursuant to this paragraph shall be deemed fully earned as of the Closing Date and non-refundable once paid.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Audit Fees</w:t>
      </w:r>
      <w:r>
        <w:rPr>
          <w:rFonts w:ascii="Times New Roman" w:hAnsi="Times New Roman"/>
          <w:color w:val="000000"/>
          <w:sz w:val="22"/>
        </w:rPr>
        <w:t>. Borrowers shall pay to Agent, for its own account and not for the benefit of any other Lenders, all reasonable and documented, out-of-pocket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 subject to the limitations set forth in Section 4.6 (in the case of audits and field examinations) and Section 4.14(c) (in the case of valuations or appraisals of the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Wire Fees</w:t>
      </w:r>
      <w:r>
        <w:rPr>
          <w:rFonts w:ascii="Times New Roman" w:hAnsi="Times New Roman"/>
          <w:color w:val="000000"/>
          <w:sz w:val="22"/>
        </w:rPr>
        <w:t>. Borrowers shall pay to Agent or Term Loan Servicer, for its own account and not for the account of any other Lenders, on written demand, fees for incoming and outgoing wires made for the account of Borrowers, such fees to be based on Agent’s or Term Loan Servicer’s, as applicable, then current wire fee schedule (available upon written request of the Borrowers).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Late Charges</w:t>
      </w:r>
      <w:r>
        <w:rPr>
          <w:rFonts w:ascii="Times New Roman" w:hAnsi="Times New Roman"/>
          <w:color w:val="000000"/>
          <w:sz w:val="22"/>
        </w:rPr>
        <w:t>. If payments of principal (other than a final installment of principal upon the Termination Date), interest due on the Obligations, or any other amounts due hereunder or under the other Financing Documents are not timely made and remain overdue for a period of five (5) days,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Borrowers, without notice or demand by Agent, promptly shall pay to Agent, for its own account and not for the benefit of any other Lenders, as additional compensation to Agent in administering the Obligations, an amount equal to two percent (2.0%) of each delinquent payment.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Computation of Interest and Related Fees</w:t>
      </w:r>
      <w:r>
        <w:rPr>
          <w:rFonts w:ascii="Times New Roman" w:hAnsi="Times New Roman"/>
          <w:color w:val="000000"/>
          <w:sz w:val="22"/>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Automated Clearing House Payments</w:t>
      </w:r>
      <w:r>
        <w:rPr>
          <w:rFonts w:ascii="Times New Roman" w:hAnsi="Times New Roman"/>
          <w:color w:val="000000"/>
          <w:sz w:val="22"/>
        </w:rPr>
        <w:t>. If Agent or Term Loan Servicer (or their respective designated servicers or trustees on behalf of a securitization vehicle) so elects, monthly payments of principal, interest, fees, expenses or any other amounts due and owing from Borrower to Agent or Term Loan Servicer hereunder shall be paid to Agent or Term Loan Servicer, as applicable,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Benchmark Replacement Setting; Conforming Changes.</w:t>
      </w:r>
    </w:p>
    <w:p>
      <w:pPr>
        <w:pStyle w:val="TextBody"/>
        <w:bidi w:val="0"/>
        <w:spacing w:before="0" w:after="240"/>
        <w:jc w:val="both"/>
        <w:rPr>
          <w:rFonts w:ascii="Times New Roman" w:hAnsi="Times New Roman"/>
          <w:sz w:val="20"/>
        </w:rPr>
      </w:pPr>
      <w:r>
        <w:rPr>
          <w:rFonts w:ascii="Times New Roman" w:hAnsi="Times New Roman"/>
          <w:color w:val="000000"/>
          <w:sz w:val="22"/>
        </w:rPr>
        <w:t>(i) Upon the occurrence of a Benchmark Transition Event, Agent and Borrowers may amend this Agreement to replace the then-current Benchmark with a Benchmark Replacement. Any such amendment will become effective at 5:00 p.m. (New York City time) on the fifth (5th) Business Day after Agent has posted such proposed amendment to all Lenders and Borrower so long as Agent has not received, by such time, written notice of objection thereto from Lenders comprising the Required Lenders. No such replacement will occur prior to the applicable Benchmark Transition Start Date. In connection with the implementation of a Benchmark Replacement, Agent will have the right to make Conforming Changes from time to time and, notwithstanding anything to the contrary herein or in any other Financing Document, any amendments implementing such Conforming Changes will become effective without any further action or consent of any other party to this Agreement or any other Financing Document. Agent will promptly notify Borrower Representative and the Lenders of the implementation of any Benchmark Replacement and the effectiveness of any Conforming Changes.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Any determination, decision or election that may be made by Agent or, if applicable, any Lender (or group of Lenders) pursuant to this Section will be conclusive and binding absent manifest error and may be made in its or their sole discretion and without consent from any other party to this Agreement or any other Financing Document, except, in each case, as expressly required pursuant to this Section. Notwithstanding anything to the contrary herein or in any other Financing Document, at any time, (a) if the then-current Benchmark is a term rate (including Term SOFR)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or will be no longer representative, then Agent may 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or (ii) is not, or is no longer, subject to an announcement that it is or will no longer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representative for a Benchmark, then Agent may modify the definition of “Interest Period” (or any similar or analogous definition) for all Benchmark settings at or after such time to reinstate such previously removed tenor. Agent will promptly notify Borrower Representative of the removal or reinstatement of any tenor of a Benchmark pursuant to this Section.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Upon Borrower Representative’s receipt of notice of the commencement of a Benchmark Unavailability Period, any outstanding affected Loans will be deemed to have been converted into Base Rate Loans at the end of the applicable Interest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2.3 </w:t>
      </w:r>
      <w:r>
        <w:rPr>
          <w:rFonts w:ascii="Times New Roman" w:hAnsi="Times New Roman"/>
          <w:color w:val="000000"/>
          <w:sz w:val="22"/>
          <w:u w:val="single"/>
        </w:rPr>
        <w:t>Notes</w:t>
      </w:r>
      <w:r>
        <w:rPr>
          <w:rFonts w:ascii="Times New Roman" w:hAnsi="Times New Roman"/>
          <w:color w:val="000000"/>
          <w:sz w:val="22"/>
        </w:rPr>
        <w:t>. The portion of the Loans made by each Lender shall be evidenced, if so requested by such Lender, by one or more promissory notes executed by Borrowers on a joint and several basis (each, a “</w:t>
      </w:r>
      <w:r>
        <w:rPr>
          <w:rFonts w:ascii="Times New Roman" w:hAnsi="Times New Roman"/>
          <w:b/>
          <w:color w:val="000000"/>
          <w:sz w:val="22"/>
        </w:rPr>
        <w:t>Note</w:t>
      </w:r>
      <w:r>
        <w:rPr>
          <w:rFonts w:ascii="Times New Roman" w:hAnsi="Times New Roman"/>
          <w:color w:val="000000"/>
          <w:sz w:val="20"/>
        </w:rPr>
        <w:t>”</w:t>
      </w:r>
      <w:r>
        <w:rPr>
          <w:rFonts w:ascii="Times New Roman" w:hAnsi="Times New Roman"/>
          <w:color w:val="000000"/>
          <w:sz w:val="22"/>
        </w:rPr>
        <w:t>) in an original principal amount equal to such Lender’s Revolving Loan Commitment Amount or Term Loan Commitments. Upon activation of an Additional Tranche in accordance with Section 2.1(c) hereof, Borrowers shall deliver to each Lender to whom Borrowers previously delivered a Note, a restated Note evidencing such Lender’s Revolving Loan Commitment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2.4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2.5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2.6 </w:t>
      </w:r>
      <w:r>
        <w:rPr>
          <w:rFonts w:ascii="Times New Roman" w:hAnsi="Times New Roman"/>
          <w:color w:val="000000"/>
          <w:sz w:val="22"/>
          <w:u w:val="single"/>
        </w:rPr>
        <w:t>General Provisions Regarding Payment; Loan Accounts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All payments to be made by each Credit Party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a Payment Account before 1:30 p.m. (Eastern time) on any date shall be deemed received by Agent or Term Loan Servicer, as applicable, on such date, and any payments received in the applicable Payment Account at or after 1:30 p.m. (Eastern time) on any date shall be deemed received by Agent or Term Loan Servicer, as applicable, on the next succeeding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Agent shall maintain a revolving loan account (the “</w:t>
      </w:r>
      <w:r>
        <w:rPr>
          <w:rFonts w:ascii="Times New Roman" w:hAnsi="Times New Roman"/>
          <w:b/>
          <w:color w:val="000000"/>
          <w:sz w:val="22"/>
        </w:rPr>
        <w:t>Revolving Loan Account</w:t>
      </w:r>
      <w:r>
        <w:rPr>
          <w:rFonts w:ascii="Times New Roman" w:hAnsi="Times New Roman"/>
          <w:color w:val="000000"/>
          <w:sz w:val="20"/>
        </w:rPr>
        <w:t>”</w:t>
      </w:r>
      <w:r>
        <w:rPr>
          <w:rFonts w:ascii="Times New Roman" w:hAnsi="Times New Roman"/>
          <w:color w:val="000000"/>
          <w:sz w:val="22"/>
        </w:rPr>
        <w:t xml:space="preserve">) on its books to record Revolving Loans and other extensions of credit made by the Revolving Lenders hereunder or under any other Financing Document, and all payments thereon made by each Borrower. All entries in the Revolving Loan Account shall be made in accordance with Agent’s customary accounting practices as in effect from time to time. The balance in the Revolving Loan Account, as recorded in Agent’s books and records at any time shall be conclusive and binding evidence of the amounts due and owing to Agent by each Borrower absent manifest error;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failure to so record or any error in so recording shall not limit or otherwise affect any Borrower’s duty to pay all amounts owing hereunder or under any other Financing Document. Agent shall endeavor to provide Borrowers with a monthly statement regarding the Revolving Loan Account (but none of Agent or any Lender shall have any liability if Agent shall fail to provide any such statement).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 Term Loan Servicer shall maintain a term loan account (the “</w:t>
      </w:r>
      <w:r>
        <w:rPr>
          <w:rFonts w:ascii="Times New Roman" w:hAnsi="Times New Roman"/>
          <w:b/>
          <w:color w:val="000000"/>
          <w:sz w:val="22"/>
        </w:rPr>
        <w:t>Term Loan Account</w:t>
      </w:r>
      <w:r>
        <w:rPr>
          <w:rFonts w:ascii="Times New Roman" w:hAnsi="Times New Roman"/>
          <w:color w:val="000000"/>
          <w:sz w:val="20"/>
        </w:rPr>
        <w:t>”</w:t>
      </w:r>
      <w:r>
        <w:rPr>
          <w:rFonts w:ascii="Times New Roman" w:hAnsi="Times New Roman"/>
          <w:color w:val="000000"/>
          <w:sz w:val="22"/>
        </w:rPr>
        <w:t xml:space="preserve">) on its books to record Term Loans and other extensions of credit made by the Term Lenders hereunder or under any other Financing Document, and all payments thereon made by each Borrower. All entries in the Term Loan Account shall be made in accordance with Term Loan Servicer’s customary accounting practices as in effect from time to time. The balance in the Term Loan Account, as recorded in Term Loan Servicer’s books and records at any time shall be conclusive and binding evidence of the amounts due and owing to Term Loan Servicer by each Borrower absent manifest error;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failure to so record or any error in so recording shall not limit or otherwise affect any Borrower’s duty to pay all amounts owing hereunder or under any other Financing Document. Term Loan Servicer shall endeavor to provide Borrowers with a monthly statement regarding the Term Loan Account (but none of Term Loan Servicer or any Lender shall have any liability if Term Loan Servicer shall fail to provide any such statement). Unless any Borrower notifies Term Loan Servicer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2.7 </w:t>
      </w:r>
      <w:r>
        <w:rPr>
          <w:rFonts w:ascii="Times New Roman" w:hAnsi="Times New Roman"/>
          <w:color w:val="000000"/>
          <w:sz w:val="22"/>
          <w:u w:val="single"/>
        </w:rPr>
        <w:t>Maximum Interest</w:t>
      </w:r>
      <w:r>
        <w:rPr>
          <w:rFonts w:ascii="Times New Roman" w:hAnsi="Times New Roman"/>
          <w:color w:val="000000"/>
          <w:sz w:val="22"/>
        </w:rPr>
        <w:t>. 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Times New Roman" w:hAnsi="Times New Roman"/>
          <w:b/>
          <w:color w:val="000000"/>
          <w:sz w:val="22"/>
        </w:rPr>
        <w:t>Stated Rate</w:t>
      </w:r>
      <w:r>
        <w:rPr>
          <w:rFonts w:ascii="Times New Roman" w:hAnsi="Times New Roman"/>
          <w:color w:val="000000"/>
          <w:sz w:val="20"/>
        </w:rPr>
        <w:t>”</w:t>
      </w:r>
      <w:r>
        <w:rPr>
          <w:rFonts w:ascii="Times New Roman" w:hAnsi="Times New Roman"/>
          <w:color w:val="000000"/>
          <w:sz w:val="22"/>
        </w:rPr>
        <w:t>) would exceed the highest rate of interest permitted under any applicable law to be charged (the “</w:t>
      </w:r>
      <w:r>
        <w:rPr>
          <w:rFonts w:ascii="Times New Roman" w:hAnsi="Times New Roman"/>
          <w:b/>
          <w:color w:val="000000"/>
          <w:sz w:val="22"/>
        </w:rPr>
        <w:t>Maximum Lawful Rate</w:t>
      </w:r>
      <w:r>
        <w:rPr>
          <w:rFonts w:ascii="Times New Roman" w:hAnsi="Times New Roman"/>
          <w:color w:val="000000"/>
          <w:sz w:val="20"/>
        </w:rPr>
        <w:t>”</w:t>
      </w:r>
      <w:r>
        <w:rPr>
          <w:rFonts w:ascii="Times New Roman" w:hAnsi="Times New Roman"/>
          <w:color w:val="000000"/>
          <w:sz w:val="22"/>
        </w:rPr>
        <w:t xml:space="preserve">), then for so long as the Maximum Lawful Rate would be so exceeded, the rate of interest payable shall be equal to the Maximum Lawful Rate;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Times New Roman" w:hAnsi="Times New Roman"/>
          <w:i/>
          <w:color w:val="000000"/>
          <w:sz w:val="22"/>
        </w:rPr>
        <w:t>divided by</w:t>
      </w:r>
      <w:r>
        <w:rPr>
          <w:rFonts w:ascii="Times New Roman" w:hAnsi="Times New Roman"/>
          <w:color w:val="000000"/>
          <w:sz w:val="20"/>
        </w:rPr>
        <w:t xml:space="preserve"> </w:t>
      </w:r>
      <w:r>
        <w:rPr>
          <w:rFonts w:ascii="Times New Roman" w:hAnsi="Times New Roman"/>
          <w:color w:val="000000"/>
          <w:sz w:val="22"/>
        </w:rPr>
        <w:t>the number of days in the year in which such calculation is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2.8 </w:t>
      </w:r>
      <w:r>
        <w:rPr>
          <w:rFonts w:ascii="Times New Roman" w:hAnsi="Times New Roman"/>
          <w:color w:val="000000"/>
          <w:sz w:val="22"/>
          <w:u w:val="single"/>
        </w:rPr>
        <w:t>Taxes; Capital Adequacy; Increased Costs; Inability to Determine Rates; Illegality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 Indemnified Tax, then the Credit Parties shall pay such additional amount or amounts as is necessary to ensure that the net amount actually received by Agent, Term Loan Servicer and each Lender will equal the full amount such recipient would have received had no such withholding or deduction been required (including, without limitation, such withholdings and deductions applicable to additional sums payable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this Section 2.8). After payment of any Tax by a Credit Party to a Governmental Authority pursuant to this Section 2.8, such Credit Party shall promptly forward to Agent and Term Loan Servicer the original or a certified copy of an official receipt, a copy of the return reporting such payment, or other documentation satisfactory to Agent and Term Loan Servicer evidencing such payment to such authority. Credit Parties shall timely pay to the relevant Governmental Authority in accordance with applicable Law, or at the option of Agent or Term Loan Servicer, as applicable, timely reimburse Agent or Term Loan Servicer, as applicable for the payment of, any Other Taxes.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Credit Parties shall indemnify Agent, Term Loan Servicer and Lenders, within ten (10) days after demand thereof, for the full amount of any Indemnified Taxes (including Indemnified Taxes imposed or asserted on or attributable to amounts payable under this Section 2.8) payable or paid by Agent, Term Loan Servicer or any Lender or required to be withheld or deducted from a payment to Agent, Term Loan Servicer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and Term Loan Servicer), or by Agent or Term Loan Servicer, as applicable, on its own behalf or on behalf of a Lender,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(c) Any Lender that is entitled to an exemption from or reduction of withholding Tax with respect to payments made under any Financing Document shall deliver to Borrower Representative, Agent and Term Loan Servicer, at the time or times prescribed by applicable Law or reasonably requested by Borrower Representative, Agent or Term Loan Servicer, such properly completed and executed documentation reasonably requested by Borrower Representative, Agent or Term Loan Servicer as will permit such payments to be made without withholding or at a reduced rate of withholding. In addition, any Lender, if reasonably requested by Borrower Representative, Agent or Term Loan Servicer, shall deliver such other documentation prescribed by applicable Law or reasonably requested by Borrowers, Agent or Term Loan Servicer as will enable Borrowers, Agent or Term Loan Servicer, as applicable,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Each Lender that is not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(each such Lender a “</w:t>
      </w:r>
      <w:r>
        <w:rPr>
          <w:rFonts w:ascii="Times New Roman" w:hAnsi="Times New Roman"/>
          <w:b/>
          <w:color w:val="000000"/>
          <w:sz w:val="22"/>
        </w:rPr>
        <w:t>Foreign Lender</w:t>
      </w:r>
      <w:r>
        <w:rPr>
          <w:rFonts w:ascii="Times New Roman" w:hAnsi="Times New Roman"/>
          <w:color w:val="000000"/>
          <w:sz w:val="20"/>
        </w:rPr>
        <w:t>”</w:t>
      </w:r>
      <w:r>
        <w:rPr>
          <w:rFonts w:ascii="Times New Roman" w:hAnsi="Times New Roman"/>
          <w:color w:val="000000"/>
          <w:sz w:val="22"/>
        </w:rPr>
        <w:t>) shall, to the extent permitted by Law, execute and deliver to Borrower Representative, Agent and Term Loan Servicer (in such number of copies as shall be requested by the recipient) on or prior to the date on which such Foreign Lender becomes a Lender under this Agreement (and from time to time thereafter upon the reasonable request of the Borrower Representative, Agent or Term Loan Servicer)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w:t>
      </w:r>
      <w:r>
        <w:rPr>
          <w:rFonts w:ascii="Times New Roman" w:hAnsi="Times New Roman"/>
          <w:b/>
          <w:color w:val="000000"/>
          <w:sz w:val="22"/>
        </w:rPr>
        <w:t>IRS</w:t>
      </w:r>
      <w:r>
        <w:rPr>
          <w:rFonts w:ascii="Times New Roman" w:hAnsi="Times New Roman"/>
          <w:color w:val="000000"/>
          <w:sz w:val="20"/>
        </w:rPr>
        <w:t>”</w:t>
      </w:r>
      <w:r>
        <w:rPr>
          <w:rFonts w:ascii="Times New Roman" w:hAnsi="Times New Roman"/>
          <w:color w:val="000000"/>
          <w:sz w:val="22"/>
        </w:rPr>
        <w:t>) Forms W-8BEN or W-8BEN-E (or successor form) establishing an exemption from, or reduction of, U.S. federal withholding tax pursuant to the “interest” article of such tax treaty and (y) with respect to any other applicable payments under any Financing Documents, two (2) properly completed and executed originals of IRS Forms W-8BEN or W-8BEN-E (or successor form)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establishing an exemption from, or reduction of, U.S. federal withholding tax pursuant to the “business profits” or “other income” article of such tax treaty; (B) two (2) executed originals of IRS Form W-8ECI (or successor form); (C) in the case of a Foreign Lender claiming the benefits of the exemption for portfolio interest under Section 881(c) of the Code, (x) a certificate substantially in the form of </w:t>
      </w:r>
      <w:r>
        <w:rPr>
          <w:rFonts w:ascii="Times New Roman" w:hAnsi="Times New Roman"/>
          <w:color w:val="000000"/>
          <w:sz w:val="22"/>
          <w:u w:val="single"/>
        </w:rPr>
        <w:t>Exhibit E-1</w:t>
      </w:r>
      <w:r>
        <w:rPr>
          <w:rFonts w:ascii="Times New Roman" w:hAnsi="Times New Roman"/>
          <w:color w:val="000000"/>
          <w:sz w:val="20"/>
        </w:rPr>
        <w:t xml:space="preserve"> </w:t>
      </w:r>
      <w:r>
        <w:rPr>
          <w:rFonts w:ascii="Times New Roman" w:hAnsi="Times New Roman"/>
          <w:color w:val="000000"/>
          <w:sz w:val="22"/>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hAnsi="Times New Roman"/>
          <w:b/>
          <w:color w:val="000000"/>
          <w:sz w:val="22"/>
        </w:rPr>
        <w:t>U.S. Tax Compliance Certificate</w:t>
      </w:r>
      <w:r>
        <w:rPr>
          <w:rFonts w:ascii="Times New Roman" w:hAnsi="Times New Roman"/>
          <w:color w:val="000000"/>
          <w:sz w:val="20"/>
        </w:rPr>
        <w:t>”</w:t>
      </w:r>
      <w:r>
        <w:rPr>
          <w:rFonts w:ascii="Times New Roman" w:hAnsi="Times New Roman"/>
          <w:color w:val="000000"/>
          <w:sz w:val="22"/>
        </w:rPr>
        <w:t xml:space="preserve">) and (y) 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w:t>
      </w:r>
      <w:r>
        <w:rPr>
          <w:rFonts w:ascii="Times New Roman" w:hAnsi="Times New Roman"/>
          <w:color w:val="000000"/>
          <w:sz w:val="22"/>
          <w:u w:val="single"/>
        </w:rPr>
        <w:t>Exhibit E-2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E-3</w:t>
      </w:r>
      <w:r>
        <w:rPr>
          <w:rFonts w:ascii="Times New Roman" w:hAnsi="Times New Roman"/>
          <w:color w:val="000000"/>
          <w:sz w:val="22"/>
        </w:rPr>
        <w:t xml:space="preserve">, IRS Form W-9 (or successor form), and/or other certification documents from each beneficial owner, as applicable;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color w:val="000000"/>
          <w:sz w:val="22"/>
          <w:u w:val="single"/>
        </w:rPr>
        <w:t>Exhibit E-4</w:t>
      </w:r>
      <w:r>
        <w:rPr>
          <w:rFonts w:ascii="Times New Roman" w:hAnsi="Times New Roman"/>
          <w:color w:val="000000"/>
          <w:sz w:val="20"/>
        </w:rPr>
        <w:t xml:space="preserve"> </w:t>
      </w:r>
      <w:r>
        <w:rPr>
          <w:rFonts w:ascii="Times New Roman" w:hAnsi="Times New Roman"/>
          <w:color w:val="000000"/>
          <w:sz w:val="22"/>
        </w:rPr>
        <w:t>on behalf of each such direct and indirect partner; or (E) 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Agent and Term Loan Servicer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Each Lender that is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shall, to the extent permitted by Law, provide to Borrower Representative, Agent and Term Loan Servicer on or prior to the date on which such Lender becomes a Lender under this Agreement (and from time to time thereafter upon the reasonable request of the Borrower Representative, Term Loan Servicer or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Term Loan Servicer or Agent. Each such Lender shall promptly notify Borrowers at any time it determines that any certificate previously delivered to Borrower Representative (or any other form of certification adopted by the U.S. governmental authorities for such purposes) is no longer valid.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Foreign Lender shall, to the extent it is legally entitled to do so, deliver to Borrower Representative, Agent and Term Loan Servicer (in such number of copies as shall be requested by the recipient) on or prior to the date on which such Foreign Lender becomes a Lender under this Agreement (and from time to time thereafter upon the reasonable request of the Borrower Representative, Term Loan Servicer or Agent), executed copies of any other form prescribed by applicable Law as a basis for claiming exemption from or a reduction in U.S. Federal withholding Tax, duly completed, together with such supplementary documentation as may be prescribed by applicable law to permit Borrowers, Agent or Term Loan Servicer to determine the withholding or deduction required to be made.</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If any Lender determines, in its reasonable discretion, that it has received a refund in respect of any Taxes as to which it has been indemnified by any Borrower pursuant to this Section 2.8 (including by the payment of additional amounts pursuant to this Section 2.8), then it shall promptly pay an amount equal to such refund to Borrowers, net of all reasonable out-of-pocket expenses of such Lender or of Agent or Term Loan Servicer with respect thereto, including any Taxes;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Borrowers, upon the written request of such Lender, Agent or Term Loan Servicer, agree to repay any amount paid over to Borrowers to such Lender or to Agent or Term Loan Servicer (plus any related penalties, interest or other charges imposed by the relevant Governmental Authority) in the event such Lender, Agent or Term Loan Servicer is required, for any reason, to disgorge or otherwise repay such refund to such Governmental Authority.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Agent and Term Loan Servicer at the time or times prescribed by Law and at such time or times reasonably requested by Borrower Representative, Agent or Term Loan Servicer such documentation prescribed by applicable Law (including as prescribed by Section 1471(b)(3)(C)(i) of the Code) and such additional documentation reasonably requested by Borrower Representative, Agent or Term Loan Servicer as may be necessary for Borrowers, Agent and Term Loan Servicer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Each Lender shall severally indemnify Agent and Term Loan Servicer, within ten (10) days after demand therefor, for (i) any Indemnified Taxes attributable to such Lender (but only to the extent that any Credit Party has not already indemnified Agent or Term Loan Servicer, as applicable,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or Term Loan Servicer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or Term Loan Servicer, as applicable, shall be conclusive absent manifest error. Each Lender hereby authorizes Agent and Term Loan Servicer to set off and apply any and all amounts at any time owing to such Lender under any Financing Document or otherwise payable by Agent or Term Loan Servicer, as applicable, to such Lender from any other source against any amount due to Agent or Term Loan Servicer, as applicable, under this paragraph (f).</w:t>
      </w:r>
    </w:p>
    <w:p>
      <w:pPr>
        <w:pStyle w:val="TextBody"/>
        <w:bidi w:val="0"/>
        <w:spacing w:before="0" w:after="240"/>
        <w:jc w:val="both"/>
        <w:rPr>
          <w:rFonts w:ascii="Times New Roman" w:hAnsi="Times New Roman"/>
          <w:sz w:val="20"/>
        </w:rPr>
      </w:pPr>
      <w:r>
        <w:rPr>
          <w:rFonts w:ascii="Times New Roman" w:hAnsi="Times New Roman"/>
          <w:color w:val="000000"/>
          <w:sz w:val="22"/>
        </w:rPr>
        <w:t>(g) 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 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including the methodology and assumptions used in calculating such amount, a copy of which shall be furnished to Agent and Term Loan Servicer),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If any Lender shall reasonably determine that the adoption or taking effect of, or any change in, any applicable Law shall (i) impose, modify or deem applicable any reserve, special deposit, compulsory loan, insurance charge or similar requirement against assets of, deposits with or for the account of, or credit extended or participated in by, any Lender, (ii) subject any Lender to any tax of any kind whatsoever with respect to this Agreement, or any SOFR Loan made by it, or change the basis of taxation of payments to such Lender in respect thereof (except for Taxes covered by Section 2.8); or (iii) impose on any Lender any other condition, cost or expense affecting this Agreement or SOFR Loans made by such Lender, and the result of any of the foregoing shall be to increase the cost to such Lender of making or maintaining any Loan the interest on which is determined by reference to Term SOFR (or of maintaining its obligation to make any such Loan), or to reduce the amount of any sum received or receivable by such Lender (whether of principal, interest or any other amount) then, upon request of such Lender (which request shall be accompanied by a certificate setting forth the basis for such request and a calculation of the amount thereof in reasonable detail, including the methodology and assumptions used in calculating such amount, and which certificate shall be conclusive absent manifest error), the Borrowers will pay to such Lender such additional amount or amounts as will compensate such Lender for such additional costs incurred or reduction suffered.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Lender requests compensation under any of the clauses in this Section 2.8,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provisions of Section 11.17) to another of its offices, branches or affiliates, if, in the reasonable judgment of such Lender, such designation or assignment (i) would eliminate or materially reduce amounts payable pursuant to any such Section, as the case may be, in the future, (ii) would not subject such Lender to any unreimbursed cost or expense and (iii) would not otherwise be disadvantageous to such Lender (as determined in its sole good faith discretion). Without limitation of the provisions of Section 13.14, each Borrower hereby agrees to pay all reasonable and documented, out-of-pocket costs and expenses incurred by any Lender in connection with any such designation or assignment.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Subject to Section 2.2(o), if Agent determines (which determination shall be conclusive and binding absent manifest error) that Term SOFR cannot be determined pursuant to the definition thereof on or prior to the first day of any Interest Period, Agent will promptly so notify the Borrowers and each Lender. Upon notice thereof by Agent to Borrowers, any obligation of the Lenders to make SOFR Loans shall be suspended until Agent revokes such notice. Upon receipt of such notice, any outstanding affected SOFR Loans will be deemed to have been converted into Base Rate Loans at the end of the applicable Interest Period. Upon any such conversion, Borrower shall also pay any additional amounts required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If any Lender determines that any Law has made it unlawful, or that any Governmental Authority has asserted that it is unlawful, for any Lender or its applicable lending office to make, maintain or fund SOFR Loans, or to determine or charge interest rates based upon Term SOFR, then, upon notice thereof by such Lender to Borrowers (through Agent), any obligation of such Lender to make SOFR Loans shall be suspended, in each case until such Lender notifies Agent and Borrower that the circumstances giving rise to such determination no longer exist. Upon receipt of such notice, all SOFR Loans shall become Base Rate Loans. Upon any such conversion, Borrower shall also pay any additional amounts required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Each party’s obligations under this Section 2.8 shall survive the resignation or replacement of Agent or Term Loan Servicer or any assignment of rights by, or the replacement of, a Lender and the repayment, satisfaction or discharge of all Obligations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2.9 </w:t>
      </w:r>
      <w:r>
        <w:rPr>
          <w:rFonts w:ascii="Times New Roman" w:hAnsi="Times New Roman"/>
          <w:color w:val="000000"/>
          <w:sz w:val="22"/>
          <w:u w:val="single"/>
        </w:rPr>
        <w:t>Appointment of Borrower Representative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Borrower hereby irrevocably appoints and constitutes Borrower Representative as its agent and attorney-in-fact to request and receive Loans in the name or on behalf of such Borrower and any other Borrowers, deliver Notices of Borrowing and Borrowing Base Certificates give instructions with respect to the disbursement of the proceeds of the Loans ,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Term Loan Servicer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or Term Loan Servicer, as applicable, may at any time and from time to time require that Loans to or for the account of any Borrower be disbursed directly to an operating account of such Borrower.</w:t>
      </w:r>
    </w:p>
    <w:p>
      <w:pPr>
        <w:pStyle w:val="TextBody"/>
        <w:bidi w:val="0"/>
        <w:spacing w:before="0" w:after="240"/>
        <w:jc w:val="both"/>
        <w:rPr>
          <w:rFonts w:ascii="Times New Roman" w:hAnsi="Times New Roman"/>
          <w:sz w:val="20"/>
        </w:rPr>
      </w:pPr>
      <w:r>
        <w:rPr>
          <w:rFonts w:ascii="Times New Roman" w:hAnsi="Times New Roman"/>
          <w:color w:val="000000"/>
          <w:sz w:val="22"/>
        </w:rPr>
        <w:t>(b) 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Borrower hereby irrevocably appoints and constitutes Borrower Representative as its agent to receive statements on account and all other notices from Agent, Term Loan Servicer and the Lenders with respect to the Obligations or otherwise under or in connection with this Agreement and the other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 resignation by or termination of the appointment of Borrower Representative as agent and attorney-in-fact as aforesaid shall be effective, except after ten (10) Business Days’ prior written notice to Agent and Term Loan Servicer. If the Borrower Representative resigns under this Agreement, Borrowers shall be entitled to appoint a successor Borrower Representative (which shall be a Borrower and shall be reasonably acceptable to Agent and Term Loan Servicer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 of this Agreement and the other Financing Documents, and the retiring or terminated Borrower Representative’s appointment, powers and duties as Borrower Representative shall be thereupon terminated.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Joint and Several Liability; Rights of Contribution; Subordination and Subrogation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Borrowers are defined collectively to include all Persons named as one of the Borrowers herein; </w:t>
      </w:r>
      <w:r>
        <w:rPr>
          <w:rFonts w:ascii="Times New Roman" w:hAnsi="Times New Roman"/>
          <w:i/>
          <w:color w:val="000000"/>
          <w:sz w:val="22"/>
        </w:rPr>
        <w:t>provided, however</w:t>
      </w:r>
      <w:r>
        <w:rPr>
          <w:rFonts w:ascii="Times New Roman" w:hAnsi="Times New Roman"/>
          <w:color w:val="000000"/>
          <w:sz w:val="22"/>
        </w:rPr>
        <w:t>,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or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pStyle w:val="TextBody"/>
        <w:bidi w:val="0"/>
        <w:spacing w:before="0" w:after="240"/>
        <w:jc w:val="both"/>
        <w:rPr>
          <w:rFonts w:ascii="Times New Roman" w:hAnsi="Times New Roman"/>
          <w:sz w:val="20"/>
        </w:rPr>
      </w:pPr>
      <w:r>
        <w:rPr>
          <w:rFonts w:ascii="Times New Roman" w:hAnsi="Times New Roman"/>
          <w:color w:val="000000"/>
          <w:sz w:val="22"/>
        </w:rPr>
        <w:t>(b) 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Term Loan Servicer, Lenders and each Borrower agree that if the liability of a Borrower for the Obligations, or any Liens granted by such Borrower securing the Obligations would, but for the 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w:t>
      </w:r>
      <w:r>
        <w:rPr>
          <w:rFonts w:ascii="Times New Roman" w:hAnsi="Times New Roman"/>
          <w:b/>
          <w:color w:val="000000"/>
          <w:sz w:val="22"/>
        </w:rPr>
        <w:t>Fraudulent Conveyance</w:t>
      </w:r>
      <w:r>
        <w:rPr>
          <w:rFonts w:ascii="Times New Roman" w:hAnsi="Times New Roman"/>
          <w:color w:val="000000"/>
          <w:sz w:val="20"/>
        </w:rPr>
        <w:t xml:space="preserve">” </w:t>
      </w:r>
      <w:r>
        <w:rPr>
          <w:rFonts w:ascii="Times New Roman" w:hAnsi="Times New Roman"/>
          <w:color w:val="000000"/>
          <w:sz w:val="22"/>
        </w:rPr>
        <w:t>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Agent is hereby authorized, without notice or demand (except as otherwise specifically required under this Agreement) and without affecting the liability of any Borrower hereunder, at any time and from time to time, to (i) renew, extend or otherwise increase the time for payment of the Obligations; (ii) with the written agreement of any Borrower, change the terms relating to the Obligations or otherwise modify, amend or change the terms of any Note or other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reasonable discretion, may determine; and (vi) settle, release, compromise, collect or otherwise liquidate the Obligations and any Collateral therefor in any manner, all guarantor and surety defenses being hereby waived by each Borrower.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reasonable discretion, without affecting the validity or enforceability of the Obligations of any other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Borrower hereby agrees that, except as hereinafter provided, its obligations hereunder shall be unconditional, irrespective of (i) 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Borrowers hereby agree, as between themselves, that to the extent that Agent or Term Loan Servicer,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Times New Roman" w:hAnsi="Times New Roman"/>
          <w:i/>
          <w:color w:val="000000"/>
          <w:sz w:val="22"/>
        </w:rPr>
        <w:t>provided, however</w:t>
      </w:r>
      <w:r>
        <w:rPr>
          <w:rFonts w:ascii="Times New Roman" w:hAnsi="Times New Roman"/>
          <w:color w:val="000000"/>
          <w:sz w:val="22"/>
        </w:rPr>
        <w:t xml:space="preserve">, that in the event any Borrower suffers a Deficiency Amount (as defined below), then the Borrower suffering the Deficiency Amount shall be entitled to seek and receive contribution from and against the other Borrowers in an amount equal to the Deficiency Amount; and </w:t>
      </w:r>
      <w:r>
        <w:rPr>
          <w:rFonts w:ascii="Times New Roman" w:hAnsi="Times New Roman"/>
          <w:i/>
          <w:color w:val="000000"/>
          <w:sz w:val="22"/>
        </w:rPr>
        <w:t>provided, further</w:t>
      </w:r>
      <w:r>
        <w:rPr>
          <w:rFonts w:ascii="Times New Roman" w:hAnsi="Times New Roman"/>
          <w:color w:val="000000"/>
          <w:sz w:val="22"/>
        </w:rPr>
        <w:t>, that in no event shall the aggregate amounts so reimbursed by reason of the contribution of any Borrower equal or exceed an amount that would, if paid, constitute or result in Fraudulent Conveyance. Until all Obligations have been paid and satisfied in full (other than inchoate indemnification obligations for which no claim has yet been made),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hereunder, until the Obligations (other than inchoate indemnification obligations for which no claim has yet been made) have been indefeasibly paid and satisfied in full, and no Borrower shall exercise any right or remedy with respect to this Section 2.10(e) until the Obligations (other than inchoate indemnification obligations for which no claim has yet been made) have been indefeasibly paid and satisfied in full. As used in this Section 2.10(e), the term “</w:t>
      </w:r>
      <w:r>
        <w:rPr>
          <w:rFonts w:ascii="Times New Roman" w:hAnsi="Times New Roman"/>
          <w:b/>
          <w:color w:val="000000"/>
          <w:sz w:val="22"/>
        </w:rPr>
        <w:t>Recovery Amount</w:t>
      </w:r>
      <w:r>
        <w:rPr>
          <w:rFonts w:ascii="Times New Roman" w:hAnsi="Times New Roman"/>
          <w:color w:val="000000"/>
          <w:sz w:val="20"/>
        </w:rPr>
        <w:t xml:space="preserve">” </w:t>
      </w:r>
      <w:r>
        <w:rPr>
          <w:rFonts w:ascii="Times New Roman" w:hAnsi="Times New Roman"/>
          <w:color w:val="000000"/>
          <w:sz w:val="22"/>
        </w:rPr>
        <w:t>means the amount of proceeds received by or credited to Agent or Term Loan Servicer from the exercise of any remedy of the Lenders under this Agreement or the other Financing Documents, including, without limitation, the sale of any Collateral. As used in this Section 2.10(e), the term “</w:t>
      </w:r>
      <w:r>
        <w:rPr>
          <w:rFonts w:ascii="Times New Roman" w:hAnsi="Times New Roman"/>
          <w:b/>
          <w:color w:val="000000"/>
          <w:sz w:val="22"/>
        </w:rPr>
        <w:t>Deficiency Amount</w:t>
      </w:r>
      <w:r>
        <w:rPr>
          <w:rFonts w:ascii="Times New Roman" w:hAnsi="Times New Roman"/>
          <w:color w:val="000000"/>
          <w:sz w:val="20"/>
        </w:rPr>
        <w:t xml:space="preserve">” </w:t>
      </w:r>
      <w:r>
        <w:rPr>
          <w:rFonts w:ascii="Times New Roman" w:hAnsi="Times New Roman"/>
          <w:color w:val="000000"/>
          <w:sz w:val="22"/>
        </w:rPr>
        <w:t>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Collections and Lockbox Account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Borrowers shall establish and maintain a segregated Deposit Account and/or lockbox (collectively, the “</w:t>
      </w:r>
      <w:r>
        <w:rPr>
          <w:rFonts w:ascii="Times New Roman" w:hAnsi="Times New Roman"/>
          <w:b/>
          <w:color w:val="000000"/>
          <w:sz w:val="22"/>
        </w:rPr>
        <w:t>Lockbox</w:t>
      </w:r>
      <w:r>
        <w:rPr>
          <w:rFonts w:ascii="Times New Roman" w:hAnsi="Times New Roman"/>
          <w:color w:val="000000"/>
          <w:sz w:val="20"/>
        </w:rPr>
        <w:t>”</w:t>
      </w:r>
      <w:r>
        <w:rPr>
          <w:rFonts w:ascii="Times New Roman" w:hAnsi="Times New Roman"/>
          <w:color w:val="000000"/>
          <w:sz w:val="22"/>
        </w:rPr>
        <w:t>) with a United States depository institution reasonably acceptable to Agent (the “</w:t>
      </w:r>
      <w:r>
        <w:rPr>
          <w:rFonts w:ascii="Times New Roman" w:hAnsi="Times New Roman"/>
          <w:b/>
          <w:color w:val="000000"/>
          <w:sz w:val="22"/>
        </w:rPr>
        <w:t>Lockbox Bank</w:t>
      </w:r>
      <w:r>
        <w:rPr>
          <w:rFonts w:ascii="Times New Roman" w:hAnsi="Times New Roman"/>
          <w:color w:val="000000"/>
          <w:sz w:val="20"/>
        </w:rPr>
        <w:t>”</w:t>
      </w:r>
      <w:r>
        <w:rPr>
          <w:rFonts w:ascii="Times New Roman" w:hAnsi="Times New Roman"/>
          <w:color w:val="000000"/>
          <w:sz w:val="22"/>
        </w:rPr>
        <w:t xml:space="preserve">), subject to the provisions of this Agreement, and shall execute with the Lockbox Bank a Deposit Account Control Agreement and such other agreements related to such Lockbox as Agent may require. Borrowers shall ensure that all collections of Accounts are paid directly from Account Debtors (i) into the Lockbox for deposit into the Lockbox Account and/or (ii) directly into the Lockbox Account; </w:t>
      </w:r>
      <w:r>
        <w:rPr>
          <w:rFonts w:ascii="Times New Roman" w:hAnsi="Times New Roman"/>
          <w:i/>
          <w:color w:val="000000"/>
          <w:sz w:val="22"/>
        </w:rPr>
        <w:t>provided, however</w:t>
      </w:r>
      <w:r>
        <w:rPr>
          <w:rFonts w:ascii="Times New Roman" w:hAnsi="Times New Roman"/>
          <w:color w:val="000000"/>
          <w:sz w:val="22"/>
        </w:rPr>
        <w:t>, that unless Agent shall otherwise direct by written notice to Borrowers, Borrowers shall be permitted to cause Account Debtors who are individuals to pay Accounts directly to Borrowers, which Borrowers shall then administer and apply in the manner required below. All funds deposited into a Lockbox Account shall be transferred (x) during any Cash Dominion Period, into the Revolving Loan Payment Account by the close of each Business Day, or (y) on any Business Day not occurring during a Cash Dominion Period, at the Borrower’s option, into a Borrower operating Deposit Account subject to a Deposit Account Control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w:t>
      </w:r>
      <w:r>
        <w:rPr>
          <w:rFonts w:ascii="Times New Roman" w:hAnsi="Times New Roman"/>
          <w:color w:val="000000"/>
          <w:sz w:val="22"/>
        </w:rPr>
        <w:t>Reserved.</w:t>
      </w:r>
      <w:r>
        <w:rPr>
          <w:rFonts w:ascii="Times New Roman" w:hAnsi="Times New Roman"/>
          <w:b/>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in any lockbox agreement or Deposit Account Control Agreement to the contrary, Borrowers agree that they shall be liable for any fees and charges in effect from time to time and charged by the Lockbox Bank in connection with the Lockbox, the Lockbox Account, and that Agent shall have no liability therefor. Borrowers hereby indemnify and agree to hold Agent harmless from any and all liabilities, claims, losses and demands whatsoever, including reasonable attorneys’ fees and expenses, arising from or relating to actions of Agent or the Lockbox Bank pursuant to this Section or any lockbox agreement or Deposit Account Control Agreement or similar agreement, except to the extent of such losses arising solely from Agent’s gross negligence or willful misconduct.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During any Cash Dominion Period, Agent shall apply, on a daily basis, all funds transferred into the Revolving Loan Payment Account pursuant to this Section 2.11 to reduce the outstanding Revolving Loans in such order of application as Agent shall elect. If as the result of collections of Accounts pursuant to the terms and conditions of this Section, a credit balance exists with respect to the Revolving Loan Account, such credit balance shall not accrue interest in favor of Borrowers, but Agent shall transfer such funds into an account designated by Borrower Representative for so long as no Event of Default exists.</w:t>
      </w:r>
    </w:p>
    <w:p>
      <w:pPr>
        <w:pStyle w:val="TextBody"/>
        <w:bidi w:val="0"/>
        <w:spacing w:before="0" w:after="240"/>
        <w:jc w:val="both"/>
        <w:rPr>
          <w:rFonts w:ascii="Times New Roman" w:hAnsi="Times New Roman"/>
          <w:sz w:val="20"/>
        </w:rPr>
      </w:pPr>
      <w:r>
        <w:rPr>
          <w:rFonts w:ascii="Times New Roman" w:hAnsi="Times New Roman"/>
          <w:color w:val="000000"/>
          <w:sz w:val="22"/>
        </w:rPr>
        <w:t>(e) To the extent that any collections of Accounts or proceeds of other Collateral are not sent directly to the Lockbox or Lockbox Account but are received by any Borrower during a Cash Dominion Period, such collections shall be held in trust for the benefit of Agent pursuant to an express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trust created hereby and immediately remitted, in the form received, to applicable Lockbox or Lockbox Account. No such funds received by any Borrower shall be commingled with other funds of the Credit Parties.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Borrowers acknowledge and agree that compliance with the terms of this Section is essential, and that Agent and Lenders will suffer immediate and irreparable injury and have no adequate remedy at law, if, at any time following the initial borrowing of Revolving Loans, any Borrower, through acts or omissions, causes or permits Account Debtors to send payments other than to the Lockbox or Lockbox Accounts or if any Borrower fails to promptly deposit collections of Accounts or proceeds of other Collateral in the Lockbox Account as herein required. Accordingly, in addition to all other rights and remedies of Agent and Lenders hereunder, Agent shall have the right to seek specific performance of the Borrowers’ obligations under this Section, and any other equitable relief as Agent may deem necessary or appropriate, and Borrowers waive any requirement for the posting of a bond in connection with such equitable relief.</w:t>
      </w:r>
    </w:p>
    <w:p>
      <w:pPr>
        <w:pStyle w:val="TextBody"/>
        <w:bidi w:val="0"/>
        <w:spacing w:before="0" w:after="240"/>
        <w:jc w:val="both"/>
        <w:rPr>
          <w:rFonts w:ascii="Times New Roman" w:hAnsi="Times New Roman"/>
          <w:sz w:val="20"/>
        </w:rPr>
      </w:pPr>
      <w:r>
        <w:rPr>
          <w:rFonts w:ascii="Times New Roman" w:hAnsi="Times New Roman"/>
          <w:color w:val="000000"/>
          <w:sz w:val="22"/>
        </w:rPr>
        <w:t>(g) Borrowers shall not, and Borrowers shall not suffer or permit any Credit Party to, (i) withdraw any amounts from any Lockbox Account at any time during a Cash Dominion Period, (ii) change the procedures or sweep instructions under the agreements governing any Lockbox Accounts, or (iii) send to or deposit in any Lockbox Account any funds other than payments made with respect to and proceeds of Accounts or other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Upon Agent’s written request following the occurrence and during the continuance of a Cash Dominion Event, Borrowers shall promptly (and in any event within 5 Business Days) execute an amendment to the Deposit Account Control Agreement with respect to any Lockbox Account and Lockbox providing that the Lockbox Bank shall wire, or otherwise transfer, in immediately available funds, on a daily basis to the Revolving Loan Payment Account all funds received or deposited into such Lockbox Account.</w:t>
      </w:r>
    </w:p>
    <w:p>
      <w:pPr>
        <w:pStyle w:val="TextBody"/>
        <w:bidi w:val="0"/>
        <w:spacing w:before="0" w:after="240"/>
        <w:jc w:val="both"/>
        <w:rPr>
          <w:rFonts w:ascii="Times New Roman" w:hAnsi="Times New Roman"/>
          <w:sz w:val="20"/>
        </w:rPr>
      </w:pPr>
      <w:r>
        <w:rPr>
          <w:rFonts w:ascii="Times New Roman" w:hAnsi="Times New Roman"/>
          <w:color w:val="000000"/>
          <w:sz w:val="22"/>
        </w:rPr>
        <w:t>(i) The Credit Parties shall cooperate with Agent in the identification and reconciliation on a daily basis of all amounts received in or required to be deposited into the Lockbox Accounts. If more than five percent (5.0%) of the collections of Accounts received by Borrowers during any given thirty (30) day period is not identified or reconciled to the reasonable satisfaction of Agent within fifteen (15) Business Days of receipt, Agent shall not be obligated to make further advances under this Agreement until such amount is identified or is reconciled to the reasonable satisfaction of Agent, as the case may be. In addition, if any such amount cannot be identified or reconciled to the reasonable satisfaction of Agent, Agent may utilize its own staff or, if it deems necessary, engage an outside auditor, in either case at Borrowers’ expense (which in the case of Agent’s own staff shall be in accordance with Agent’s then prevailing customary charges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expenses)), to make such examination and report as may be necessary to identify and reconcile such amount.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If any Borrower breaches its obligation to direct payments of the proceeds of the Collateral to the Lockbox Account, Agent, as the irrevocably made, constituted and appointed true and lawful attorney for Borrowers, may, by the signature or other act of any of Agent’s authorized representatives (without requiring any of them to do so), direct any Account Debtor to pay proceeds of the Collateral to Borrowers by directing payment to the Lockbox Account.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Irrespective of whether a Cash Dominion Event has occurred or the Cash Dominion Period is in effect, nothing in this Section 2.11 shall be deemed to limit any of Agent or Lenders remedies following an Event of Default under this Agreement, any Deposit Account Control Agreement or any other Financing Document or under applicable Law.</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 Nothing in this Section 2.11 shall limit the rights of Agents and Lenders to exercise or enforce their rights and remedies under the Financing Documents or under applicable Law, including with respect to delivering any notice of exclusive control (or similar notice) under any Deposit Account Control Agreement or Securities Account Control Agreement or taking any enforcement action with respect to any Deposit Accounts or Securities Accounts following the occurrence and during the continuance of any Event of Default.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Termination; Restriction on Termination</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Termination by Lenders</w:t>
      </w:r>
      <w:r>
        <w:rPr>
          <w:rFonts w:ascii="Times New Roman" w:hAnsi="Times New Roman"/>
          <w:color w:val="000000"/>
          <w:sz w:val="22"/>
        </w:rPr>
        <w:t>. In addition to the rights set forth in Section 10.2, Agent may, and at the direction of Required Lenders shall, terminate this Agreement without notice upon or after the occurrence and during the continuance of an Event of Default.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Termination by Borrowers</w:t>
      </w:r>
      <w:r>
        <w:rPr>
          <w:rFonts w:ascii="Times New Roman" w:hAnsi="Times New Roman"/>
          <w:color w:val="000000"/>
          <w:sz w:val="22"/>
        </w:rPr>
        <w:t xml:space="preserve">. Upon at least ten (10) Business Day’ prior written notice and pursuant to payoff documentation in form and substance reasonably satisfactory to Agent, Term Loan Servicer and Lenders, Borrowers may, at their option, terminate this Agreement;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no such termination shall be effective until Borrowers have complied with Section 2.12(c) and the Obligations, including the payment of all fees due and owing under any Fee Letter, are paid in full (other than inchoate indemnification obligations for which no claim has yet been made). Any notice of termination given by Borrowers shall be irrevocable unless all Lenders otherwise agree in writing and no Lender shall have any obligation to make any Loans on or after the termination date stated in such notice. Borrowers may elect to terminate this Agreement in its entirety only. No section of this Agreement or type of Loan available hereunder may be terminated singly.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Effectiveness of Termination</w:t>
      </w:r>
      <w:r>
        <w:rPr>
          <w:rFonts w:ascii="Times New Roman" w:hAnsi="Times New Roman"/>
          <w:color w:val="000000"/>
          <w:sz w:val="22"/>
        </w:rPr>
        <w:t>. All of the Obligations shall be immediately due and payable upon the Termination Date. All undertakings, agreements, covenants, warranties and representations of the Credit Parties contained in the Financing Documents shall survive any such termination and Agent shall retain its Liens in the Collateral and Agent, Term Loan Servicer and each Lender shall retain all of its rights and remedies under the Financing Documents notwithstanding such termination until all Obligations have been discharged or paid, in full, in immediately available funds, including, without limitation, all Obligations under Section 2.2 and the terms of any Fee Letter resulting from such termination (in each case, other than inchoate indemnification obligations for which no claim has yet been made). Notwithstanding the foregoing or the payment in full of the Obligations, Agent shall not be required to terminate its Liens in the Collateral unless, with respect to any loss or damage Agent may incur as a result of dishonored checks or other items of payment received by Agent from Credit Parties or any Account Debtor and applied to the Obligations, Agent shall have retained cash Collateral or other Collateral for such period of time as Agent, in its discretion, may deem necessary to protect Agent and each Lender from any such loss or damage. Upon the payment in full, in cash in immediately available funds, of all Obligations and the termination of the Revolving Loan Commitments and Term Loan Commitments, as Borrower may reasonably request, Agent shall, at Borrower’s sole cost and expense, execute and deliver such documents evidencing the release and termination of the security interest in the Collateral granted under this Agreement and the other Financing Documents pursuant to and in accordance with the terms of any applicable payoff documentation.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3 - 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induce Agent and Lenders to enter into this Agreement and to make the Loans and other credit accommodations contemplated hereby, each Borrower and each Credit Party party hereto, hereby represents and warrants to Agent and each Lender that:</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 </w:t>
      </w:r>
      <w:r>
        <w:rPr>
          <w:rFonts w:ascii="Times New Roman" w:hAnsi="Times New Roman"/>
          <w:color w:val="000000"/>
          <w:sz w:val="22"/>
          <w:u w:val="single"/>
        </w:rPr>
        <w:t>Existence and Power</w:t>
      </w:r>
      <w:r>
        <w:rPr>
          <w:rFonts w:ascii="Times New Roman" w:hAnsi="Times New Roman"/>
          <w:color w:val="000000"/>
          <w:sz w:val="22"/>
        </w:rPr>
        <w:t xml:space="preserve">. Each Credit Party (a) is an entity as specified on </w:t>
      </w:r>
      <w:r>
        <w:rPr>
          <w:rFonts w:ascii="Times New Roman" w:hAnsi="Times New Roman"/>
          <w:color w:val="000000"/>
          <w:sz w:val="22"/>
          <w:u w:val="single"/>
        </w:rPr>
        <w:t>Schedule 3.1</w:t>
      </w:r>
      <w:r>
        <w:rPr>
          <w:rFonts w:ascii="Times New Roman" w:hAnsi="Times New Roman"/>
          <w:color w:val="000000"/>
          <w:sz w:val="22"/>
        </w:rPr>
        <w:t xml:space="preserve">, (b) is duly organized, validly existing and in good standing under the laws of the jurisdiction of its organization specified on </w:t>
      </w:r>
      <w:r>
        <w:rPr>
          <w:rFonts w:ascii="Times New Roman" w:hAnsi="Times New Roman"/>
          <w:color w:val="000000"/>
          <w:sz w:val="22"/>
          <w:u w:val="single"/>
        </w:rPr>
        <w:t>Schedule 3.1</w:t>
      </w:r>
      <w:r>
        <w:rPr>
          <w:rFonts w:ascii="Times New Roman" w:hAnsi="Times New Roman"/>
          <w:color w:val="000000"/>
          <w:sz w:val="22"/>
        </w:rPr>
        <w:t xml:space="preserve">, (c) has the same legal name as it appears in such Credit Party’s Organizational Documents and an organizational identification number (if any), in each case as specified on </w:t>
      </w:r>
      <w:r>
        <w:rPr>
          <w:rFonts w:ascii="Times New Roman" w:hAnsi="Times New Roman"/>
          <w:color w:val="000000"/>
          <w:sz w:val="22"/>
          <w:u w:val="single"/>
        </w:rPr>
        <w:t>Schedule 3.1</w:t>
      </w:r>
      <w:r>
        <w:rPr>
          <w:rFonts w:ascii="Times New Roman" w:hAnsi="Times New Roman"/>
          <w:color w:val="000000"/>
          <w:sz w:val="22"/>
        </w:rPr>
        <w:t xml:space="preserve">, (d) has all powers to own its assets and has powers and all Permits necessary or desirable in the operation of its business as presently conducted or as proposed to be conducted, except where the failure to have such powers or Permits could not reasonably be expected to have a Material Adverse Effect, and (e) is qualified to do business as a foreign entity in each jurisdiction in which it is required to be so qualified, which jurisdictions as of the Closing Date are specified on </w:t>
      </w:r>
      <w:r>
        <w:rPr>
          <w:rFonts w:ascii="Times New Roman" w:hAnsi="Times New Roman"/>
          <w:color w:val="000000"/>
          <w:sz w:val="22"/>
          <w:u w:val="single"/>
        </w:rPr>
        <w:t>Schedule 3.1</w:t>
      </w:r>
      <w:r>
        <w:rPr>
          <w:rFonts w:ascii="Times New Roman" w:hAnsi="Times New Roman"/>
          <w:color w:val="000000"/>
          <w:sz w:val="22"/>
        </w:rPr>
        <w:t xml:space="preserve">, except in the case of this clause (e) where the failure to be so qualified could not reasonably be expected to have a Material Adverse Effect. Except as set forth on </w:t>
      </w:r>
      <w:r>
        <w:rPr>
          <w:rFonts w:ascii="Times New Roman" w:hAnsi="Times New Roman"/>
          <w:color w:val="000000"/>
          <w:sz w:val="22"/>
          <w:u w:val="single"/>
        </w:rPr>
        <w:t>Schedule 3.1</w:t>
      </w:r>
      <w:r>
        <w:rPr>
          <w:rFonts w:ascii="Times New Roman" w:hAnsi="Times New Roman"/>
          <w:color w:val="000000"/>
          <w:sz w:val="22"/>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 </w:t>
      </w:r>
      <w:r>
        <w:rPr>
          <w:rFonts w:ascii="Times New Roman" w:hAnsi="Times New Roman"/>
          <w:color w:val="000000"/>
          <w:sz w:val="22"/>
          <w:u w:val="single"/>
        </w:rPr>
        <w:t>Organization and Governmental Authorization; No Contravention</w:t>
      </w:r>
      <w:r>
        <w:rPr>
          <w:rFonts w:ascii="Times New Roman" w:hAnsi="Times New Roman"/>
          <w:color w:val="000000"/>
          <w:sz w:val="22"/>
        </w:rPr>
        <w:t>. The execution, delivery and performance by each Credit Party of the Financing Documents to which it is a party (a) are within its powers, (b) have been duly authorized by all necessary action pursuant to its Organizational Documents, (c) require no further action by or in respect of, or filing with, any Governmental Authority other than (i) recordings, filings and other perfection actions in connection with the Liens granted to Agent under this Agreement or any Security Document and (ii) those obtained or made on or prior to the Closing Date</w:t>
      </w:r>
      <w:r>
        <w:rPr>
          <w:rFonts w:ascii="Times New Roman" w:hAnsi="Times New Roman"/>
          <w:color w:val="000000"/>
          <w:sz w:val="20"/>
        </w:rPr>
        <w:t xml:space="preserve"> </w:t>
      </w:r>
      <w:r>
        <w:rPr>
          <w:rFonts w:ascii="Times New Roman" w:hAnsi="Times New Roman"/>
          <w:color w:val="000000"/>
          <w:sz w:val="22"/>
        </w:rPr>
        <w:t>and (d) do not violate, conflict with or cause a breach or a default under (i) any Law applicable to any Credit Party, (ii) any of the Organizational Documents of any Credit Party, or (iii) any agreement or instrument binding upon it, except for such violations, conflicts, breaches or defaults as could not, with respect to this clause (iii),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3.3 </w:t>
      </w:r>
      <w:r>
        <w:rPr>
          <w:rFonts w:ascii="Times New Roman" w:hAnsi="Times New Roman"/>
          <w:color w:val="000000"/>
          <w:sz w:val="22"/>
          <w:u w:val="single"/>
        </w:rPr>
        <w:t>Binding Effect</w:t>
      </w:r>
      <w:r>
        <w:rPr>
          <w:rFonts w:ascii="Times New Roman" w:hAnsi="Times New Roman"/>
          <w:color w:val="000000"/>
          <w:sz w:val="22"/>
        </w:rPr>
        <w:t>. Each of the Financing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3.4 </w:t>
      </w:r>
      <w:r>
        <w:rPr>
          <w:rFonts w:ascii="Times New Roman" w:hAnsi="Times New Roman"/>
          <w:color w:val="000000"/>
          <w:sz w:val="22"/>
          <w:u w:val="single"/>
        </w:rPr>
        <w:t>Capitalization</w:t>
      </w:r>
      <w:r>
        <w:rPr>
          <w:rFonts w:ascii="Times New Roman" w:hAnsi="Times New Roman"/>
          <w:color w:val="000000"/>
          <w:sz w:val="22"/>
        </w:rPr>
        <w:t xml:space="preserve">. The issued and outstanding equity securities of each of the Credit Parties (other than CeriBell) as of the Closing Date are as set forth on </w:t>
      </w:r>
      <w:r>
        <w:rPr>
          <w:rFonts w:ascii="Times New Roman" w:hAnsi="Times New Roman"/>
          <w:color w:val="000000"/>
          <w:sz w:val="22"/>
          <w:u w:val="single"/>
        </w:rPr>
        <w:t>Schedule 3.4</w:t>
      </w:r>
      <w:r>
        <w:rPr>
          <w:rFonts w:ascii="Times New Roman" w:hAnsi="Times New Roman"/>
          <w:color w:val="000000"/>
          <w:sz w:val="22"/>
        </w:rPr>
        <w:t xml:space="preserve">. All issued and outstanding Equity Interest of each of the Credit Parties are duly authorized and validly issued, fully paid, nonassessable, free and clear of all Liens other than those in favor of Agent for the benefit of Agent and Lenders, and such equity securities were issued in compliance with all applicable Laws. Except as set forth on </w:t>
      </w:r>
      <w:r>
        <w:rPr>
          <w:rFonts w:ascii="Times New Roman" w:hAnsi="Times New Roman"/>
          <w:color w:val="000000"/>
          <w:sz w:val="22"/>
          <w:u w:val="single"/>
        </w:rPr>
        <w:t>Schedule 3.4</w:t>
      </w:r>
      <w:r>
        <w:rPr>
          <w:rFonts w:ascii="Times New Roman" w:hAnsi="Times New Roman"/>
          <w:color w:val="000000"/>
          <w:sz w:val="22"/>
        </w:rPr>
        <w:t>, as of the Closing Date there are no preemptive or other outstanding rights, options, warrants, conversion rights or similar agreements or understandings for the purchase or acquisition from any Credit Party (other than CeriBell) of any equity securities of any such entity.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3.5 </w:t>
      </w:r>
      <w:r>
        <w:rPr>
          <w:rFonts w:ascii="Times New Roman" w:hAnsi="Times New Roman"/>
          <w:color w:val="000000"/>
          <w:sz w:val="22"/>
          <w:u w:val="single"/>
        </w:rPr>
        <w:t>Financial Information</w:t>
      </w:r>
      <w:r>
        <w:rPr>
          <w:rFonts w:ascii="Times New Roman" w:hAnsi="Times New Roman"/>
          <w:color w:val="000000"/>
          <w:sz w:val="22"/>
        </w:rPr>
        <w:t>. All information delivered to Agent and pertaining to the financial condition of any Credit Party fairly in all material respects presents the financial position of such Credit Party as of such date and for such period then ended in conformity with GAAP (and as to unaudited financial statements, subject to normal year-end adjustments and the absence of footnote disclosures). Since December 31, 2025 there has been (a)</w:t>
      </w:r>
      <w:r>
        <w:rPr>
          <w:rFonts w:ascii="Times New Roman" w:hAnsi="Times New Roman"/>
          <w:color w:val="000000"/>
          <w:sz w:val="20"/>
        </w:rPr>
        <w:t xml:space="preserve"> </w:t>
      </w:r>
      <w:r>
        <w:rPr>
          <w:rFonts w:ascii="Times New Roman" w:hAnsi="Times New Roman"/>
          <w:color w:val="000000"/>
          <w:sz w:val="22"/>
        </w:rPr>
        <w:t>no material adverse change in the business, operations, properties, or financial condition of any Credit Party</w:t>
      </w:r>
      <w:r>
        <w:rPr>
          <w:rFonts w:ascii="Times New Roman" w:hAnsi="Times New Roman"/>
          <w:color w:val="000000"/>
          <w:sz w:val="20"/>
        </w:rPr>
        <w:t xml:space="preserve"> </w:t>
      </w:r>
      <w:r>
        <w:rPr>
          <w:rFonts w:ascii="Times New Roman" w:hAnsi="Times New Roman"/>
          <w:color w:val="000000"/>
          <w:sz w:val="22"/>
        </w:rPr>
        <w:t>and (b) no fact, event or circumstance that could reasonably be expected to result in a Material Adverse Effect.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3.6 </w:t>
      </w:r>
      <w:r>
        <w:rPr>
          <w:rFonts w:ascii="Times New Roman" w:hAnsi="Times New Roman"/>
          <w:color w:val="000000"/>
          <w:sz w:val="22"/>
          <w:u w:val="single"/>
        </w:rPr>
        <w:t>Litigation</w:t>
      </w:r>
      <w:r>
        <w:rPr>
          <w:rFonts w:ascii="Times New Roman" w:hAnsi="Times New Roman"/>
          <w:color w:val="000000"/>
          <w:sz w:val="22"/>
        </w:rPr>
        <w:t xml:space="preserve">. Except as set forth on </w:t>
      </w:r>
      <w:r>
        <w:rPr>
          <w:rFonts w:ascii="Times New Roman" w:hAnsi="Times New Roman"/>
          <w:color w:val="000000"/>
          <w:sz w:val="22"/>
          <w:u w:val="single"/>
        </w:rPr>
        <w:t>Schedule 3.6</w:t>
      </w:r>
      <w:r>
        <w:rPr>
          <w:rFonts w:ascii="Times New Roman" w:hAnsi="Times New Roman"/>
          <w:color w:val="000000"/>
          <w:sz w:val="20"/>
        </w:rPr>
        <w:t xml:space="preserve"> </w:t>
      </w:r>
      <w:r>
        <w:rPr>
          <w:rFonts w:ascii="Times New Roman" w:hAnsi="Times New Roman"/>
          <w:color w:val="000000"/>
          <w:sz w:val="22"/>
        </w:rPr>
        <w:t>as of the Closing Date, and except as hereafter disclosed to Agent in writing, there is no Litigation pending against, or to such Borrower’s knowledge threatened in writing against, any Credit Party or any of their Subsidiaries, which, if adversely determined, could reasonably be expected to result in any judgment or liability of more than Two Hundred Fifty Thousand Dollars ($250,000). There is no Litigation pending in which an adverse decision could reasonably be expected to have a Material Adverse Effect or which in any manner draws into question the validity of any of the Financing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3.7 </w:t>
      </w:r>
      <w:r>
        <w:rPr>
          <w:rFonts w:ascii="Times New Roman" w:hAnsi="Times New Roman"/>
          <w:color w:val="000000"/>
          <w:sz w:val="22"/>
          <w:u w:val="single"/>
        </w:rPr>
        <w:t>Ownership of Property</w:t>
      </w:r>
      <w:r>
        <w:rPr>
          <w:rFonts w:ascii="Times New Roman" w:hAnsi="Times New Roman"/>
          <w:color w:val="000000"/>
          <w:sz w:val="22"/>
        </w:rPr>
        <w:t>. Each Borrower and each of its Subsidiaries is the lawful sole owner of, has good and marketable title to and is in lawful possession of, or has valid leasehold interests in, all material properties, accounts and other assets (real or personal, tangible, intangible or mixed) purported or reported to be owned or leased (as the case may be) by such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3.8 </w:t>
      </w:r>
      <w:r>
        <w:rPr>
          <w:rFonts w:ascii="Times New Roman" w:hAnsi="Times New Roman"/>
          <w:color w:val="000000"/>
          <w:sz w:val="22"/>
          <w:u w:val="single"/>
        </w:rPr>
        <w:t>No Default</w:t>
      </w:r>
      <w:r>
        <w:rPr>
          <w:rFonts w:ascii="Times New Roman" w:hAnsi="Times New Roman"/>
          <w:color w:val="000000"/>
          <w:sz w:val="22"/>
        </w:rPr>
        <w:t>. No Event of Default, or to such Borrower’s knowledge, Default, has occurred and is continuing. No Credit Party is in breach or default under or with respect to any contract, agreement, lease or other instrument to which it is a party or by which its property is bound or affected, which breach or default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3.9 </w:t>
      </w:r>
      <w:r>
        <w:rPr>
          <w:rFonts w:ascii="Times New Roman" w:hAnsi="Times New Roman"/>
          <w:color w:val="000000"/>
          <w:sz w:val="22"/>
          <w:u w:val="single"/>
        </w:rPr>
        <w:t>Labor Matters</w:t>
      </w:r>
      <w:r>
        <w:rPr>
          <w:rFonts w:ascii="Times New Roman" w:hAnsi="Times New Roman"/>
          <w:color w:val="000000"/>
          <w:sz w:val="22"/>
        </w:rPr>
        <w:t>. As of the Closing Date, there are no strikes or other labor disputes pending or, to any Borrower’s knowledge, threatened in writing against any Credit Party, which could reasonably be expected to have a Material Adverse Effect. Hours worked and payments made to the employees of the Credit Parties have not been in material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 the result of which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3.10 </w:t>
      </w:r>
      <w:r>
        <w:rPr>
          <w:rFonts w:ascii="Times New Roman" w:hAnsi="Times New Roman"/>
          <w:color w:val="000000"/>
          <w:sz w:val="22"/>
          <w:u w:val="single"/>
        </w:rPr>
        <w:t>Investment Company Act</w:t>
      </w:r>
      <w:r>
        <w:rPr>
          <w:rFonts w:ascii="Times New Roman" w:hAnsi="Times New Roman"/>
          <w:color w:val="000000"/>
          <w:sz w:val="22"/>
        </w:rPr>
        <w:t>. No Credit Party is an “investment company” or a company “controlled” by an “investment company” or a “subsidiary” of an “investment company,” all within the meaning of the Investment Company Act of 1940.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3.11 </w:t>
      </w:r>
      <w:r>
        <w:rPr>
          <w:rFonts w:ascii="Times New Roman" w:hAnsi="Times New Roman"/>
          <w:color w:val="000000"/>
          <w:sz w:val="22"/>
          <w:u w:val="single"/>
        </w:rPr>
        <w:t>Margin Regulations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The Credit Parties and their Subsidiaries do not own any stock, partnership interest or other equity securities, except for Permitted Investments. Without limiting the foregoing, the Credit Parties and their Subsidiaries do not own or hold any Margin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3.12 </w:t>
      </w:r>
      <w:r>
        <w:rPr>
          <w:rFonts w:ascii="Times New Roman" w:hAnsi="Times New Roman"/>
          <w:color w:val="000000"/>
          <w:sz w:val="22"/>
          <w:u w:val="single"/>
        </w:rPr>
        <w:t>Compliance With Laws; Anti-Terrorism Laws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Credit Party is in compliance with the requirements of all applicable Laws, (including all applicable Healthcare Laws), except for such Laws the noncompliance with which could not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directly or indirectly to or for the benefit of any Blocked Person or Sanctioned Country, or (B) deals in, or otherwise engages in any transaction directly or indirectly relating to, any property or interest in property blocked pursuant to Executive Order No. 13224, any similar executive order or other Anti-Terrorism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3.13 </w:t>
      </w:r>
      <w:r>
        <w:rPr>
          <w:rFonts w:ascii="Times New Roman" w:hAnsi="Times New Roman"/>
          <w:color w:val="000000"/>
          <w:sz w:val="22"/>
          <w:u w:val="single"/>
        </w:rPr>
        <w:t>Taxes</w:t>
      </w:r>
      <w:r>
        <w:rPr>
          <w:rFonts w:ascii="Times New Roman" w:hAnsi="Times New Roman"/>
          <w:color w:val="000000"/>
          <w:sz w:val="22"/>
        </w:rPr>
        <w:t>. All federal income and franchise tax returns, reports and statements, all state and local income and franchise tax returns, reports and statements and all other material</w:t>
      </w:r>
      <w:r>
        <w:rPr>
          <w:rFonts w:ascii="Times New Roman" w:hAnsi="Times New Roman"/>
          <w:color w:val="000000"/>
          <w:sz w:val="20"/>
        </w:rPr>
        <w:t xml:space="preserve"> </w:t>
      </w:r>
      <w:r>
        <w:rPr>
          <w:rFonts w:ascii="Times New Roman" w:hAnsi="Times New Roman"/>
          <w:color w:val="000000"/>
          <w:sz w:val="22"/>
        </w:rPr>
        <w:t>federal, state and local tax returns, reports and 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state and local sales and use Taxes required to be paid by each Credit Party have been paid. All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3.14 </w:t>
      </w:r>
      <w:r>
        <w:rPr>
          <w:rFonts w:ascii="Times New Roman" w:hAnsi="Times New Roman"/>
          <w:color w:val="000000"/>
          <w:sz w:val="22"/>
          <w:u w:val="single"/>
        </w:rPr>
        <w:t>Compliance with ERISA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pStyle w:val="TextBody"/>
        <w:bidi w:val="0"/>
        <w:spacing w:before="0" w:after="240"/>
        <w:jc w:val="both"/>
        <w:rPr>
          <w:rFonts w:ascii="Times New Roman" w:hAnsi="Times New Roman"/>
          <w:sz w:val="20"/>
        </w:rPr>
      </w:pPr>
      <w:r>
        <w:rPr>
          <w:rFonts w:ascii="Times New Roman" w:hAnsi="Times New Roman"/>
          <w:color w:val="000000"/>
          <w:sz w:val="22"/>
        </w:rPr>
        <w:t>(b) Except as could not reasonably be expected, individually or in the aggregate, to have a Material Adverse Effect, each Credit Party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material liability, fine or penalty. No Credit Party has incurred liability to the PBGC (other than for current premiums) with respect to any employee Pension Plan. All contributions (if any) have been made on a timely basis to any Multiemployer Plan that are required to be made by any Credit Party or any other member of the Controlled Group under the terms of the plan or of any collective bargaining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condition has occurred which, if continued, could result in a withdrawal or partial withdrawal from any such plan, and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3.15 </w:t>
      </w:r>
      <w:r>
        <w:rPr>
          <w:rFonts w:ascii="Times New Roman" w:hAnsi="Times New Roman"/>
          <w:color w:val="000000"/>
          <w:sz w:val="22"/>
          <w:u w:val="single"/>
        </w:rPr>
        <w:t>Consummation of Financing Documents; Brokers</w:t>
      </w:r>
      <w:r>
        <w:rPr>
          <w:rFonts w:ascii="Times New Roman" w:hAnsi="Times New Roman"/>
          <w:color w:val="000000"/>
          <w:sz w:val="22"/>
        </w:rPr>
        <w:t>. Except for fees payable to Agent, Term Loan Servicer and/or Lenders, no broker, finder or other intermediary has brought about the obtaining, making or closing of the transactions contemplated by the Financing Documents, and no Credit Party has or will have any obligation to any Person in respect of any finder’s or brokerage fees, commissions or other expenses in connection herewith or therewith.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3.16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3.17 </w:t>
      </w:r>
      <w:r>
        <w:rPr>
          <w:rFonts w:ascii="Times New Roman" w:hAnsi="Times New Roman"/>
          <w:color w:val="000000"/>
          <w:sz w:val="22"/>
          <w:u w:val="single"/>
        </w:rPr>
        <w:t>Material Contracts</w:t>
      </w:r>
      <w:r>
        <w:rPr>
          <w:rFonts w:ascii="Times New Roman" w:hAnsi="Times New Roman"/>
          <w:color w:val="000000"/>
          <w:sz w:val="22"/>
        </w:rPr>
        <w:t xml:space="preserve">. Except for the agreements set forth on </w:t>
      </w:r>
      <w:r>
        <w:rPr>
          <w:rFonts w:ascii="Times New Roman" w:hAnsi="Times New Roman"/>
          <w:color w:val="000000"/>
          <w:sz w:val="22"/>
          <w:u w:val="single"/>
        </w:rPr>
        <w:t>Schedule 3.17</w:t>
      </w:r>
      <w:r>
        <w:rPr>
          <w:rFonts w:ascii="Times New Roman" w:hAnsi="Times New Roman"/>
          <w:color w:val="000000"/>
          <w:sz w:val="22"/>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3.18 </w:t>
      </w:r>
      <w:r>
        <w:rPr>
          <w:rFonts w:ascii="Times New Roman" w:hAnsi="Times New Roman"/>
          <w:color w:val="000000"/>
          <w:sz w:val="22"/>
          <w:u w:val="single"/>
        </w:rPr>
        <w:t>Compliance with Environmental Requirements; No Hazardous Materials</w:t>
      </w:r>
      <w:r>
        <w:rPr>
          <w:rFonts w:ascii="Times New Roman" w:hAnsi="Times New Roman"/>
          <w:color w:val="000000"/>
          <w:sz w:val="22"/>
        </w:rPr>
        <w:t xml:space="preserve">. Except in each case as set forth on </w:t>
      </w:r>
      <w:r>
        <w:rPr>
          <w:rFonts w:ascii="Times New Roman" w:hAnsi="Times New Roman"/>
          <w:color w:val="000000"/>
          <w:sz w:val="22"/>
          <w:u w:val="single"/>
        </w:rPr>
        <w:t>Schedule 3.18</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no notice, notification, demand, request for information, citation, summons, complaint or order has been issued, no complaint has been filed, no penalty has been assessed and no investigation or review is pending, or to such Credit Party’s knowledge, threatened in writing by any Governmental Authority or other Person with respect to any (i) alleged violation by any Credit Party of any Environmental Law, (ii) alleged failure by any Credit Party to have any Permits required in connection with the conduct of its business or to comply with the terms and conditions thereof, (iii) any generation, treatment, storage, recycling, transportation or disposal of any Hazardous Materials, or (iv) release of Hazardous Materials, in each case except where the failure to obtain such document could not reasonably be expected to have a Material Adverse Effect;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no property now owned or leased by any Credit Party and, to the knowledge of each Credit Party, no such property previously owned or leased by any Credit Party, to which any Credit Party has, directly or indirectly, transported or arranged for the transportation of any Hazardous Materials in violation of applicable Law, is listed or, to such Credit Party’s knowledge, proposed for listing, on the National Priorities List promulgated pursuant to CERCLA, or CERCLIS (as defined in CERCLA) or any similar state list or is the subject of federal, state or local enforcement actions or, to the knowledge of such Credit Party, other investigations which may lead to claims against any Credit Party for clean-up costs, remedial work, damage to natural resources or personal injury claims, including, without limitation, claims under CERCLA,</w:t>
      </w:r>
      <w:r>
        <w:rPr>
          <w:rFonts w:ascii="Times New Roman" w:hAnsi="Times New Roman"/>
          <w:color w:val="000000"/>
          <w:sz w:val="20"/>
        </w:rPr>
        <w:t xml:space="preserve"> </w:t>
      </w:r>
      <w:r>
        <w:rPr>
          <w:rFonts w:ascii="Times New Roman" w:hAnsi="Times New Roman"/>
          <w:color w:val="000000"/>
          <w:sz w:val="22"/>
        </w:rPr>
        <w:t>which claims could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Section 3.18, each Credit Party shall be deemed to include any business or business entity (including a corporation) that is, in whole or in part, a predecessor of such Credit Party.</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3.19 </w:t>
      </w:r>
      <w:r>
        <w:rPr>
          <w:rFonts w:ascii="Times New Roman" w:hAnsi="Times New Roman"/>
          <w:color w:val="000000"/>
          <w:sz w:val="22"/>
          <w:u w:val="single"/>
        </w:rPr>
        <w:t>Intellectual Property and License Agreements</w:t>
      </w:r>
      <w:r>
        <w:rPr>
          <w:rFonts w:ascii="Times New Roman" w:hAnsi="Times New Roman"/>
          <w:color w:val="000000"/>
          <w:sz w:val="22"/>
        </w:rPr>
        <w:t>. A list of all Registered Intellectual Property of each Credit Party and all material in-bound license or sublicense agreements, and exclusive out-bound license or sublicense agreements (but, in each case, excluding in-bound licenses of over-the-counter and other software that is commercially available to the public and open source licenses in the Ordinary Course of Business), as of the Closing Date and, as updated pursuant to Section 4.15, is set forth on Schedule 3.19. Except for Permitted Licenses and Permitted Liens arising by operation of law, each Credit Party is the sole owner of its material Intellectual Property free and clear of any Liens. Each material patent owned or licensed by any Credit Party is valid and enforceable in all material respects and no part of the Material Intangible Assets has been judged invalid or unenforceable, in whole or in part, and to the best of Credit Parties’ knowledge, no claim has been made that any part of the Intellectual Property violates the rights of any third party in any material respect.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3.20 </w:t>
      </w:r>
      <w:r>
        <w:rPr>
          <w:rFonts w:ascii="Times New Roman" w:hAnsi="Times New Roman"/>
          <w:color w:val="000000"/>
          <w:sz w:val="22"/>
          <w:u w:val="single"/>
        </w:rPr>
        <w:t>Solvency</w:t>
      </w:r>
      <w:r>
        <w:rPr>
          <w:rFonts w:ascii="Times New Roman" w:hAnsi="Times New Roman"/>
          <w:color w:val="000000"/>
          <w:sz w:val="22"/>
        </w:rPr>
        <w:t>. After giving effect to the Loan advance and the liabilities and obligations of each Credit Party under the Financing Documents, each Borrower and each additional Credit Party is Solvent.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3.21 </w:t>
      </w:r>
      <w:r>
        <w:rPr>
          <w:rFonts w:ascii="Times New Roman" w:hAnsi="Times New Roman"/>
          <w:color w:val="000000"/>
          <w:sz w:val="22"/>
          <w:u w:val="single"/>
        </w:rPr>
        <w:t>Full Disclosure</w:t>
      </w:r>
      <w:r>
        <w:rPr>
          <w:rFonts w:ascii="Times New Roman" w:hAnsi="Times New Roman"/>
          <w:color w:val="000000"/>
          <w:sz w:val="22"/>
        </w:rPr>
        <w:t xml:space="preserve">. None of the written information (financial or otherwise) furnished by or on behalf of any Credit Party to Agent or any Lender in connection with the consummation of the transactions contemplated by the Financing Documents,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Credit Parties (or their agents) have been prepared on the basis of the assumptions stated therein. Such projections represent each Credit Party’s best estimate of such Credit Party’s future financial performance and such assumptions are believed by such Credit Party to be fair and reasonable in light of current business conditions;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Credit Parties can give no assurance that such projections will be attained. Agent and each Lender acknowledges and agrees that all financial performance projections delivered to Agent represent Borrowers’ best good faith estimate of future financial performance and are based on assumptions believed by Credit Parties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3.22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3.23 </w:t>
      </w:r>
      <w:r>
        <w:rPr>
          <w:rFonts w:ascii="Times New Roman" w:hAnsi="Times New Roman"/>
          <w:color w:val="000000"/>
          <w:sz w:val="22"/>
          <w:u w:val="single"/>
        </w:rPr>
        <w:t>Subsidiaries</w:t>
      </w:r>
      <w:r>
        <w:rPr>
          <w:rFonts w:ascii="Times New Roman" w:hAnsi="Times New Roman"/>
          <w:color w:val="000000"/>
          <w:sz w:val="22"/>
        </w:rPr>
        <w:t>. Credit Parties do not own any stock, partnership interests, limited liability company interests or other equity securities or Subsidiaries except for Permitted Investments.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3.24 </w:t>
      </w:r>
      <w:r>
        <w:rPr>
          <w:rFonts w:ascii="Times New Roman" w:hAnsi="Times New Roman"/>
          <w:color w:val="000000"/>
          <w:sz w:val="22"/>
          <w:u w:val="single"/>
        </w:rPr>
        <w:t>Accuracy of Schedules</w:t>
      </w:r>
      <w:r>
        <w:rPr>
          <w:rFonts w:ascii="Times New Roman" w:hAnsi="Times New Roman"/>
          <w:color w:val="000000"/>
          <w:sz w:val="22"/>
        </w:rPr>
        <w:t>. All information set forth in the Schedules to this Agreement is true, accurate and complete in all material respects as of the Closing Date. All information set forth in the Perfection Certificate is true, accurate and complete in all material respects as of the Closing Date and any other subsequent date in which Borrower is required to update such certificate.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3.25 </w:t>
      </w:r>
      <w:r>
        <w:rPr>
          <w:rFonts w:ascii="Times New Roman" w:hAnsi="Times New Roman"/>
          <w:color w:val="000000"/>
          <w:sz w:val="22"/>
          <w:u w:val="single"/>
        </w:rPr>
        <w:t>Eligible Account; Eligible Inventory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As to each Account that is identified by Borrowers as an Eligible Account in a Borrowing Base Certificate submitted to Agent, such Account is (i) a bona fide existing payment obligation of the applicable Account Debtor created by the sale and delivery of Inventory or the rendition of services to such Account Debtor in the Ordinary Course of Business of the applicable Borrower, (ii) owed to the applicable Borrower without any known defenses, disputes, offsets, counterclaims, or rights of return or cancellation, and (iii) not excluded as ineligible by virtue of one or more of the excluding criteria set forth in the definition of “Eligible Account”.</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to each item of Inventory that is identified by the applicable Borrowers as Eligible Inventory in a Borrowing Base Certificate submitted to Agent, such Inventory is (a) of good and merchantable quality, free from known defects, (b) not excluded as ineligible by virtue of one or more of the excluding criteria (set forth in the definition of “Eligible Inventory”), and (c) otherwise constitutes “Eligible Inventory” under such definition.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3.26 </w:t>
      </w:r>
      <w:r>
        <w:rPr>
          <w:rFonts w:ascii="Times New Roman" w:hAnsi="Times New Roman"/>
          <w:color w:val="000000"/>
          <w:sz w:val="22"/>
          <w:u w:val="single"/>
        </w:rPr>
        <w:t>Regulatory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All of Credit Parties’ and their Subsidiaries’ material Products and material Regulatory Required Permits (limited to those Regulatory Required Permits the loss of which would reasonably be expected to have a Material Adverse Effect) are listed on Schedule 4.17 on the Closing Date. With respect to each material Product, (i) the Credit Parties and their Subsidiaries have received, and such Product is the subject of, all Regulatory Required Permits needed in connection with the testing, manufacture, marketing or sale of such Product as currently being conducted by or on behalf of the Credit Parties, and have provided Agent with all notices and other information required by Section 4.1, and (ii) such Product is being tested, manufactured, marketed or sold, as the case may be, by Credit Parties (or to the Credit Parties’ knowledge, by any applicable third parties) in material compliance with all applicable Laws and Regulatory Required Permits.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None of the Credit Parties or any Subsidiary thereof are in violation of any Healthcare Law, except where such violation would not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To the Credit Parties’ knowledge, none of the Credit Parties or their Subsidiaries’ officers, directors, employees, shareholders, their agents or affiliates has made an untrue statement of material fact or fraudulent statement to the FDA or failed to disclose a material fact required to be disclosed to the FDA, committed an act, made a statement, or failed to make a statement that could reasonably be expected to provide a basis for the FDA to invoke its policy respecting “Fraud, Untrue Statements of Material Facts, Bribery, and Illegal Gratuities,” set forth in 56 Fed. Regulation 46191 (September 10, 1991).</w:t>
      </w:r>
    </w:p>
    <w:p>
      <w:pPr>
        <w:pStyle w:val="TextBody"/>
        <w:bidi w:val="0"/>
        <w:spacing w:before="0" w:after="240"/>
        <w:jc w:val="both"/>
        <w:rPr>
          <w:rFonts w:ascii="Times New Roman" w:hAnsi="Times New Roman"/>
          <w:sz w:val="20"/>
        </w:rPr>
      </w:pPr>
      <w:r>
        <w:rPr>
          <w:rFonts w:ascii="Times New Roman" w:hAnsi="Times New Roman"/>
          <w:color w:val="000000"/>
          <w:sz w:val="22"/>
        </w:rPr>
        <w:t>(d) Except as would not reasonably be expected to result in a Material Adverse Effect, each Product (i) has been and/or shall be manufactured, imported, possessed, owned, warehoused, marketed, promoted, sold, labeled, furnished, distributed and marketed and each service has been conducted in accordance with all applicable Permits and Laws; and (ii) has been and/or shall be manufactured in accordance with Good Manufacturing Practices.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 Credit Party, nor any Subsidiary thereof, is subject to any proceeding, suit or, to any Credit Party’s knowledge, investigation by any federal, state or local government or quasi-governmental body, agency, board or authority or any other administrative or investigative body (including the Office of the Inspector General of the United States Department of Health and Human Services),which could reasonably be expected to result in the revocation, transfer, surrender, suspension of any material Permits of Borrower or any Subsidiary thereof or otherwise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(f) As of the Closing Date, there have been no Regulatory Reporting Events.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3.27 </w:t>
      </w:r>
      <w:r>
        <w:rPr>
          <w:rFonts w:ascii="Times New Roman" w:hAnsi="Times New Roman"/>
          <w:color w:val="000000"/>
          <w:sz w:val="22"/>
          <w:u w:val="single"/>
        </w:rPr>
        <w:t>Senior Indebtedness Status</w:t>
      </w:r>
      <w:r>
        <w:rPr>
          <w:rFonts w:ascii="Times New Roman" w:hAnsi="Times New Roman"/>
          <w:color w:val="000000"/>
          <w:sz w:val="22"/>
        </w:rPr>
        <w:t>. The Obligations of each Credit Party under this Agreement and each of the other Financing Documents ranks and shall continue to rank at least senior in priority of payment to all Debt that is contractually subordinated to the Obligations of each such Person under this Agreement and is designated as “Senior Indebtedness” (or an equivalent term) under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instruments and documents, now or in the future, relating to all Debt that is contractually subordinated to the Obligations under this Agreement of each such Person.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4 - AFFIRMATIVE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Credit Party agrees that: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 </w:t>
      </w:r>
      <w:r>
        <w:rPr>
          <w:rFonts w:ascii="Times New Roman" w:hAnsi="Times New Roman"/>
          <w:color w:val="000000"/>
          <w:sz w:val="22"/>
          <w:u w:val="single"/>
        </w:rPr>
        <w:t>Financial Statements, Other Reports and Notices</w:t>
      </w:r>
      <w:r>
        <w:rPr>
          <w:rFonts w:ascii="Times New Roman" w:hAnsi="Times New Roman"/>
          <w:color w:val="000000"/>
          <w:sz w:val="22"/>
        </w:rPr>
        <w:t>. The Credit Parties will deliver to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as soon as available, but no later than forty-five (45) days after the last day of each fiscal quarter, or, with respect to the fourth fiscal quarter and fiscal year end, ninety (90) days after the last day of such fiscal quarter, a company prepared consolidated and consolidating balance sheet, cash flow and income statement (including year-to-date results) covering CeriBell and its Consolidated Subsidiaries’ consolidated and consolidating operations during the period, prepared in accordance with GAAP (subject to normal year-end adjustments and the absence of footnote disclosures), consistently applied, setting forth in comparative form the corresponding figures as at the end of the corresponding fiscal quarter of the previous fiscal year and the projected figures for such period based upon the projections required hereunder, all in reasonable detail, certified by a Responsible Officer and in a form reasonably acceptable to Agent; provided that the filing by Borrower with the SEC of a Form 10-Q or Form 10-K containing the information required by this clause (a) shall be deemed to satisfy the delivery requirements of this clause (a) to the extent such filing contains the required information and is publicly available;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0" w:after="240"/>
        <w:jc w:val="both"/>
        <w:rPr>
          <w:rFonts w:ascii="Times New Roman" w:hAnsi="Times New Roman"/>
          <w:sz w:val="20"/>
        </w:rPr>
      </w:pPr>
      <w:r>
        <w:rPr>
          <w:rFonts w:ascii="Times New Roman" w:hAnsi="Times New Roman"/>
          <w:color w:val="000000"/>
          <w:sz w:val="22"/>
        </w:rPr>
        <w:t>(c) as soon as available, but no later than 90 days after the last day of CeriBell’s fiscal year, audited consolidated and consolidating financial statements prepared under GAAP, consistently applied, together with an unqualified opinion (other than a going concern qualification based solely on (i) the upcoming maturity date of the Debt under this Agreement occurring within 12 months of the date of such audit or (ii) Borrower having negative profits or a determination that Borrower has less than twelve months liquidity) on the financial statements from an independent certified public accounting firm acceptable to Agent in its reasonable discretion; provided that the filing by Borrower with the SEC of a Form 10-K containing the information required by this clause (c) shall be deemed to satisfy the delivery requirements of this clause (c) to the extent such filing contains the required information and is publicly available;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within ten (10) days of delivery or filing thereof, copies of all statements, reports and notices made available to such Credit Party’s security holders or to any holders of Subordinated Debt and copies of all reports and other filings made by such Credit Party with any stock exchange on which any securities of any Credit Party are traded and/or the SEC; provided that to the extent any of the foregoing is available on the SEC EDGAR website, delivery to Agent will be deemed to have been delivered on the date (i) on which such materials are publicly available as posted on the SEC EDGAR website and Borrower Representative posts such documents, or provides a link thereto, on Borrower Representative’s website on the Internet at Borrower Representative’s website address;</w:t>
      </w:r>
    </w:p>
    <w:p>
      <w:pPr>
        <w:pStyle w:val="TextBody"/>
        <w:bidi w:val="0"/>
        <w:spacing w:before="0" w:after="240"/>
        <w:jc w:val="both"/>
        <w:rPr>
          <w:rFonts w:ascii="Times New Roman" w:hAnsi="Times New Roman"/>
          <w:sz w:val="20"/>
        </w:rPr>
      </w:pPr>
      <w:r>
        <w:rPr>
          <w:rFonts w:ascii="Times New Roman" w:hAnsi="Times New Roman"/>
          <w:color w:val="000000"/>
          <w:sz w:val="22"/>
        </w:rPr>
        <w:t>(e) a prompt, but in no event later than when the next Compliance Certificate is required to be delivered, written report of any legal actions pending or threatened in writing against any Credit Party or any of its Subsidiaries that could reasonably be expected to result in damages or costs to any Credit Party or any of its Subsidiaries of One Million Dollars ($1,000,000) or more</w:t>
      </w:r>
      <w:r>
        <w:rPr>
          <w:rFonts w:ascii="Times New Roman" w:hAnsi="Times New Roman"/>
          <w:color w:val="000000"/>
          <w:sz w:val="20"/>
        </w:rPr>
        <w:t xml:space="preserve"> </w:t>
      </w:r>
      <w:r>
        <w:rPr>
          <w:rFonts w:ascii="Times New Roman" w:hAnsi="Times New Roman"/>
          <w:color w:val="000000"/>
          <w:sz w:val="22"/>
        </w:rPr>
        <w:t>or otherwise could be reasonably expected to result in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prompt written notice of an event that materially and adversely affects the value of any Material Intangible Asset;</w:t>
      </w:r>
    </w:p>
    <w:p>
      <w:pPr>
        <w:pStyle w:val="TextBody"/>
        <w:bidi w:val="0"/>
        <w:spacing w:before="0" w:after="240"/>
        <w:jc w:val="both"/>
        <w:rPr>
          <w:rFonts w:ascii="Times New Roman" w:hAnsi="Times New Roman"/>
          <w:sz w:val="20"/>
        </w:rPr>
      </w:pPr>
      <w:r>
        <w:rPr>
          <w:rFonts w:ascii="Times New Roman" w:hAnsi="Times New Roman"/>
          <w:color w:val="000000"/>
          <w:sz w:val="22"/>
        </w:rPr>
        <w:t>(g) within sixty (60) days after the start of each fiscal year, projections for the forthcoming two fiscal years, on a quarterly basis for the current year and on an annual basis for the subsequent year;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promptly (but in any event within ten (10) days of any request therefor) such readily available other budgets, sales projections, operating plans and other financial information and information, reports or statements regarding the Credit Parties, their business and the Collateral as Agent may from time to time reasonably request;</w:t>
      </w:r>
    </w:p>
    <w:p>
      <w:pPr>
        <w:pStyle w:val="TextBody"/>
        <w:bidi w:val="0"/>
        <w:spacing w:before="0" w:after="240"/>
        <w:jc w:val="both"/>
        <w:rPr>
          <w:rFonts w:ascii="Times New Roman" w:hAnsi="Times New Roman"/>
          <w:sz w:val="20"/>
        </w:rPr>
      </w:pPr>
      <w:r>
        <w:rPr>
          <w:rFonts w:ascii="Times New Roman" w:hAnsi="Times New Roman"/>
          <w:color w:val="000000"/>
          <w:sz w:val="22"/>
        </w:rPr>
        <w:t>(i) (x) together with each delivery of financial statements pursuant to clause (a) above and with respect to the fourth fiscal quarter and fiscal year end within forty-five (45) days after the last day of such fiscal quarter, deliver to Agent</w:t>
      </w:r>
      <w:r>
        <w:rPr>
          <w:rFonts w:ascii="Times New Roman" w:hAnsi="Times New Roman"/>
          <w:color w:val="000000"/>
          <w:sz w:val="20"/>
        </w:rPr>
        <w:t xml:space="preserve"> </w:t>
      </w:r>
      <w:r>
        <w:rPr>
          <w:rFonts w:ascii="Times New Roman" w:hAnsi="Times New Roman"/>
          <w:color w:val="000000"/>
          <w:sz w:val="22"/>
        </w:rPr>
        <w:t>a duly completed Compliance Certificate signed by a Responsible Officer setting forth calculations showing compliance with the financial covenants set forth in Article 6, and (y) by the date that is fifteen (15) days following the end of each calendar month, deliver to Agent a written statement setting forth the monthly cash and Cash Equivalents of the Credit Parties taken as a whole as of the last day of the month for which such statement is delivered;</w:t>
      </w:r>
    </w:p>
    <w:p>
      <w:pPr>
        <w:pStyle w:val="TextBody"/>
        <w:bidi w:val="0"/>
        <w:spacing w:before="0" w:after="240"/>
        <w:jc w:val="both"/>
        <w:rPr>
          <w:rFonts w:ascii="Times New Roman" w:hAnsi="Times New Roman"/>
          <w:sz w:val="20"/>
        </w:rPr>
      </w:pPr>
      <w:r>
        <w:rPr>
          <w:rFonts w:ascii="Times New Roman" w:hAnsi="Times New Roman"/>
          <w:color w:val="000000"/>
          <w:sz w:val="22"/>
        </w:rPr>
        <w:t>(j) within fifteen (15) days after the last day of such month, deliver to Agent a duly completed Borrowing Base Certificate signed by a Responsible Officer, with aged listings of accounts receivable and accounts payable (by invoice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written notice to Agent promptly, but in any event within ten (10) Business Days of a Responsible Officer of a Credit Party receiving written notice or otherwise becoming aware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development, testing, and/or manufacturing of any Product that is material to the Credit Parties’ or their Subsidiaries business should cease;</w:t>
      </w:r>
    </w:p>
    <w:p>
      <w:pPr>
        <w:pStyle w:val="TextBody"/>
        <w:bidi w:val="0"/>
        <w:spacing w:before="0" w:after="240"/>
        <w:jc w:val="both"/>
        <w:rPr>
          <w:rFonts w:ascii="Times New Roman" w:hAnsi="Times New Roman"/>
          <w:sz w:val="20"/>
        </w:rPr>
      </w:pPr>
      <w:r>
        <w:rPr>
          <w:rFonts w:ascii="Times New Roman" w:hAnsi="Times New Roman"/>
          <w:color w:val="000000"/>
          <w:sz w:val="22"/>
        </w:rPr>
        <w:t>(ii) the marketing or sales of a Product, which is material to the Credit Parties’ or their Subsidiaries’ business and which has been approved for marketing and sale, should cease (or be required to cease) or such Product should be withdrawn from the marketplace;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(iii) any Governmental Authority is conducting an investigation or review (other than routine reviews in the Ordinary Course of Business) of any Regulatory Required Permit the loss of which could be reasonably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any Regulatory Required Permit, the loss of which could be reasonably expected to result in a Material Adverse Effect, has been revoked or withdrawn;</w:t>
      </w:r>
    </w:p>
    <w:p>
      <w:pPr>
        <w:pStyle w:val="TextBody"/>
        <w:bidi w:val="0"/>
        <w:spacing w:before="0" w:after="240"/>
        <w:jc w:val="both"/>
        <w:rPr>
          <w:rFonts w:ascii="Times New Roman" w:hAnsi="Times New Roman"/>
          <w:sz w:val="20"/>
        </w:rPr>
      </w:pPr>
      <w:r>
        <w:rPr>
          <w:rFonts w:ascii="Times New Roman" w:hAnsi="Times New Roman"/>
          <w:color w:val="000000"/>
          <w:sz w:val="22"/>
        </w:rPr>
        <w:t>(v) any Governmental Authority, including without limitation the FDA, the Office of the Inspector General of HHS or the United States Department of Justice, has commenced any action against a Credit Party or a Subsidiary thereof, any action to enjoin a Credit Party or a Subsidiary thereof from conducting their businesses at any facility owned or used by them or for any material civil penalty, injunction, seizure or criminal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 receipt by a Credit Party or any Subsidiary thereof, or any material contract manufacturer for the Credit Parties or any of their Subsidiaries, from the FDA a warning letter, Form FDA-483, “Untitled Letter,” other correspondence or notice setting forth alleged violations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of laws and regulations enforced by the FDA with regard to any material Product or the manufacture, processing, packing, or holding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any Credit Party or any Subsidiary thereof receives any payments directly (including through any third party payment processor) from Medicare, Medicaid, or TRICARE;</w:t>
      </w:r>
    </w:p>
    <w:p>
      <w:pPr>
        <w:pStyle w:val="TextBody"/>
        <w:bidi w:val="0"/>
        <w:spacing w:before="0" w:after="240"/>
        <w:jc w:val="both"/>
        <w:rPr>
          <w:rFonts w:ascii="Times New Roman" w:hAnsi="Times New Roman"/>
          <w:sz w:val="20"/>
        </w:rPr>
      </w:pPr>
      <w:r>
        <w:rPr>
          <w:rFonts w:ascii="Times New Roman" w:hAnsi="Times New Roman"/>
          <w:color w:val="000000"/>
          <w:sz w:val="22"/>
        </w:rPr>
        <w:t>(viii) any significant failures in the manufacturing of any material Product have occurred such that the amount of such Product successfully manufactured in accordance with all specifications thereof and the required payments to be made to any Credit Party or any Subsidiary therefor in any month shall decrease significantly with respect to the quantities of such Product and payments produced in the prior month;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(ix) any Credit Party or any Subsidiary thereof engaging in any Recalls, Market Withdrawals, or other forms of product retrieval from the marketplace of any Products (other than discrete batches or lots that are not material in quantity or amount and are not made in conjunction with a larger recall) (each of the events set forth in clauses (i)-(ix) a “</w:t>
      </w:r>
      <w:r>
        <w:rPr>
          <w:rFonts w:ascii="Times New Roman" w:hAnsi="Times New Roman"/>
          <w:b/>
          <w:color w:val="000000"/>
          <w:sz w:val="22"/>
        </w:rPr>
        <w:t>Regulatory Reporting Event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promptly after the request by any Lender, all documentation and other information that such Lender reasonably requests in order to comply with its ongoing obligations under applicable “know your customer” and anti-money laundering rules and regulations, including, without limitation, the USA PATRIOT Act; and</w:t>
      </w:r>
    </w:p>
    <w:p>
      <w:pPr>
        <w:pStyle w:val="TextBody"/>
        <w:bidi w:val="0"/>
        <w:spacing w:before="0" w:after="240"/>
        <w:jc w:val="both"/>
        <w:rPr>
          <w:rFonts w:ascii="Times New Roman" w:hAnsi="Times New Roman"/>
          <w:sz w:val="20"/>
        </w:rPr>
      </w:pPr>
      <w:r>
        <w:rPr>
          <w:rFonts w:ascii="Times New Roman" w:hAnsi="Times New Roman"/>
          <w:color w:val="000000"/>
          <w:sz w:val="22"/>
        </w:rPr>
        <w:t>(m) promptly, but in any event within five (5)</w:t>
      </w:r>
      <w:r>
        <w:rPr>
          <w:rFonts w:ascii="Times New Roman" w:hAnsi="Times New Roman"/>
          <w:color w:val="000000"/>
          <w:sz w:val="20"/>
        </w:rPr>
        <w:t xml:space="preserve"> </w:t>
      </w:r>
      <w:r>
        <w:rPr>
          <w:rFonts w:ascii="Times New Roman" w:hAnsi="Times New Roman"/>
          <w:color w:val="000000"/>
          <w:sz w:val="22"/>
        </w:rPr>
        <w:t>Business Days, after any Responsible Officer of any Credit Party obtains knowledge of the occurrence of any event or change (including, without limitation, any notice of any violation of applicable Healthcare Laws) that has resulted or would reasonably be expected to result in, either in any case or in the aggregate, a Material Adverse Effect,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4.2 </w:t>
      </w:r>
      <w:r>
        <w:rPr>
          <w:rFonts w:ascii="Times New Roman" w:hAnsi="Times New Roman"/>
          <w:color w:val="000000"/>
          <w:sz w:val="22"/>
          <w:u w:val="single"/>
        </w:rPr>
        <w:t>Payment and Performance of Obligations</w:t>
      </w:r>
      <w:r>
        <w:rPr>
          <w:rFonts w:ascii="Times New Roman" w:hAnsi="Times New Roman"/>
          <w:color w:val="000000"/>
          <w:sz w:val="22"/>
        </w:rPr>
        <w:t>. Each Credit Party (a) will pay and discharge, and cause each Subsidiary to pay and discharge, on a timely basis as and when due, all of their respective obligations and liabilities, except for such obligations and/or liabilities (i) that may be the subject of a Permitted Contest, and (ii) the nonpayment or nondischarge of which could not reasonably be expected to have a Material Adverse Effect or result in a Lien against any Collateral, except for Permitted Liens, (b) without limiting anything contained in the foregoing clause (a), pay all amounts due and owing in respect of (i) all federal Taxes (including without limitation, payroll and withholdings tax liabilities) and (ii) all material foreign and state Taxes and other local Taxes (including without limitation, payroll and withholdings tax liabilities), in each case, on a timely basis as and when due, and in any case prior to the date on which any fine, penalty, interest, late charge or loss may be added thereto for nonpayment thereof, (c) will maintain, and cause each Subsidiary to maintain, in accordance with GAAP, appropriate reserves for the accrual of all of their respective obligations and liabilities, and (d) will not breach or permit any Subsidiary to breach, or permit to exist any default under, the terms of any lease, commitment, contract, instrument or obligation to which it is a party, or by which its properties or assets are bound, except for such breaches or defaults which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4.3 </w:t>
      </w:r>
      <w:r>
        <w:rPr>
          <w:rFonts w:ascii="Times New Roman" w:hAnsi="Times New Roman"/>
          <w:color w:val="000000"/>
          <w:sz w:val="22"/>
          <w:u w:val="single"/>
        </w:rPr>
        <w:t>Maintenance of Existence</w:t>
      </w:r>
      <w:r>
        <w:rPr>
          <w:rFonts w:ascii="Times New Roman" w:hAnsi="Times New Roman"/>
          <w:color w:val="000000"/>
          <w:sz w:val="22"/>
        </w:rPr>
        <w:t>. Each Credit Party will preserve, renew and keep in full force and effect and in good standing, and will cause each Subsidiary to preserve, renew and keep in full force and effect and in good standing, (a) their respective existence and (b) their respective rights, privileges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franchises necessary or desirable in the normal conduct of business, unless, solely in the case of this clause (b), a failure to do so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4.4 </w:t>
      </w:r>
      <w:r>
        <w:rPr>
          <w:rFonts w:ascii="Times New Roman" w:hAnsi="Times New Roman"/>
          <w:color w:val="000000"/>
          <w:sz w:val="22"/>
          <w:u w:val="single"/>
        </w:rPr>
        <w:t>Maintenance of Property; Insurance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Credit Party will keep, and will cause each Subsidiary to keep, all property useful and necessary in its business in good working order and condition, ordinary wear and tear excepted. If all or any part of the Collateral useful or necessary in its business, or upon which any Borrowing Base is calculated, becomes damaged or destroyed, each Credit Party will, and will cause each Subsidiary to, promptly and completely replace, repair and/or restore the affected Collateral in a good and workmanlike manner, regardless of whether Agent agrees to disburse insurance proceeds or other sums to pay costs of the work of repair or reconstruction.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Upon completion of any Permitted Contest, Credit Parties shall, and will cause each Subsidiary to, promptly pay the amount due, if any, and deliver to Agent proof of the completion of the contest and payment of the amount due, if 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Each Credit Party will maintain (i) casualty insurance on all real and personal property on an all risks basis (including the perils of flood, windstorm and quake),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no event shall such insurance be in amounts or with coverage less than, or with carriers with qualifications inferior to, any of the insurance or carriers in existence as of the Closing Date (or required to be in existence after the Closing Date under a Financing Document). All such insurance shall be provided by insurers having an A.M. Best policyholders rating reasonably acceptable to Agent.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On or prior to the Closing Date, and at all times thereafter, each Credit Party will cause Agent to be named as an additional insured, assignee and lender loss payee (which shall include, as applicable, identification as mortgagee), as applicable, on each insurance policy required to be maintained pursuant to this Section 4.4 pursuant to endorsements in form and substance acceptable to Agent. Credit Parties shall deliver to Agent and the Lenders (i) on the Closing Date, a certificate from Credit Parties’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(or ten (10) days for nonpayment of premium) after receipt by each additional insured, assignee and loss payee of written notice thereof, (ii) on an annual basis, and upon the request of any Lender through Agent from time to time full information as to the insurance carried, (iii) within five (5) days of receipt of notice from any insurer, a copy of any notice of cancellation, nonrenewal or material change in coverage from that existing on the date of this Agreement, (iv) forthwith, notice of any cancellation or nonrenewal of coverage by any Credit Party, and (v) at least thirty (30) days prior to expiration of any policy of insurance, evidence of renewal of such insurance upon the terms and conditions herein required.</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 In the event any Credit Party fails to provide Agent with evidence of the insurance coverage required by this Agreement, Agent may purchase insurance at Credit Parties’ expense to protect Agent’s interests in the Collateral. This insurance may, but need not, protect such Credit Party’s interests. The coverage purchased by Agent may not pay any claim made by such Credit Party or any claim that is made against such Credit Party in connection with the Collateral. Such Credit Party may later cancel any insurance purchased by Agent, but only after providing Agent with evidence that such Credit Party has obtained insurance as required by this Agreement. If Agent purchases insurance for the Collateral, Credit Parties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 insurance may be added to the Obligations. The costs of the insurance may be more than the cost of insurance such Credit Party is able to obtain on its own.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4.5 </w:t>
      </w:r>
      <w:r>
        <w:rPr>
          <w:rFonts w:ascii="Times New Roman" w:hAnsi="Times New Roman"/>
          <w:color w:val="000000"/>
          <w:sz w:val="22"/>
          <w:u w:val="single"/>
        </w:rPr>
        <w:t>Compliance with Laws and Material Contracts</w:t>
      </w:r>
      <w:r>
        <w:rPr>
          <w:rFonts w:ascii="Times New Roman" w:hAnsi="Times New Roman"/>
          <w:color w:val="000000"/>
          <w:sz w:val="22"/>
        </w:rPr>
        <w:t>. Each Credit Party will comply, and cause each Subsidiary to comply, with the requirements of all applicable Laws (including all Healthcare Laws) and Material Contracts, except to the extent that failure to so comply could not reasonably be expected to (a) have a Material Adverse Effect, or (b) result in any Lien (other than a Permitted Lien) upon either (i) a material portion of the assets of any such Person in favor of any Governmental Authority, or (ii) any Collateral which is part of the Borrowing Base (other than, in each case, any Permitted Lien).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4.6 </w:t>
      </w:r>
      <w:r>
        <w:rPr>
          <w:rFonts w:ascii="Times New Roman" w:hAnsi="Times New Roman"/>
          <w:color w:val="000000"/>
          <w:sz w:val="22"/>
          <w:u w:val="single"/>
        </w:rPr>
        <w:t>Inspection of Property, Books and Records</w:t>
      </w:r>
      <w:r>
        <w:rPr>
          <w:rFonts w:ascii="Times New Roman" w:hAnsi="Times New Roman"/>
          <w:color w:val="000000"/>
          <w:sz w:val="22"/>
        </w:rPr>
        <w:t>. Each Credit Party will keep, and will cause each Subsidiary to keep, proper books of record substantially in accordance with GAAP in which full, true and correct entries shall be made of all dealings and transactions in relation to its business and activities; and will permit, and will cause each Subsidiary to permit, during normal business hours, at the sole cost of the applicable Credit Party or any applicable Subsidiary, representatives of Agent to visit and inspect any of their respective properties, to examine and make abstracts or copies from any of their respective books and records, to conduct a collateral audit and analysis of their respective operations and the Collateral, to evaluate and make physical verifications and appraisals of the Inventory and other Collateral in any manner and through any medium that Agent considers advisable, to verify the amount and age of the Accounts, the identity and credit of the respective Account Debtors, to review the billing practices of Credit Parties and to discuss their respective affairs, finances and accounts with their respective officers, employees and independent public accountants as often as may reasonably be desired. In the absence of an Event of Default which is continuing, (i) such inspections and audits shall be conducted at Credit Parties’ expense no more often than two (2) times every twelve (12) months, and (ii) Agent exercising any rights pursuant to this Section 4.6 shall give the applicable Credit Party or any applicable Subsidiary commercially reasonable prior notice of such exercise. No notice shall be required during the existence and continuance of any Default or Event of Default or any time during which Agent reasonably believed a Default or Event of Default exists.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4.7 </w:t>
      </w:r>
      <w:r>
        <w:rPr>
          <w:rFonts w:ascii="Times New Roman" w:hAnsi="Times New Roman"/>
          <w:color w:val="000000"/>
          <w:sz w:val="22"/>
          <w:u w:val="single"/>
        </w:rPr>
        <w:t>Use of Proceeds</w:t>
      </w:r>
      <w:r>
        <w:rPr>
          <w:rFonts w:ascii="Times New Roman" w:hAnsi="Times New Roman"/>
          <w:color w:val="000000"/>
          <w:sz w:val="22"/>
        </w:rPr>
        <w:t>. Borrowers shall use the proceeds of the Term Loan Tranche 1 borrowing on the Closing Date (if any) and the Revolving Loans advanced on the Closing Date solely for (a) payment of transaction fees incurred in connection with the Financing Documents, (b) the payment in full on the Closing Date of certain existing Debt (as identified in the applicable payoff letter(s)) and (c) for working capital needs of Borrowers. Borrowers shall use the proceeds of any Term Loan Tranche 1 borrowing after the Closing Date and any Term Loan Tranche 2 borrowing solely for (a) transaction fees incurred in connection with the Financing Documents, and (b) working capital needs of the Borrowers are their Subsidiaries. Borrowers shall use the proceeds of Revolving Loans advanced after the Closing Date solely for working capital needs of Borrowers and their Subsidiaries. No portion of the proceeds of the Loans will be used for family, personal, agricultural or household use. No portion of the proceeds of the Loans will be used, whether directly or indirectly, and whether immediately, incidentally or ultimately, for purchasing or carrying Margin Stock or for any other purpose that entails a violation of, or that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inconsistent with, the provisions of the regulations of the Board of Governors of the Federal Reserve System, including Regulation T, U, or X of the Federal Reserve Board.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Section 4.8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4.9 </w:t>
      </w:r>
      <w:r>
        <w:rPr>
          <w:rFonts w:ascii="Times New Roman" w:hAnsi="Times New Roman"/>
          <w:color w:val="000000"/>
          <w:sz w:val="22"/>
          <w:u w:val="single"/>
        </w:rPr>
        <w:t>Notices of Material Contracts, Litigation and Defaults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Credit Parties shall promptly (but in any event within five (5) Business Days) provide written notice to Agent after any Credit Party or Subsidiary receives or delivers any notice of termination or default or similar notice in connection with any Material Contract, and (ii) Credit Parties shall provide, together with the next quarterly Compliance Certificate required to be delivered under this Agreement, written notice to Agent after any Credit Party or Subsidiary (1) executes and delivers any material amendment, consent, waiver or other modification to any Material Contract or (2) enters into new Material Contract and shall, upon request of Agent, promptly provide Agent a copy 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Credit Parties shall promptly (but in any event within five (5) Business Days) provide written notice to Agent (i) upon any Credit Party or any Responsible Officer thereof becoming aware of the existence of any Default or Event of Default, (ii) of any strikes or other labor disputes pending or, to any Credit Party’s knowledge, threatened against any Credit Party, in each case, that could reasonably be expected to have a Material Adverse Effect, (iii) if there is any infringement or claim of infringement by any other Person with respect to any Intellectual Property rights of any Credit Party that could reasonably be expected to have a Material Adverse Effect, or if there is any claim by any other Person that any Credit Party in the conduct of its business is infringing on the Intellectual Property rights of others that could reasonably be expected to have a Material Adverse Effect, and (iv) of all returns, recoveries, disputes and claims that would reasonably be expected to result in liability of more than $100,000 in the aggregate. Credit Parties represent and warrant that Schedule 4.9 sets forth a complete list of all matters existing as of the Closing Date for which notice is required under this Section 4.9(b).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Each Credit Party shall provide such further information (including copies of such documentation) as Agent or any Lender shall reasonably request with respect to any of the events or notices described in clauses (a) and (b) above and any notice given in respect of a Regulatory Reporting Event. From the date hereof and continuing through the termination of this Agreement, each Credit Party shall make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pStyle w:val="TextBody"/>
        <w:bidi w:val="0"/>
        <w:spacing w:before="0" w:after="240"/>
        <w:jc w:val="both"/>
        <w:rPr>
          <w:rFonts w:ascii="Times New Roman" w:hAnsi="Times New Roman"/>
          <w:sz w:val="20"/>
        </w:rPr>
      </w:pPr>
      <w:r>
        <w:rPr>
          <w:rFonts w:ascii="Times New Roman" w:hAnsi="Times New Roman"/>
          <w:color w:val="000000"/>
          <w:sz w:val="22"/>
        </w:rPr>
        <w:t>(d) Credit Parties shall promptly (but in any event within two (2) Business Days) provide written notice to Agent of the occurrence of any Cash Dominion Event.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4.10 </w:t>
      </w:r>
      <w:r>
        <w:rPr>
          <w:rFonts w:ascii="Times New Roman" w:hAnsi="Times New Roman"/>
          <w:color w:val="000000"/>
          <w:sz w:val="22"/>
          <w:u w:val="single"/>
        </w:rPr>
        <w:t>Hazardous Materials; Remediation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any release or disposal of Hazardous Materials shall occur or shall have occurred on any real property or any other assets of any Credit Party, such Credit Party will cause, or direct the applicable Credit Party to cause, the prompt containment and removal of such Hazardous Materials and the remediation of such real property or other assets as is necessary to comply with all Environmental Laws. Without limiting the generality of the foregoing, each Credit Party shall, and shall cause each other Credit Party to, comply with each Environmental Law requiring the performance at any real property by any Credit Party of activities in response to the release or threatened release of a Hazardous Material.</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Credit Parties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as required by Environmental Law and discharging any assessment which may be established on any property as a result thereof, such demand to be made, if at all, upon Agent’s reasonable business determination that the failure to remove, treat or dispose of any such Hazardous Materials or Hazardous Materials Contamination, or the failure to discharge any such assessment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4.11 </w:t>
      </w:r>
      <w:r>
        <w:rPr>
          <w:rFonts w:ascii="Times New Roman" w:hAnsi="Times New Roman"/>
          <w:color w:val="000000"/>
          <w:sz w:val="22"/>
          <w:u w:val="single"/>
        </w:rPr>
        <w:t>Further Assurances; Joinder</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Credit Party will, and will cause each Subsidiary to, at its own cost and expense,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(other than in respect of Excluded Perfection Assets and subject only to Permitted Liens) in favor of Agent for itself and for the benefit of the Lenders on the Collateral (including Collateral acquired after the date hereof), and (ii) unless Agent shall agree otherwise in writing, cause all Subsidiaries of Credit Parties to be jointly and severally obligated with the other Credit Parties under all covenants and obligations under this Agreement, including the obligation to repay the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pStyle w:val="TextBody"/>
        <w:bidi w:val="0"/>
        <w:spacing w:before="0" w:after="240"/>
        <w:jc w:val="both"/>
        <w:rPr>
          <w:rFonts w:ascii="Times New Roman" w:hAnsi="Times New Roman"/>
          <w:sz w:val="20"/>
        </w:rPr>
      </w:pPr>
      <w:r>
        <w:rPr>
          <w:rFonts w:ascii="Times New Roman" w:hAnsi="Times New Roman"/>
          <w:color w:val="000000"/>
          <w:sz w:val="22"/>
        </w:rPr>
        <w:t>(c) Credit Parties shall timely and fully pay and perform its obligations under all material leases and other agreements with respect to each leased location where any Collateral is or may be located.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Credit Parties shall provide Agent with at least ten (10) Business Days (or such shorter period as Agent may accept in its sole discretion) prior written notice of its intention to create (or to the extent permitted under this Agreement, acquire) a new Subsidiary.</w:t>
      </w:r>
      <w:r>
        <w:rPr>
          <w:rFonts w:ascii="Times New Roman" w:hAnsi="Times New Roman"/>
          <w:color w:val="000000"/>
          <w:sz w:val="20"/>
        </w:rPr>
        <w:t xml:space="preserve"> </w:t>
      </w:r>
      <w:r>
        <w:rPr>
          <w:rFonts w:ascii="Times New Roman" w:hAnsi="Times New Roman"/>
          <w:color w:val="000000"/>
          <w:sz w:val="22"/>
        </w:rPr>
        <w:t>Upon the formation (or to the extent permitted under this Agreement, acquisition) of a new Subsidiary, Credit Parties shall (concurrently with the acquisition or creation of such Subsidiary (as applicable)): (i) pledge, have pledged or cause or have caused to be pledged to Agent pursuant to a pledge agreement in form and substance satisfactory to Agent, all of the outstanding Equity Interests of such new Subsidiary owned directly or indirectly by any Credit Party (except to the extent constituting Excluded Property), along with undated stock or equivalent powers for such certificates, executed in blank; (ii) unless Agent shall agree otherwise in writing, cause the new Subsidiary to take such other actions (including entering into or joining any Security Documents) as are necessary or advisable in the reasonable opinion of Agent in order to grant Agent, acting on behalf of the Lenders, a first priority Lien (subject to Permitted Liens which have priority by operation of Law) on all real and personal property (in the case of the perfection of the Liens granted subject to the Excluded Perfection Assets) of such Subsidiary in existence as of such date and in all after acquired property (in each case, other than Excluded Property), which first priority Liens are required to be granted pursuant to this Agreement; (iii) unless Agent shall agree otherwise in writing, cause such new Subsidiary to become a Guarantor of the obligations of Borrowers hereunder and under the other Financing Documents pursuant to a guaranty and suretyship agreement in form and substance reasonably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satisfactory to Agent (or, at the election of Agent, become a Borrower hereunder with joint and several liability for all obligations of Borrowers hereunder and under the other Financing Documents pursuant to a joinder agreement or other similar agreement in form and substance reasonably satisfactory to Agent); and (iv) cause the new Subsidiary to deliver certified copies of such Subsidiary’s certificate or articles of incorporation, together with good standing certificates, by-laws (or other operating agreement or governing documents), resolutions of the Board of Directors or other governing body, approving and authorizing the execution and delivery of the Security Documents, incumbency certificates and to execute and/or deliver such other documents and legal opinions or to take such other actions as may be reasonably requested by Agent, in each case, in form and substance reasonably satisfactory to Agent (the requirements set forth in clauses (i)-(iv), collectively, the “</w:t>
      </w:r>
      <w:r>
        <w:rPr>
          <w:rFonts w:ascii="Times New Roman" w:hAnsi="Times New Roman"/>
          <w:b/>
          <w:color w:val="000000"/>
          <w:sz w:val="22"/>
        </w:rPr>
        <w:t>Joinder Requirements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4.12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4.13 </w:t>
      </w:r>
      <w:r>
        <w:rPr>
          <w:rFonts w:ascii="Times New Roman" w:hAnsi="Times New Roman"/>
          <w:color w:val="000000"/>
          <w:sz w:val="22"/>
          <w:u w:val="single"/>
        </w:rPr>
        <w:t>Power of Attorney</w:t>
      </w:r>
      <w:r>
        <w:rPr>
          <w:rFonts w:ascii="Times New Roman" w:hAnsi="Times New Roman"/>
          <w:color w:val="000000"/>
          <w:sz w:val="22"/>
        </w:rPr>
        <w:t>. Each of the authorized representatives of Agent is hereby irrevocably made, constituted and appointed the true and lawful attorney for Credit Parties (without requiring any of them to act as such) with full power of substitution, exercisable only upon the occurrence and during the continuance of an Event of Default, to do the following: (a) endorse the name of Credit Parties upon any and all checks, drafts, money orders, and other instruments for the payment of money that are payable to Credit Parties and constitute collections on Credit Parties’ Accounts; (b) so long as Agent has provided not less than three (3) Business Days’ prior written notice to any Credit Party to perform the same and such Credit Party has failed to take such action, execute in the name of Credit Parties any schedules, assignments, instruments, documents, and statements that Credit Parties are obligated to give Agent under this Agreement; (c) take any action Credit Parties are required to take under this Agreement; (d) so long as Agent has provided not less than three (3) Business Days’ prior written notice to any Credit Party to perform the same and such Credit Party has failed to take such action, do such other and further acts and deeds in the name of Credit Parties that Agent may deem necessary or desirable to enforce any Account or other Collateral or perfect Agent’s security interest or Lien in any Collateral; and (e) do such other and further acts and deeds in the name of Credit Parties that Agent may deem necessary or desirable to enforce its rights with regard to any Account or other Collateral. This power of attorney shall be irrevocable and coupled with an interest.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4.14 </w:t>
      </w:r>
      <w:r>
        <w:rPr>
          <w:rFonts w:ascii="Times New Roman" w:hAnsi="Times New Roman"/>
          <w:color w:val="000000"/>
          <w:sz w:val="22"/>
          <w:u w:val="single"/>
        </w:rPr>
        <w:t>Borrowing Base Collateral Administration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 copy of all data and other information relating to Accounts shall at all times be kept by Credit Parties, at their respective principal offices and shall not fail to be available at such principal offices without obtaining the prior written consent of Agent, which consent shall not be unreasonably withheld, conditioned or delayed.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Borrowers shall provide prompt written notice to each Person who either is currently an Account Debtor or becomes an Account Debtor at any time following the date of this Agreement that directs each Account Debtor to make payments into the Lockbox, and hereby authorizes Agent, upon Borrowers’ failure to send such notices within ten (10) days after the date of this Agreement (or ten (10) days after the Person becomes an Account Debtor), to send any and all similar notices to such Person. Agent reserves the right to notify Account Debtors that Agent has been granted a Lien upon all Accounts.</w:t>
      </w:r>
    </w:p>
    <w:p>
      <w:pPr>
        <w:pStyle w:val="TextBody"/>
        <w:bidi w:val="0"/>
        <w:spacing w:before="0" w:after="240"/>
        <w:jc w:val="both"/>
        <w:rPr>
          <w:rFonts w:ascii="Times New Roman" w:hAnsi="Times New Roman"/>
          <w:sz w:val="20"/>
        </w:rPr>
      </w:pPr>
      <w:r>
        <w:rPr>
          <w:rFonts w:ascii="Times New Roman" w:hAnsi="Times New Roman"/>
          <w:color w:val="000000"/>
          <w:sz w:val="22"/>
        </w:rPr>
        <w:t>(c) Borrowers will conduct a physical count of the Inventory at least once per year during the last month of the fiscal year (and if an Event of Default has occurred and is continuing, at such other times as Agent reasonably requests), and Borrowers shall provide to Agent a written accounting of such physical count in form and substance satisfactory to Agent. Each Borrower will use commercially reasonable efforts to at all times keep its Inventory in good and marketable condition. In addition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foregoing, from time to time, Agent may require Borrowers to obtain and deliver to Agent appraisal reports in form and substance and from appraisers reasonably satisfactory to Agent stating the then current fair market values of all or any portion of Inventory owned by each Borrower or any Subsidiaries;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if no Event of Default has occurred and is continuing, such appraisal of Inventory shall be conducted not more often than once a year.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4.15 </w:t>
      </w:r>
      <w:r>
        <w:rPr>
          <w:rFonts w:ascii="Times New Roman" w:hAnsi="Times New Roman"/>
          <w:color w:val="000000"/>
          <w:sz w:val="22"/>
          <w:u w:val="single"/>
        </w:rPr>
        <w:t>Schedule Updates</w:t>
      </w:r>
      <w:r>
        <w:rPr>
          <w:rFonts w:ascii="Times New Roman" w:hAnsi="Times New Roman"/>
          <w:color w:val="000000"/>
          <w:sz w:val="22"/>
        </w:rPr>
        <w:t>. Borrower shall, in the event of any information in the Schedule 3.19, Schedule 5.14, Schedule 9.2(b) or Schedule 9.2(d) becoming outdated, inaccurate, incomplete or misleading, deliver to Agent, together with the next quarterly Compliance Certificate required to be delivered under this Agreement after such event a proposed update to such Schedule correcting all outdated, inaccurate, incomplete or misleading information.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4.16 </w:t>
      </w:r>
      <w:r>
        <w:rPr>
          <w:rFonts w:ascii="Times New Roman" w:hAnsi="Times New Roman"/>
          <w:color w:val="000000"/>
          <w:sz w:val="22"/>
          <w:u w:val="single"/>
        </w:rPr>
        <w:t>Intellectual Property and Licensing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Together with each Compliance Certificate required to be delivered pursuant to Section 4.1(i) to the extent (i) any Credit Party or Subsidiary acquires and/or develops any new Registered Intellectual Property, (ii) any Credit Party or Subsidiary enters into or becomes bound by any additional material in-bound license or sublicense agreement, any additional exclusive out-bound license or sublicense agreement or other material agreement with respect to rights in Intellectual Property (other than over-the-counter software, software that is commercially available to the public</w:t>
      </w:r>
      <w:r>
        <w:rPr>
          <w:rFonts w:ascii="Times New Roman" w:hAnsi="Times New Roman"/>
          <w:color w:val="000000"/>
          <w:sz w:val="20"/>
        </w:rPr>
        <w:t xml:space="preserve"> </w:t>
      </w:r>
      <w:r>
        <w:rPr>
          <w:rFonts w:ascii="Times New Roman" w:hAnsi="Times New Roman"/>
          <w:color w:val="000000"/>
          <w:sz w:val="22"/>
        </w:rPr>
        <w:t xml:space="preserve">and open source licenses), or (iii) there occurs any other material change in any Credit Party’s or Subsidiary’s Registered Intellectual Property, material in-bound licenses or sublicenses or exclusive out-bound licenses or sublicenses from that listed on </w:t>
      </w:r>
      <w:r>
        <w:rPr>
          <w:rFonts w:ascii="Times New Roman" w:hAnsi="Times New Roman"/>
          <w:color w:val="000000"/>
          <w:sz w:val="22"/>
          <w:u w:val="single"/>
        </w:rPr>
        <w:t>Schedule 3.19</w:t>
      </w:r>
      <w:r>
        <w:rPr>
          <w:rFonts w:ascii="Times New Roman" w:hAnsi="Times New Roman"/>
          <w:color w:val="000000"/>
          <w:sz w:val="20"/>
        </w:rPr>
        <w:t xml:space="preserve"> </w:t>
      </w:r>
      <w:r>
        <w:rPr>
          <w:rFonts w:ascii="Times New Roman" w:hAnsi="Times New Roman"/>
          <w:color w:val="000000"/>
          <w:sz w:val="22"/>
        </w:rPr>
        <w:t xml:space="preserve">together with such Compliance Certificate, deliver to Agent an updated </w:t>
      </w:r>
      <w:r>
        <w:rPr>
          <w:rFonts w:ascii="Times New Roman" w:hAnsi="Times New Roman"/>
          <w:color w:val="000000"/>
          <w:sz w:val="22"/>
          <w:u w:val="single"/>
        </w:rPr>
        <w:t>Schedule 3.19</w:t>
      </w:r>
      <w:r>
        <w:rPr>
          <w:rFonts w:ascii="Times New Roman" w:hAnsi="Times New Roman"/>
          <w:color w:val="000000"/>
          <w:sz w:val="20"/>
        </w:rPr>
        <w:t xml:space="preserve"> </w:t>
      </w:r>
      <w:r>
        <w:rPr>
          <w:rFonts w:ascii="Times New Roman" w:hAnsi="Times New Roman"/>
          <w:color w:val="000000"/>
          <w:sz w:val="22"/>
        </w:rPr>
        <w:t xml:space="preserve">reflecting such updated information. With respect to any updates to </w:t>
      </w:r>
      <w:r>
        <w:rPr>
          <w:rFonts w:ascii="Times New Roman" w:hAnsi="Times New Roman"/>
          <w:color w:val="000000"/>
          <w:sz w:val="22"/>
          <w:u w:val="single"/>
        </w:rPr>
        <w:t>Schedule 3.19</w:t>
      </w:r>
      <w:r>
        <w:rPr>
          <w:rFonts w:ascii="Times New Roman" w:hAnsi="Times New Roman"/>
          <w:color w:val="000000"/>
          <w:sz w:val="20"/>
        </w:rPr>
        <w:t xml:space="preserve"> </w:t>
      </w:r>
      <w:r>
        <w:rPr>
          <w:rFonts w:ascii="Times New Roman" w:hAnsi="Times New Roman"/>
          <w:color w:val="000000"/>
          <w:sz w:val="22"/>
        </w:rPr>
        <w:t>involving exclusive out-bound licenses or sublicenses, such licenses shall be consistent with the definitions of and limitations herein pertaining to Permitted Licenses.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Credit Parties obtain any Registered Intellectual Property, Credit Parties shall notify Agent thereof concurrently with the delivery of the next Compliance Certificate required to be delivered under </w:t>
      </w:r>
      <w:r>
        <w:rPr>
          <w:rFonts w:ascii="Times New Roman" w:hAnsi="Times New Roman"/>
          <w:color w:val="000000"/>
          <w:sz w:val="22"/>
          <w:u w:val="single"/>
        </w:rPr>
        <w:t>Section 4.1(i)</w:t>
      </w:r>
      <w:r>
        <w:rPr>
          <w:rFonts w:ascii="Times New Roman" w:hAnsi="Times New Roman"/>
          <w:color w:val="000000"/>
          <w:sz w:val="20"/>
        </w:rPr>
        <w:t xml:space="preserve"> </w:t>
      </w:r>
      <w:r>
        <w:rPr>
          <w:rFonts w:ascii="Times New Roman" w:hAnsi="Times New Roman"/>
          <w:color w:val="000000"/>
          <w:sz w:val="22"/>
        </w:rPr>
        <w:t>following such Credit Party obtaining or acquiring such Registered Intellectual Property and promptly</w:t>
      </w:r>
      <w:r>
        <w:rPr>
          <w:rFonts w:ascii="Times New Roman" w:hAnsi="Times New Roman"/>
          <w:color w:val="000000"/>
          <w:sz w:val="20"/>
        </w:rPr>
        <w:t xml:space="preserve"> </w:t>
      </w:r>
      <w:r>
        <w:rPr>
          <w:rFonts w:ascii="Times New Roman" w:hAnsi="Times New Roman"/>
          <w:color w:val="000000"/>
          <w:sz w:val="22"/>
        </w:rPr>
        <w:t>execute such documents and provide such other information (including, without limitation, copies of applications) and take such other actions as Agent shall reasonably request in its good faith business judgment to perfect and maintain a first priority perfected security interest (subject to Permitted Liens) in favor of Agent, for the ratable benefit of Lenders, in such Registered Intellectual Property.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Credit Parties and their Subsidiaries shall take such steps as Agent reasonably requests to obtain the consent of, or waiver by, any person whose consent or waiver is necessary for (x) all material licenses or material agreements to be deemed “Collateral” and for Agent to have a security interest in it that might otherwise be restricted or prohibited by Law or by the terms of any such material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pStyle w:val="TextBody"/>
        <w:bidi w:val="0"/>
        <w:spacing w:before="0" w:after="240"/>
        <w:jc w:val="both"/>
        <w:rPr>
          <w:rFonts w:ascii="Times New Roman" w:hAnsi="Times New Roman"/>
          <w:sz w:val="20"/>
        </w:rPr>
      </w:pPr>
      <w:r>
        <w:rPr>
          <w:rFonts w:ascii="Times New Roman" w:hAnsi="Times New Roman"/>
          <w:color w:val="000000"/>
          <w:sz w:val="22"/>
        </w:rPr>
        <w:t>(d) Credit Parties and each Subsidiary thereof shall own, or be licensed to use or otherwise have the right to use, all Material Intangible Assets, subject to Permitted Liens. Credit Parties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Credit Parties and their Subsidiaries shall at all times conduct its business without material infringement or material claim of infringement of any valid Intellectual Property rights of others. Credit Parties shall, and shall cause their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Subsidiaries to, (i) protect, defend and maintain the validity and enforceability of its Material Intangible Assets (ii) promptly advise Agent in writing of material infringements of its Material Intangible Assets, or of a material claim of infringement by Credit Parties on the Intellectual Property rights of others; and (iii) not allow any of Credit Parties’ Material Intangible Assets to be abandoned, invalidated, forfeited or dedicated to the public or to become unenforceable. Credit Parties shall not become a party to, nor become bound by, any material license or other agreement with respect to which any Credit Party is the licensor or licensee (other than in-bound licenses of over-the-counter software and other software that is commercially available to the public and open source licenses)</w:t>
      </w:r>
      <w:r>
        <w:rPr>
          <w:rFonts w:ascii="Times New Roman" w:hAnsi="Times New Roman"/>
          <w:color w:val="000000"/>
          <w:sz w:val="20"/>
        </w:rPr>
        <w:t xml:space="preserve"> </w:t>
      </w:r>
      <w:r>
        <w:rPr>
          <w:rFonts w:ascii="Times New Roman" w:hAnsi="Times New Roman"/>
          <w:color w:val="000000"/>
          <w:sz w:val="22"/>
        </w:rPr>
        <w:t>that prohibits or otherwise restricts Credit Party from granting a security interest in Credit Party’s interest in such license or agreement or other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4.17 </w:t>
      </w:r>
      <w:r>
        <w:rPr>
          <w:rFonts w:ascii="Times New Roman" w:hAnsi="Times New Roman"/>
          <w:color w:val="000000"/>
          <w:sz w:val="22"/>
          <w:u w:val="single"/>
        </w:rPr>
        <w:t>Regulatory Covenants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Credit Parties shall have, and shall ensure that it and each of its Subsidiaries has, each necessary Permit and other material rights from, and have made all necessary declarations and filings with, all applicable Governmental Authorities, all self-regulatory authorities and all courts and other tribunals necessary to engage in all material respects in the ownership, management and operation of the business or the assets of any Credit Party and Subsidiaries thereof and Credit Parties shall take, and cause each of their Subsidiaries to take, such reasonable actions to ensure that no Governmental Authority has taken action to limit, suspend or revoke any such Permit. Credit Parties shall ensure, and cause each of their Subsidiaries to ensure, that all such necessary Permits are valid and in full force and effect and Credit Parties and their Subsidiaries are in material compliance with the terms and conditions of all Permits, except where failure to do so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connection with the development, testing, manufacture, marketing or sale of each and any material Product by any Credit Party or any Subsidiary thereof, each Credit Party shall have, and shall have caused each of its Subsidiaries to have, obtained and comply in all material respects with all material Regulatory Required Permits at all times issued or required to be issued by any Governmental Authority, specifically including the FDA, with respect to such development, testing, manufacture, marketing or sales of such Product by such Credit Party or its Subsidiaries as such activities are at any such time being conducted by such Credit Party or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(c) Except where the failure to do so would not reasonably be expected to result in a Material Adverse Effect, Credit Parties will, and will cause their Subsidiaries to, timely file or caused to be timely filed (after giving effect to any extension duly obtained), all material notifications, reports, submissions, material Permit renewals and reports required by applicable Healthcare Laws (which reports will be materially accurate and complete in all material respects and not misleading in any material respect and shall not remain open or unsettled)..</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5 - NEGATIVE 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Credit Party agrees that: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 </w:t>
      </w:r>
      <w:r>
        <w:rPr>
          <w:rFonts w:ascii="Times New Roman" w:hAnsi="Times New Roman"/>
          <w:color w:val="000000"/>
          <w:sz w:val="22"/>
          <w:u w:val="single"/>
        </w:rPr>
        <w:t>Debt; Contingent Obligations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No Credit Party will, or will permit any Subsidiary to, directly or indirectly, create, incur, assume, guarantee or otherwise become or remain directly or indirectly liable with respect to, any Debt, except for Permitted Debt.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No Credit Party will, or will permit any Subsidiary to, directly or indirectly, create, assume, incur or suffer to exist any Contingent Obligations, except for Permitted Contingent Obligations.</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 Credit Party will, or will permit any Subsidiary to, directly or indirectly, purchase, redeem, defease or prepay any principal of, premium, if any, interest or other amount payable in respect of any Debt prior to its scheduled date for payment (except (i) with respect to the Obligations permitted under this Agreement, (ii) for Capital Lease obligations and (iii) for Subordinated Debt solely to the extent permitted by Section 5.5).</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5.2 </w:t>
      </w:r>
      <w:r>
        <w:rPr>
          <w:rFonts w:ascii="Times New Roman" w:hAnsi="Times New Roman"/>
          <w:color w:val="000000"/>
          <w:sz w:val="22"/>
          <w:u w:val="single"/>
        </w:rPr>
        <w:t>Liens</w:t>
      </w:r>
      <w:r>
        <w:rPr>
          <w:rFonts w:ascii="Times New Roman" w:hAnsi="Times New Roman"/>
          <w:color w:val="000000"/>
          <w:sz w:val="22"/>
        </w:rPr>
        <w:t>. No Credit Party will, or will permit any Subsidiary to, directly or indirectly, create, assume or suffer to exist any Lien on any asset now owned or hereafter acquired by it, except for Permitted Liens.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5.3 </w:t>
      </w:r>
      <w:r>
        <w:rPr>
          <w:rFonts w:ascii="Times New Roman" w:hAnsi="Times New Roman"/>
          <w:color w:val="000000"/>
          <w:sz w:val="22"/>
          <w:u w:val="single"/>
        </w:rPr>
        <w:t>Distributions</w:t>
      </w:r>
      <w:r>
        <w:rPr>
          <w:rFonts w:ascii="Times New Roman" w:hAnsi="Times New Roman"/>
          <w:color w:val="000000"/>
          <w:sz w:val="22"/>
        </w:rPr>
        <w:t>. No Credit Party will, or will permit any Subsidiary to, directly or indirectly, declare, order, pay, make or set apart any sum for any Distribution, except for Permitted Distributions.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5.4 </w:t>
      </w:r>
      <w:r>
        <w:rPr>
          <w:rFonts w:ascii="Times New Roman" w:hAnsi="Times New Roman"/>
          <w:color w:val="000000"/>
          <w:sz w:val="22"/>
          <w:u w:val="single"/>
        </w:rPr>
        <w:t>Restrictive Agreements</w:t>
      </w:r>
      <w:r>
        <w:rPr>
          <w:rFonts w:ascii="Times New Roman" w:hAnsi="Times New Roman"/>
          <w:color w:val="000000"/>
          <w:sz w:val="22"/>
        </w:rPr>
        <w:t>. No Credit Party will, or will permit any Subsidiary to, directly or indirectly (a) enter into or assume any agreement (other than the Financing Documents and any agreements for purchase money debt and Capital Leases permitted under clause (c) of the definition of Permitted Debt) prohibiting the creation or assumption of any Lien upon its properties or assets, whether now owned or hereafter acquired, or (b) create or otherwise cause or suffer to exist or become effective any consensual encumbrance or restriction of any kind (except as provided by the Financing Documents) on the ability of any Subsidiary to: (i) pay or make Distributions to any Credit Party or any Subsidiary; (ii) pay any Debt owed to any Credit Party or any Subsidiary; (iii) make loans or advances to any Credit Party or any Subsidiary; or (iv) transfer any of its property or assets to any Credit Party or any Subsidiary, in each case under this Section 5.4 other than (A) reasonable and customary anti-assignment provisions contained in licenses, contracts and other agreements so long as such anti-assignment provisions do not cause such licenses, contracts or other agreements to constitute Excluded Property, (B) restrictions or conditions imposed by any agreement relating to purchase money Debt, Capital Leases, and other secured Debt permitted by this Agreement, so long as those restrictions or conditions apply only to the property or assets securing that Debt; and (C) customary provisions in leases and other contracts restricting the assignment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5.5 </w:t>
      </w:r>
      <w:r>
        <w:rPr>
          <w:rFonts w:ascii="Times New Roman" w:hAnsi="Times New Roman"/>
          <w:color w:val="000000"/>
          <w:sz w:val="22"/>
          <w:u w:val="single"/>
        </w:rPr>
        <w:t>Payments and Modifications of Subordinated Debt</w:t>
      </w:r>
      <w:r>
        <w:rPr>
          <w:rFonts w:ascii="Times New Roman" w:hAnsi="Times New Roman"/>
          <w:color w:val="000000"/>
          <w:sz w:val="22"/>
        </w:rPr>
        <w:t>. No Credit Party will, or will permit any Subsidiary to, directly or indirectly (a) declare, pay, make or set aside any amount 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5.6 </w:t>
      </w:r>
      <w:r>
        <w:rPr>
          <w:rFonts w:ascii="Times New Roman" w:hAnsi="Times New Roman"/>
          <w:color w:val="000000"/>
          <w:sz w:val="22"/>
          <w:u w:val="single"/>
        </w:rPr>
        <w:t>Consolidations, Mergers and Sales of Assets; Change in Control</w:t>
      </w:r>
      <w:r>
        <w:rPr>
          <w:rFonts w:ascii="Times New Roman" w:hAnsi="Times New Roman"/>
          <w:color w:val="000000"/>
          <w:sz w:val="22"/>
        </w:rPr>
        <w:t>. No Credit Party will, or will permit any Subsidiary to, directly or indirectly:</w:t>
      </w:r>
    </w:p>
    <w:p>
      <w:pPr>
        <w:pStyle w:val="TextBody"/>
        <w:bidi w:val="0"/>
        <w:spacing w:before="0" w:after="240"/>
        <w:jc w:val="both"/>
        <w:rPr>
          <w:rFonts w:ascii="Times New Roman" w:hAnsi="Times New Roman"/>
          <w:sz w:val="20"/>
        </w:rPr>
      </w:pPr>
      <w:r>
        <w:rPr>
          <w:rFonts w:ascii="Times New Roman" w:hAnsi="Times New Roman"/>
          <w:color w:val="000000"/>
          <w:sz w:val="22"/>
        </w:rPr>
        <w:t>(a) consolidate or merge or amalgamate with or into any other Person other than (i) consolidations or mergers among Borrowers</w:t>
      </w:r>
      <w:r>
        <w:rPr>
          <w:rFonts w:ascii="Times New Roman" w:hAnsi="Times New Roman"/>
          <w:color w:val="0000FF"/>
          <w:sz w:val="20"/>
        </w:rPr>
        <w:t xml:space="preserve"> </w:t>
      </w:r>
      <w:r>
        <w:rPr>
          <w:rFonts w:ascii="Times New Roman" w:hAnsi="Times New Roman"/>
          <w:color w:val="000000"/>
          <w:sz w:val="22"/>
        </w:rPr>
        <w:t>so long as in any consolidation or merger involving CeriBell, CeriBell is the surviving entity, (ii) consolidations or mergers among a Guarantor and a Borrower so long as the Borrower is the surviving entity, (iii) consolidations or mergers among Guarantors, and (iv) consolidations or mergers among Subsidiaries that are not Credit Parties;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make or consummate any Asset Dispositions other than Permitted Asset Dispositions.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5.7 </w:t>
      </w:r>
      <w:r>
        <w:rPr>
          <w:rFonts w:ascii="Times New Roman" w:hAnsi="Times New Roman"/>
          <w:color w:val="000000"/>
          <w:sz w:val="22"/>
          <w:u w:val="single"/>
        </w:rPr>
        <w:t>Purchase of Assets, Investments</w:t>
      </w:r>
      <w:r>
        <w:rPr>
          <w:rFonts w:ascii="Times New Roman" w:hAnsi="Times New Roman"/>
          <w:color w:val="000000"/>
          <w:sz w:val="22"/>
        </w:rPr>
        <w:t>. No Credit Party will, or will permit any Subsidiary to, directly or indirectly: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acquire, make, own, hold, or otherwise consummate any Investment (including for the avoidance of doubt, any Acquisition) other than Permitted Investments, or enter into any agreement to acquire, make, own or hold any Investment</w:t>
      </w:r>
      <w:r>
        <w:rPr>
          <w:rFonts w:ascii="Times New Roman" w:hAnsi="Times New Roman"/>
          <w:color w:val="000000"/>
          <w:sz w:val="20"/>
        </w:rPr>
        <w:t xml:space="preserve"> </w:t>
      </w:r>
      <w:r>
        <w:rPr>
          <w:rFonts w:ascii="Times New Roman" w:hAnsi="Times New Roman"/>
          <w:color w:val="000000"/>
          <w:sz w:val="22"/>
        </w:rPr>
        <w:t>other than</w:t>
      </w:r>
      <w:r>
        <w:rPr>
          <w:rFonts w:ascii="Times New Roman" w:hAnsi="Times New Roman"/>
          <w:color w:val="000000"/>
          <w:sz w:val="20"/>
        </w:rPr>
        <w:t xml:space="preserve"> </w:t>
      </w:r>
      <w:r>
        <w:rPr>
          <w:rFonts w:ascii="Times New Roman" w:hAnsi="Times New Roman"/>
          <w:color w:val="000000"/>
          <w:sz w:val="22"/>
        </w:rPr>
        <w:t>Permitted Investments;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without limiting clause (a) above, acquire any other assets other than Permitted Investments or otherwise (i) in the Ordinary Course of Business, (ii) constituting capital expenditures, (iii) constituting replacement assets purchased with proceeds of property insurance policies, awards or other compensation with respect to any eminent domain, condemnation or similar proceeding and for which the requirements set forth in this Agreement have been satisfied and (iv) any acquisition by a Credit Party of assets of any other Credit Party to the extent not otherwise prohibited by Article 5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engage in or establish any joint venture or partnership with any other Person;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without limiting the foregoing, no Credit Party shall, nor will any Credit Party permit any Subsidiary to, purchase or carry Margin Stock.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5.8 </w:t>
      </w:r>
      <w:r>
        <w:rPr>
          <w:rFonts w:ascii="Times New Roman" w:hAnsi="Times New Roman"/>
          <w:color w:val="000000"/>
          <w:sz w:val="22"/>
          <w:u w:val="single"/>
        </w:rPr>
        <w:t>Transactions with Affiliates</w:t>
      </w:r>
      <w:r>
        <w:rPr>
          <w:rFonts w:ascii="Times New Roman" w:hAnsi="Times New Roman"/>
          <w:color w:val="000000"/>
          <w:sz w:val="22"/>
        </w:rPr>
        <w:t xml:space="preserve">. No Credit Party will, or will permit any Subsidiary to, directly or indirectly, enter into or permit to exist any transaction (including the purchase, sale, lease or exchange of any property or the rendering of any service) with any Affiliate of any Credit Party or any Subsidiary thereof, except for (a) transaction disclosed on </w:t>
      </w:r>
      <w:r>
        <w:rPr>
          <w:rFonts w:ascii="Times New Roman" w:hAnsi="Times New Roman"/>
          <w:color w:val="000000"/>
          <w:sz w:val="22"/>
          <w:u w:val="single"/>
        </w:rPr>
        <w:t>Schedule 5.8</w:t>
      </w:r>
      <w:r>
        <w:rPr>
          <w:rFonts w:ascii="Times New Roman" w:hAnsi="Times New Roman"/>
          <w:color w:val="000000"/>
          <w:sz w:val="20"/>
        </w:rPr>
        <w:t xml:space="preserve"> </w:t>
      </w:r>
      <w:r>
        <w:rPr>
          <w:rFonts w:ascii="Times New Roman" w:hAnsi="Times New Roman"/>
          <w:color w:val="000000"/>
          <w:sz w:val="22"/>
        </w:rPr>
        <w:t>on the Closing Date, (b) transactions that are in the Ordinary Course of Business upon fair and reasonable terms, and, in each case, which contain terms that are no less favorable to the applicable Credit Party or any Subsidiary, as the case may be, than those which might be obtained from a third party not an Affiliate of any Credit Party and which are disclosed to Agent in writing prior to the parties consummating such transaction, (c) transactions among Credit Parties that are not otherwise prohibited by this Agreement, (d) transactions constituting (i) issuances of Subordinated Debt to investors and (ii) issuance of Equity interests (other than Disqualified Equity Interests), in each case, not otherwise in contravention of this Agreement, and (e) reasonable and customary director, officer and employee compensation (including bonuses) and other benefits (including retirement, health, stock option and other benefit plans and indemnification arrangements approved by the relevant board of directors, board managers or equivalent corporate body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5.9 </w:t>
      </w:r>
      <w:r>
        <w:rPr>
          <w:rFonts w:ascii="Times New Roman" w:hAnsi="Times New Roman"/>
          <w:color w:val="000000"/>
          <w:sz w:val="22"/>
          <w:u w:val="single"/>
        </w:rPr>
        <w:t>Modification of Organizational Documents</w:t>
      </w:r>
      <w:r>
        <w:rPr>
          <w:rFonts w:ascii="Times New Roman" w:hAnsi="Times New Roman"/>
          <w:color w:val="000000"/>
          <w:sz w:val="22"/>
        </w:rPr>
        <w:t>. No Credit Party will, or will permit any Subsidiary to, directly or indirectly, amend or otherwise modify any Organizational Documents of such Person, except for Permitted Modifications.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5.10 </w:t>
      </w:r>
      <w:r>
        <w:rPr>
          <w:rFonts w:ascii="Times New Roman" w:hAnsi="Times New Roman"/>
          <w:color w:val="000000"/>
          <w:sz w:val="22"/>
          <w:u w:val="single"/>
        </w:rPr>
        <w:t>Modification of Certain Agreements</w:t>
      </w:r>
      <w:r>
        <w:rPr>
          <w:rFonts w:ascii="Times New Roman" w:hAnsi="Times New Roman"/>
          <w:color w:val="000000"/>
          <w:sz w:val="22"/>
        </w:rPr>
        <w:t>. No Credit Party will, or will permit any Subsidiary to, directly or indirectly, amend or otherwise modify any Material Contract, which amendment or modification in any case: (a) is expressly contrary to the terms of this Agreement or any other Financing Document or (b) could reasonably be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5.11 </w:t>
      </w:r>
      <w:r>
        <w:rPr>
          <w:rFonts w:ascii="Times New Roman" w:hAnsi="Times New Roman"/>
          <w:color w:val="000000"/>
          <w:sz w:val="22"/>
          <w:u w:val="single"/>
        </w:rPr>
        <w:t>Conduct of Business</w:t>
      </w:r>
      <w:r>
        <w:rPr>
          <w:rFonts w:ascii="Times New Roman" w:hAnsi="Times New Roman"/>
          <w:color w:val="000000"/>
          <w:sz w:val="22"/>
        </w:rPr>
        <w:t>. No Credit Party will, or will permit any Subsidiary to, directly or indirectly, engage in any line of business other than those businesses engaged in on the Closing Date described on Schedule 5.11 and businesses reasonably related thereto. No Credit Party will, or will permit any Subsidiary to, other than in the Ordinary Course of Business, change its normal billing payment and reimbursement policies and procedures with respect to its Accounts in any material respect (including, without limitation, the amount and timing of finance charges, fees and write-offs).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5.12 </w:t>
      </w:r>
      <w:r>
        <w:rPr>
          <w:rFonts w:ascii="Times New Roman" w:hAnsi="Times New Roman"/>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5.13 </w:t>
      </w:r>
      <w:r>
        <w:rPr>
          <w:rFonts w:ascii="Times New Roman" w:hAnsi="Times New Roman"/>
          <w:color w:val="000000"/>
          <w:sz w:val="22"/>
          <w:u w:val="single"/>
        </w:rPr>
        <w:t>Limitation on Sale and Leaseback Transactions</w:t>
      </w:r>
      <w:r>
        <w:rPr>
          <w:rFonts w:ascii="Times New Roman" w:hAnsi="Times New Roman"/>
          <w:color w:val="000000"/>
          <w:sz w:val="22"/>
        </w:rPr>
        <w:t>. No Credit Party will, or will permit any Subsidiary to, directly or indirectly, enter into any arrangement with any Person whereby, in a substantially contemporaneous transaction, any Credit Party or any Subsidiaries sells or transfers all or substantially all of its right, title and interest in an asset and, in connection therewith, acquires or leases back the right to use such asset.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5.14 </w:t>
      </w:r>
      <w:r>
        <w:rPr>
          <w:rFonts w:ascii="Times New Roman" w:hAnsi="Times New Roman"/>
          <w:color w:val="000000"/>
          <w:sz w:val="22"/>
          <w:u w:val="single"/>
        </w:rPr>
        <w:t>Deposit Accounts and Securities Accounts; Payroll and Benefits Accounts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No Credit Party will, directly or indirectly, establish any new Deposit Account or Securities Account (other than an Excluded Account) unless such Credit Party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Without limiting the foregoing, Credit Parties shall ensure that each Deposit Account or Securities Account of a Credit Party (other than Excluded Accounts) is subject to a Deposit Account Control Agreement or Securities Account Control Agreement,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Credit Parties represent and warrant that </w:t>
      </w:r>
      <w:r>
        <w:rPr>
          <w:rFonts w:ascii="Times New Roman" w:hAnsi="Times New Roman"/>
          <w:color w:val="000000"/>
          <w:sz w:val="22"/>
          <w:u w:val="single"/>
        </w:rPr>
        <w:t>Schedule 5.14</w:t>
      </w:r>
      <w:r>
        <w:rPr>
          <w:rFonts w:ascii="Times New Roman" w:hAnsi="Times New Roman"/>
          <w:color w:val="000000"/>
          <w:sz w:val="20"/>
        </w:rPr>
        <w:t xml:space="preserve"> </w:t>
      </w:r>
      <w:r>
        <w:rPr>
          <w:rFonts w:ascii="Times New Roman" w:hAnsi="Times New Roman"/>
          <w:color w:val="000000"/>
          <w:sz w:val="22"/>
        </w:rPr>
        <w:t>(as updated by the Compliance Certificate delivered to Agent from time to time after the Closing Date) lists all of the Deposit Accounts and Securities Accounts of each Credit Party and Subsidiary as of the Closing Date and as of the date on which each Compliance Certificate is delivered.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At all times that any Obligations remain outstanding, Borrower shall maintain one or more separate Deposit Accounts to hold any and all amounts to be used for payroll, payroll taxes and other employee wage and benefit payments, and shall not commingle any monies allocated for such purposes with funds in any other Deposit Account;</w:t>
      </w:r>
      <w:r>
        <w:rPr>
          <w:rFonts w:ascii="Times New Roman" w:hAnsi="Times New Roman"/>
          <w:color w:val="000000"/>
          <w:sz w:val="20"/>
        </w:rPr>
        <w:t xml:space="preserve"> </w:t>
      </w:r>
      <w:r>
        <w:rPr>
          <w:rFonts w:ascii="Times New Roman" w:hAnsi="Times New Roman"/>
          <w:i/>
          <w:color w:val="000000"/>
          <w:sz w:val="22"/>
        </w:rPr>
        <w:t>provided, however</w:t>
      </w:r>
      <w:r>
        <w:rPr>
          <w:rFonts w:ascii="Times New Roman" w:hAnsi="Times New Roman"/>
          <w:color w:val="000000"/>
          <w:sz w:val="22"/>
        </w:rPr>
        <w:t>, that the aggregate balance in such accounts does not exceed the amount necessary to make the immediately succeeding payroll, payroll tax or benefit payment (or such minimum amount as may be required by any requirement of Law with respect to such accounts).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5.15 </w:t>
      </w:r>
      <w:r>
        <w:rPr>
          <w:rFonts w:ascii="Times New Roman" w:hAnsi="Times New Roman"/>
          <w:color w:val="000000"/>
          <w:sz w:val="22"/>
          <w:u w:val="single"/>
        </w:rPr>
        <w:t>Compliance with Anti-Terrorism Laws</w:t>
      </w:r>
      <w:r>
        <w:rPr>
          <w:rFonts w:ascii="Times New Roman" w:hAnsi="Times New Roman"/>
          <w:color w:val="000000"/>
          <w:sz w:val="22"/>
        </w:rPr>
        <w:t>. Agent hereby notifies Credit Parties that pursuant to the requirements of Anti-Terrorism Laws, and Agent’s policies and practices, Agent is required to obtain, verify and record certain information and documentation that identifies Credit Parties and their principals, which information includes the name and address of each Credit Party and its principals and such other information that will allow Agent to identify such party in accordance with Anti-Terrorism Laws. No Credit Party will, or will permit any Subsidiary to, directly or indirectly, knowingly enter into any contracts or agreements or otherwise engage in transactions directly or indirectly with or related to any Blocked Person or any Person listed on the OFAC Lists or any Sanctioned Country. Each Credit Party shall immediately notify Agent if such Credit Party has knowledge that any Borrower, any additional Credit Party or any of their respective Affiliates or agents acting or benefiting in any capacity in connection with the transactions contemplated by this Agreement is or becomes a Blocked Person or (a) is convicted on, (b) enters into a settlement agreement with a U.S. government agency, (c) pleads nolo contendere to, (d) is indicted on, or (e) is arraigned and held over on charges involving money laundering or predicate crimes to money laundering, Anti-Terrorism Laws or export control laws. No Credit Party will, or will permit any Subsidiary to, directly or indirectly, (i) conduct any business or engage in any transaction or dealing directly or indirectly with or related to any Blocked Person or Sanctioned Country, including, without limitation, the making or receiving of any contribution of funds, goods or services to or for the benefit of any Blocked Person or Sanctioned Country,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the purpose of evading or avoiding, or attempts to violate, any of the prohibitions set forth in Executive Order No. 13224 or other Anti-Terrorism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5.16 </w:t>
      </w:r>
      <w:r>
        <w:rPr>
          <w:rFonts w:ascii="Times New Roman" w:hAnsi="Times New Roman"/>
          <w:color w:val="000000"/>
          <w:sz w:val="22"/>
          <w:u w:val="single"/>
        </w:rPr>
        <w:t>Change in Accounting</w:t>
      </w:r>
      <w:r>
        <w:rPr>
          <w:rFonts w:ascii="Times New Roman" w:hAnsi="Times New Roman"/>
          <w:color w:val="000000"/>
          <w:sz w:val="22"/>
        </w:rPr>
        <w:t>. No Credit Party shall, and no Credit Party shall suffer or permit any of its Subsidiaries to, (i) make any significant change in accounting treatment or reporting practices, except as required by GAAP or required to be GAAP compliant or (ii) change the fiscal year or method for determining fiscal quarters of any Credit Party or of any Consolidated Subsidiary.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5.17 </w:t>
      </w:r>
      <w:r>
        <w:rPr>
          <w:rFonts w:ascii="Times New Roman" w:hAnsi="Times New Roman"/>
          <w:color w:val="000000"/>
          <w:sz w:val="22"/>
          <w:u w:val="single"/>
        </w:rPr>
        <w:t>Investment Company Act</w:t>
      </w:r>
      <w:r>
        <w:rPr>
          <w:rFonts w:ascii="Times New Roman" w:hAnsi="Times New Roman"/>
          <w:color w:val="000000"/>
          <w:sz w:val="22"/>
        </w:rPr>
        <w:t>. No Credit Party shall, nor shall it permit any Subsidiary to, directly or indirectly,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by virtue of being an “investment company” or a company “controlled” by an “investment company” not entitled to an exemption within the meaning of the Investment Company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5.18 </w:t>
      </w:r>
      <w:r>
        <w:rPr>
          <w:rFonts w:ascii="Times New Roman" w:hAnsi="Times New Roman"/>
          <w:color w:val="000000"/>
          <w:sz w:val="22"/>
          <w:u w:val="single"/>
        </w:rPr>
        <w:t>Agreements Regarding Receivables</w:t>
      </w:r>
      <w:r>
        <w:rPr>
          <w:rFonts w:ascii="Times New Roman" w:hAnsi="Times New Roman"/>
          <w:color w:val="000000"/>
          <w:sz w:val="22"/>
        </w:rPr>
        <w:t>. No Credit Party may backdate, postdate or redate any of its invoices. No Credit Party may make any sales on extended dating or credit terms with respect to Eligible Accounts beyond that customary in such Credit Party’s industry and consented to in advance by Agent. In addition to the Borrowing Base Certificate to be delivered in accordance with this Agreement, Borrower Representative shall notify Agent promptly upon any Borrower’s learning thereof, in the event any Eligible Account becomes ineligible for any reason, other than the aging of such Account, and of the reasons for such ineligibility. Borrower Representative shall also notify Agent promptly of all material disputes and claims with respect to the Accounts of any Borrower, and such Borrower will settle or adjust such material disputes and claims at no expense to Agent; provided, however, no Borrower may, without Agent’s consent, grant (a) any discount, credit or allowance in respect of its Accounts (i) which is outside the Ordinary Course of Business or (ii) which discount, credit or allowance exceeds an amount equal to $100,000 in the aggregate with respect to any individual Account of (b) any materially adverse extension, compromise or settlement to any customer or account debtor with respect to any then Eligible Account. Nothing permitted by this Section 5.18, however, may be construed to alter in any the criteria for Eligible Accounts, or Eligible Inventory provided in Section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 – FINANCIAL COVENANTS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 </w:t>
      </w:r>
      <w:r>
        <w:rPr>
          <w:rFonts w:ascii="Times New Roman" w:hAnsi="Times New Roman"/>
          <w:color w:val="000000"/>
          <w:sz w:val="22"/>
          <w:u w:val="single"/>
        </w:rPr>
        <w:t>Minimum Net Revenue.</w:t>
      </w:r>
      <w:r>
        <w:rPr>
          <w:rFonts w:ascii="Times New Roman" w:hAnsi="Times New Roman"/>
          <w:color w:val="000000"/>
          <w:sz w:val="20"/>
        </w:rPr>
        <w:t xml:space="preserve"> </w:t>
      </w:r>
      <w:r>
        <w:rPr>
          <w:rFonts w:ascii="Times New Roman" w:hAnsi="Times New Roman"/>
          <w:color w:val="000000"/>
          <w:sz w:val="22"/>
        </w:rPr>
        <w:t>Credit Parties shall not permit Net Revenue for any Defined Period ending during a Financial Covenant Testing Period to be less than $70,000,000, as tested quarterly as of the last day of each applicable Defined Period (the “</w:t>
      </w:r>
      <w:r>
        <w:rPr>
          <w:rFonts w:ascii="Times New Roman" w:hAnsi="Times New Roman"/>
          <w:b/>
          <w:color w:val="000000"/>
          <w:sz w:val="22"/>
        </w:rPr>
        <w:t>Minimum Net Revenue Covenant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 xml:space="preserve">provided however, </w:t>
      </w:r>
      <w:r>
        <w:rPr>
          <w:rFonts w:ascii="Times New Roman" w:hAnsi="Times New Roman"/>
          <w:color w:val="000000"/>
          <w:sz w:val="22"/>
        </w:rPr>
        <w:t>that Borrowers shall be deemed to be in compliance with the Minimum Net Revenue Covenant irrespective of the actual Net Revenue amount if Credit Party Unrestricted Cash is equal to or greater than $65,000,000 at all times during the applicable Financial Covenant Testing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6.2 </w:t>
      </w:r>
      <w:r>
        <w:rPr>
          <w:rFonts w:ascii="Times New Roman" w:hAnsi="Times New Roman"/>
          <w:color w:val="000000"/>
          <w:sz w:val="22"/>
          <w:u w:val="single"/>
        </w:rPr>
        <w:t>Minimum Unrestricted Cash</w:t>
      </w:r>
      <w:r>
        <w:rPr>
          <w:rFonts w:ascii="Times New Roman" w:hAnsi="Times New Roman"/>
          <w:color w:val="000000"/>
          <w:sz w:val="22"/>
        </w:rPr>
        <w:t>. At all times during each Minimum Cash Testing Period, Credit Parties shall not permit Credit Party Unrestricted Cash to be less than $65,000,000.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6.3 </w:t>
      </w:r>
      <w:r>
        <w:rPr>
          <w:rFonts w:ascii="Times New Roman" w:hAnsi="Times New Roman"/>
          <w:color w:val="000000"/>
          <w:sz w:val="22"/>
          <w:u w:val="single"/>
        </w:rPr>
        <w:t>Evidence of Compliance</w:t>
      </w:r>
      <w:r>
        <w:rPr>
          <w:rFonts w:ascii="Times New Roman" w:hAnsi="Times New Roman"/>
          <w:color w:val="000000"/>
          <w:sz w:val="22"/>
        </w:rPr>
        <w:t>. Borrowers shall furnish to Agent, as required by Section 4.1, a Compliance Certificate as evidence of (a) quarterly cash and Cash Equivalents, concurrently with the delivery of such Compliance Certificate of (x) Borrowers and (y) Credit Parties taken as a whole, (b) as applicable, Borrowers’ compliance with the covenants in this Article, and (c) that no Event of Default specified in this Article has occurred. The Compliance Certificate shall include, without limitation, (i) a statement and report, in form and substance reasonably satisfactory to Agent, detailing Borrowers’ calculations, and (ii) if requested by Agent, back-up documentation (including, without limitation, bank statements, invoices, receipts and other evidence of costs incurred during such month as Agent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reasonably require) evidencing the propriety of the calculations. A breach of a financial covenant contained in this Article 6 shall be deemed to have occurred as of the last day of any specified Defined Period, regardless of when the financial statements reflecting such breach are delivered to Agent.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 –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 </w:t>
      </w:r>
      <w:r>
        <w:rPr>
          <w:rFonts w:ascii="Times New Roman" w:hAnsi="Times New Roman"/>
          <w:color w:val="000000"/>
          <w:sz w:val="22"/>
          <w:u w:val="single"/>
        </w:rPr>
        <w:t>Conditions to Closing</w:t>
      </w:r>
      <w:r>
        <w:rPr>
          <w:rFonts w:ascii="Times New Roman" w:hAnsi="Times New Roman"/>
          <w:color w:val="000000"/>
          <w:sz w:val="22"/>
        </w:rPr>
        <w:t>. The obligation of each Lender to make the initial Loans on the Closing Date shall be subject to the receipt by Agent of each agreement, document and instrument set forth on the closing checklist attached hereto as Exhibit F, each in form and substance satisfactory to Agent, and such other closing deliverables reasonably requested by Agent and Lenders, and to the satisfaction of the following conditions precedent, each to the satisfaction of Agent and Lenders in their reasonable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receipt by Agent of executed counterparts of this Agreement and the other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payment of all fees, expenses and other amounts due and payable under each Financing Document;</w:t>
      </w:r>
    </w:p>
    <w:p>
      <w:pPr>
        <w:pStyle w:val="TextBody"/>
        <w:bidi w:val="0"/>
        <w:spacing w:before="0" w:after="240"/>
        <w:jc w:val="both"/>
        <w:rPr>
          <w:rFonts w:ascii="Times New Roman" w:hAnsi="Times New Roman"/>
          <w:sz w:val="20"/>
        </w:rPr>
      </w:pPr>
      <w:r>
        <w:rPr>
          <w:rFonts w:ascii="Times New Roman" w:hAnsi="Times New Roman"/>
          <w:color w:val="000000"/>
          <w:sz w:val="22"/>
        </w:rPr>
        <w:t>(c) since December 31, 2025, the absence of any material adverse change in any aspect of the business, operations, properties or financial condition of any Credit Party, or any event or condition which would reasonably be expected to result in such a material adverse change;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the receipt of the initial Borrowing Base Certificate, prepared as of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by delivering its signature page to this Agreement, shall be deemed to have acknowledged receipt of, and consented to and approved, each Financing Document and each other document, agreement and/or instrument required to be approved by Agent, Required Lenders or Lenders, as applicable, on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7.2 </w:t>
      </w:r>
      <w:r>
        <w:rPr>
          <w:rFonts w:ascii="Times New Roman" w:hAnsi="Times New Roman"/>
          <w:color w:val="000000"/>
          <w:sz w:val="22"/>
          <w:u w:val="single"/>
        </w:rPr>
        <w:t>Conditions to Each Loan</w:t>
      </w:r>
      <w:r>
        <w:rPr>
          <w:rFonts w:ascii="Times New Roman" w:hAnsi="Times New Roman"/>
          <w:color w:val="000000"/>
          <w:sz w:val="22"/>
        </w:rPr>
        <w:t>. The obligation of the Lenders to make a Loan or an advance in respect of any Loan (including the initial Loans), is subject to the satisfaction of the following additional conditions:</w:t>
      </w:r>
    </w:p>
    <w:p>
      <w:pPr>
        <w:pStyle w:val="TextBody"/>
        <w:bidi w:val="0"/>
        <w:spacing w:before="0" w:after="240"/>
        <w:jc w:val="both"/>
        <w:rPr>
          <w:rFonts w:ascii="Times New Roman" w:hAnsi="Times New Roman"/>
          <w:sz w:val="20"/>
        </w:rPr>
      </w:pPr>
      <w:r>
        <w:rPr>
          <w:rFonts w:ascii="Times New Roman" w:hAnsi="Times New Roman"/>
          <w:color w:val="000000"/>
          <w:sz w:val="22"/>
        </w:rPr>
        <w:t>(a) in the case of each borrowing of a Term Loan that would result in the occurrence of a Financial Covenant Trigger Date, Agent shall have received evidence satisfactory to it that (i) the Credit Parties shall be in pro forma compliance with the Minimum Net Revenue Covenant, measured as of the last day of the most recently ended Defined Period prior to such borrowing (without, for the avoidance doubt, giving effect to the proviso in Section 6.1 and regardless of whether a Financial Covenant Testing Period is in effect) or (ii) the Credit Parties have at least $65,000,000 in Credit Party Unrestricted Cash prior to giving effect to such borrowing.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 in the case of each borrowing of Revolving Loans, receipt by Agent of a Notice of Borrowing and an updated Borrowing Base, and (ii) in the case of a Term Loan advance, receipt by Agent and Term Loan Servicer of a Notice of Borrowing in accordance with the provisions of Section 2.1(a)(i);</w:t>
      </w:r>
    </w:p>
    <w:p>
      <w:pPr>
        <w:pStyle w:val="TextBody"/>
        <w:bidi w:val="0"/>
        <w:spacing w:before="0" w:after="240"/>
        <w:jc w:val="both"/>
        <w:rPr>
          <w:rFonts w:ascii="Times New Roman" w:hAnsi="Times New Roman"/>
          <w:sz w:val="20"/>
        </w:rPr>
      </w:pPr>
      <w:r>
        <w:rPr>
          <w:rFonts w:ascii="Times New Roman" w:hAnsi="Times New Roman"/>
          <w:color w:val="000000"/>
          <w:sz w:val="22"/>
        </w:rPr>
        <w:t>(c) with respect to any Term Loan Tranche 2, (i) the Term Loan Tranche 2 Activation Date has occurred and (ii) Agent and each Lender with a Term Loan Tranche 2 Commitment, in each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their sole discretion, has approved in writing the funding of the Term Loan Tranche 2 (it being understood that neither Agent nor any Lender shall be under any obligation to approve such funding);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immediately after such borrowing and after application of the proceeds thereof, the Revolving Loan Outstandings will not exceed the Revolving Loan Limit;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immediately before and after such advance, no Default or Event of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for Loans made on or after the Closing Date, the representations and warranties of each Credit Party contained in the Financing Documents shall be true, correct and complete in all material respects on and as of the date of such borrowing, except to the extent that any such representation or warranty relates to a specific earlier date, in which case such representation or warranty shall be true and correct in all material respects as of such specific earlier date; provided, however, in each case, such materiality qualifier shall not be applicable to any representations and warranties that already are qualified or modified by materiality in the text thereof;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as of the date of such advance, no Material Adverse Effect exists.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giving of a Notice of Borrowing hereunder and each acceptance by any Borrower of the proceeds of any Loan made hereunder shall be deemed to be a representation and warranty by each Credit Party on the date of such notice or acceptance as to the facts specified in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7.3 </w:t>
      </w:r>
      <w:r>
        <w:rPr>
          <w:rFonts w:ascii="Times New Roman" w:hAnsi="Times New Roman"/>
          <w:color w:val="000000"/>
          <w:sz w:val="22"/>
          <w:u w:val="single"/>
        </w:rPr>
        <w:t>Searches</w:t>
      </w:r>
      <w:r>
        <w:rPr>
          <w:rFonts w:ascii="Times New Roman" w:hAnsi="Times New Roman"/>
          <w:color w:val="000000"/>
          <w:sz w:val="22"/>
        </w:rPr>
        <w:t>. Before the Closing Date, and thereafter (as and when determined by Agent in its discretion), Agent shall have the right to perform, all at Borrowers’ expense, the searches described in clauses (a), (b), and (c) below against Borrowers and any other Credit Party, the results of which are to be consistent with Credit Parties’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7.4 </w:t>
      </w:r>
      <w:r>
        <w:rPr>
          <w:rFonts w:ascii="Times New Roman" w:hAnsi="Times New Roman"/>
          <w:color w:val="000000"/>
          <w:sz w:val="22"/>
          <w:u w:val="single"/>
        </w:rPr>
        <w:t>Post-Closing Requirements</w:t>
      </w:r>
      <w:r>
        <w:rPr>
          <w:rFonts w:ascii="Times New Roman" w:hAnsi="Times New Roman"/>
          <w:color w:val="000000"/>
          <w:sz w:val="22"/>
        </w:rPr>
        <w:t xml:space="preserve">. Unless Agent shall otherwise consent in writing, Credit Parties shall complete each of the post-closing obligations and/or provide to Agent each of the documents, instruments, agreements and information listed on </w:t>
      </w:r>
      <w:r>
        <w:rPr>
          <w:rFonts w:ascii="Times New Roman" w:hAnsi="Times New Roman"/>
          <w:color w:val="000000"/>
          <w:sz w:val="22"/>
          <w:u w:val="single"/>
        </w:rPr>
        <w:t>Schedule 7.4</w:t>
      </w:r>
      <w:r>
        <w:rPr>
          <w:rFonts w:ascii="Times New Roman" w:hAnsi="Times New Roman"/>
          <w:color w:val="000000"/>
          <w:sz w:val="20"/>
        </w:rPr>
        <w:t xml:space="preserve"> </w:t>
      </w:r>
      <w:r>
        <w:rPr>
          <w:rFonts w:ascii="Times New Roman" w:hAnsi="Times New Roman"/>
          <w:color w:val="000000"/>
          <w:sz w:val="22"/>
        </w:rPr>
        <w:t>attached hereto on or before the date set forth for each such item thereon, each of which shall be completed or provided in form and substance reasonably satisfactory to Agent.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 – RESERVED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 – SECURITY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9.1 </w:t>
      </w:r>
      <w:r>
        <w:rPr>
          <w:rFonts w:ascii="Times New Roman" w:hAnsi="Times New Roman"/>
          <w:color w:val="000000"/>
          <w:sz w:val="22"/>
          <w:u w:val="single"/>
        </w:rPr>
        <w:t>Generally</w:t>
      </w:r>
      <w:r>
        <w:rPr>
          <w:rFonts w:ascii="Times New Roman" w:hAnsi="Times New Roman"/>
          <w:color w:val="000000"/>
          <w:sz w:val="22"/>
        </w:rPr>
        <w:t>. As security for the payment and performance of the Obligations, and without limiting any other grant of a Lien and security interest in any Security Document, each Credit Party hereby (i) assigns, grants and pledges to Agent, for the benefit of itself and Lenders, and, subject only to Permitted Liens that may have priority as a matter of applicable Law, a continuing first priority Lien on and security interest in, upon, and to the property and assets set forth on Schedule 9.1 attached hereto and made a part hereof and (ii) pledges, assigns and grants to Agent, for the benefit of itself and Lenders, as security for the Obligations, a continuing security interest in, and pledges to Agent, for the ratable benefit of Lenders,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Pledged Collateral, wherever located, whether now owned or hereafter acquired or arising, and all proceeds and products thereof. For the avoidance of doubt, the Collateral includes (x) all Debt (including intercompany notes) from time to time owed to any Credit Party, and all interest, cash, instruments and other property, assets or proceeds from time to time received, receivable or otherwise distributed in respect of or in exchange for any or all of such Debt and all certificates, instruments or agreements evidencing such Debt, and all assignments, amendments, restatements, supplements, extensions, renewals, replacements or modifications thereof (“</w:t>
      </w:r>
      <w:r>
        <w:rPr>
          <w:rFonts w:ascii="Times New Roman" w:hAnsi="Times New Roman"/>
          <w:b/>
          <w:color w:val="000000"/>
          <w:sz w:val="22"/>
        </w:rPr>
        <w:t>Pledged Debt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in no event shall Pledged Debt include any Excluded Property and (y) one hundred percent (100%) of the issued and outstanding, certificated and uncertificated Equity Interests or other interest now owned or hereafter acquired by any Credit Party, including any Equity Interests of the Issuers listed on Schedule 9.1(A) (as such schedule may be amended or supplemented from time to time) and the certificates (or other agreements or instruments), if any, representing such Equity Interests and any Equity Interests or other interest owned by such Credit Party on the books and records of such limited liability company, partnership or other organization or on the books and records of any securities intermediary pertaining to such Equity Interests and all options and other rights, contractual or otherwise, with respect thereto, including, but not limited to, all dividends, distributions, cash, warrants, rights, options, instruments, securities, payments and other property or proceeds at any time and from time to time received, receivable or otherwise distributed in respect of or in exchange for any or all of such Equity Interests and, with respect to a limited liability company, all management rights, all voting rights, any interest in any capital account of a member in such limited liability company, all rights as and to become a member of the limited liability company, all rights of the Credit Party under any shareholder or voting trust agreement or similar agreement in respect of such limited liability company, all of the Credit Party’s right, title and interest as a member to any and all assets or properties of such limited liability company, and all other rights, powers, privileges, interests, claims and other property in any manner arising out of or relating to any of the foregoing and all claims, rights, power, privileges, authority, options, security interests, Liens and remedies, if any, of such Credit Party, under any governing document, or at law, or otherwise in respect of such Equity Interests (“</w:t>
      </w:r>
      <w:r>
        <w:rPr>
          <w:rFonts w:ascii="Times New Roman" w:hAnsi="Times New Roman"/>
          <w:b/>
          <w:color w:val="000000"/>
          <w:sz w:val="22"/>
        </w:rPr>
        <w:t>Pledged Equity</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in no event shall Pledged Equity include any Excluded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9.2 </w:t>
      </w:r>
      <w:r>
        <w:rPr>
          <w:rFonts w:ascii="Times New Roman" w:hAnsi="Times New Roman"/>
          <w:color w:val="000000"/>
          <w:sz w:val="22"/>
          <w:u w:val="single"/>
        </w:rPr>
        <w:t>Representations and Warranties and Covenants Relating to Collateral</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security interest granted pursuant to this Agreement constitutes a valid and, to the extent such security interest is required to be perfected (except in respect of Excluded Perfection Assets)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Times New Roman" w:hAnsi="Times New Roman"/>
          <w:color w:val="000000"/>
          <w:sz w:val="22"/>
          <w:u w:val="single"/>
        </w:rPr>
        <w:t>Schedule 9.2(b)</w:t>
      </w:r>
      <w:r>
        <w:rPr>
          <w:rFonts w:ascii="Times New Roman" w:hAnsi="Times New Roman"/>
          <w:color w:val="000000"/>
          <w:sz w:val="20"/>
        </w:rPr>
        <w:t xml:space="preserve"> </w:t>
      </w:r>
      <w:r>
        <w:rPr>
          <w:rFonts w:ascii="Times New Roman" w:hAnsi="Times New Roman"/>
          <w:color w:val="000000"/>
          <w:sz w:val="22"/>
        </w:rPr>
        <w:t>(which, in the case of all filings and other documents referred to on such schedule, have been delivered to Agent in completed and duly authorized form), (ii) with respect to any Deposit Account for which Deposit Account Control Agreements are required pursuant to this Agreement,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 the delivery thereof to Agent of such instruments and tangible chattel paper. Such security interest shall be prior to all other Liens on the Collateral except for Permitted Liens. Except to the extent not required pursuant to the terms of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Agreement, all actions by each Credit Party necessary or desirable to protect and perfect the Lien granted hereunder on the Collateral have been duly taken.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Schedule 9.2(b)</w:t>
      </w:r>
      <w:r>
        <w:rPr>
          <w:rFonts w:ascii="Times New Roman" w:hAnsi="Times New Roman"/>
          <w:color w:val="000000"/>
          <w:sz w:val="20"/>
        </w:rPr>
        <w:t xml:space="preserve"> </w:t>
      </w:r>
      <w:r>
        <w:rPr>
          <w:rFonts w:ascii="Times New Roman" w:hAnsi="Times New Roman"/>
          <w:color w:val="000000"/>
          <w:sz w:val="22"/>
        </w:rPr>
        <w:t xml:space="preserve">(as updated by the Compliance Certificates delivered to Agent from time to time after the Closing Date) sets forth (i) each chief executive office and principal place of business of each Credit Party and each of their respective Subsidiaries, and (ii) all of the addresses (including all warehouses) at which any of the Collateral is located and/or books and records of Credit Parties regarding any Collateral or any of Credit Party’s assets, liabilities, business operations or financial condition are kept, which such </w:t>
      </w:r>
      <w:r>
        <w:rPr>
          <w:rFonts w:ascii="Times New Roman" w:hAnsi="Times New Roman"/>
          <w:color w:val="000000"/>
          <w:sz w:val="22"/>
          <w:u w:val="single"/>
        </w:rPr>
        <w:t>Schedule 9.2(b)</w:t>
      </w:r>
      <w:r>
        <w:rPr>
          <w:rFonts w:ascii="Times New Roman" w:hAnsi="Times New Roman"/>
          <w:color w:val="000000"/>
          <w:sz w:val="20"/>
        </w:rPr>
        <w:t xml:space="preserve"> </w:t>
      </w:r>
      <w:r>
        <w:rPr>
          <w:rFonts w:ascii="Times New Roman" w:hAnsi="Times New Roman"/>
          <w:color w:val="000000"/>
          <w:sz w:val="22"/>
        </w:rPr>
        <w:t>indicates in each case which Credit Parties have Collateral and/or books and records located at such address, and, in the case of any such address not owned by one or more of the Credit Parties, indicates the nature of such location (e.g., leased business location operated by Credit Parties, third party warehouse, consignment location, processor location, etc.) and the name and address of the third party owning and/or operating such location.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Without limiting the generality of Section 3.2, except as indicated on </w:t>
      </w:r>
      <w:r>
        <w:rPr>
          <w:rFonts w:ascii="Times New Roman" w:hAnsi="Times New Roman"/>
          <w:color w:val="000000"/>
          <w:sz w:val="22"/>
          <w:u w:val="single"/>
        </w:rPr>
        <w:t>Schedule 3.19</w:t>
      </w:r>
      <w:r>
        <w:rPr>
          <w:rFonts w:ascii="Times New Roman" w:hAnsi="Times New Roman"/>
          <w:color w:val="000000"/>
          <w:sz w:val="20"/>
        </w:rPr>
        <w:t xml:space="preserve"> </w:t>
      </w:r>
      <w:r>
        <w:rPr>
          <w:rFonts w:ascii="Times New Roman" w:hAnsi="Times New Roman"/>
          <w:color w:val="000000"/>
          <w:sz w:val="22"/>
        </w:rPr>
        <w:t>with respect to any rights of any Credit Party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Credit Party to Agent of the security interests and Liens in the Collateral provided for under this Agreement and the other Security Documents (if any), or (ii) the granting of the security interest or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Credit Party and any other Person relating to any such collateral, including any license to which a Credit Party is a party, whether as licensor or licensee, with respect to any Intellectual Property, whether owned by such Credit Party or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As of the Closing Date, except as set forth on </w:t>
      </w:r>
      <w:r>
        <w:rPr>
          <w:rFonts w:ascii="Times New Roman" w:hAnsi="Times New Roman"/>
          <w:color w:val="000000"/>
          <w:sz w:val="22"/>
          <w:u w:val="single"/>
        </w:rPr>
        <w:t>Schedule 9.2(d)</w:t>
      </w:r>
      <w:r>
        <w:rPr>
          <w:rFonts w:ascii="Times New Roman" w:hAnsi="Times New Roman"/>
          <w:color w:val="000000"/>
          <w:sz w:val="20"/>
        </w:rPr>
        <w:t xml:space="preserve"> </w:t>
      </w:r>
      <w:r>
        <w:rPr>
          <w:rFonts w:ascii="Times New Roman" w:hAnsi="Times New Roman"/>
          <w:color w:val="000000"/>
          <w:sz w:val="22"/>
        </w:rPr>
        <w:t>and except to the extent constituting Excluded Perfection Assets</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 xml:space="preserve">no Credit Party has any ownership interest in any Chattel Paper (as defined in Article 9 of the UCC), letter of credit rights, commercial tort claims, Instruments, documents or investment property (in each case, other than Excluded Perfection Assets or Equity Interests in any Subsidiaries of such Credit Party disclosed on </w:t>
      </w:r>
      <w:r>
        <w:rPr>
          <w:rFonts w:ascii="Times New Roman" w:hAnsi="Times New Roman"/>
          <w:color w:val="000000"/>
          <w:sz w:val="22"/>
          <w:u w:val="single"/>
        </w:rPr>
        <w:t>Schedule 3.4</w:t>
      </w:r>
      <w:r>
        <w:rPr>
          <w:rFonts w:ascii="Times New Roman" w:hAnsi="Times New Roman"/>
          <w:color w:val="000000"/>
          <w:sz w:val="22"/>
        </w:rPr>
        <w:t>), and Credit Parties shall give notice to Agent promptly (but in any event not later than the delivery by Credit Parties of the next quarterly Compliance Certificate required pursuant to Section 4.1 above) upon the acquisition by any Credit Party of any such Chattel Paper, letter of credit rights, commercial tort claims, Instruments, documents, investment property, in each case, other than Excluded Perfection Assets. No Person other than Agent or (if applicable) any Lender has “control” (as defined in Article 9 of the UCC) over any Deposit Account, investment property (including Securities Accounts and commodities account), letter of credit rights or electronic chattel paper in which any Credit Party has any interest (except for such control arising by operation of law in favor of any bank or securities intermediary or commodities intermediary with whom any Deposit Account, Securities Account or commodities account of Credit Parties is maintained).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 Credit Parties shall not take any of the following actions or make any of the following changes unless Credit Parties have given at least thirty (30) days prior written notice to Agent of Credit Parties’ intention to take any such action (which such written notice shall include an updated version of any Schedule impacted by such change) and have executed any and all documents, instruments and agreements and taken any other actions which Agent may request after receiving such written notice in order to protect and preserve the Liens, rights and remedies of Agent with respect to the Collateral: (i) change the legal name or organizational identification number of any Credit Party as it appears in official filings in the jurisdiction of its organization, (ii) change the jurisdiction of incorporation or formation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Borrower or Credit Party or allow any Borrower or Credit Party to designate any jurisdiction as an additional jurisdiction of incorporation for such Borrower or Credit Party, or change the type of entity that it is;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in no event shall a Credit Party organized under the laws of the United States or any state thereof be reorganized under the laws of a jurisdiction other than the United States or any State thereof or (iii) change its chief executive office, principal place of business, or the location of its books and records or move any Collateral to or place any Collateral on any location that is not then listed on the Schedules , as updated from time to time pursuant to the terms of this Agreement, and/or establish (other than Collateral that is in transit or out for repair) any business location at any location that is not then listed on the Schedules.</w:t>
      </w:r>
    </w:p>
    <w:p>
      <w:pPr>
        <w:pStyle w:val="TextBody"/>
        <w:bidi w:val="0"/>
        <w:spacing w:before="0" w:after="240"/>
        <w:jc w:val="both"/>
        <w:rPr>
          <w:rFonts w:ascii="Times New Roman" w:hAnsi="Times New Roman"/>
          <w:sz w:val="20"/>
        </w:rPr>
      </w:pPr>
      <w:r>
        <w:rPr>
          <w:rFonts w:ascii="Times New Roman" w:hAnsi="Times New Roman"/>
          <w:color w:val="000000"/>
          <w:sz w:val="22"/>
        </w:rPr>
        <w:t>(f) Credit Parties shall not adjust, settle or compromise the amount or payment of any Account, or release wholly or partly any Account Debtor, or allow any credit or discount thereon (other than adjustments, settlements, compromises, credits and discounts in the Ordinary Course of Business, made while no Default exists and in amounts that are otherwise not material with respect to the Account and which, after giving effect thereto, do not cause the Borrowing Base to be less than the Revolving Loan Outstandings)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 Event of Default to: (i) exercise the rights of Credit Parties with respect to the obligation of any Account Debtor to make payment or otherwise render performance to Credit Parties and with respect to any property that secures the obligations of any Account Debtor or any other Person obligated on the Collateral, and (ii) adjust, settle or compromise the amount or payment of such Accounts.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Without limiting the generality of Sections 9.2(c) and 9.2(e):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Credit Parties shall deliver to Agent all tangible Chattel Paper and all Instruments and documents (other than any Excluded Perfection Assets) owned by any Credit Party and constituting part of the Collateral duly endorsed and accompanied by duly executed instruments of transfer or assignment, all in form and substance satisfactory to Agent. Credit Parties shall provide Agent with “control” (as defined in Article 9 of the UCC) of all electronic Chattel Paper (other than Excluded Perfection Assets) owned by any Credit Party and constituting part of the Collateral by having Agent identified as the assignee on the records pertaining to the single authoritative copy thereof and otherwise complying with the applicable elements of control set forth in the UCC. Credit Parties also shall deliver to Agent all security agreements securing any such Chattel Paper and securing any such Instruments (other than Excluded Perfection Assets). Credit Parties will mark conspicuously all such Chattel Paper and all such Instruments and documents (other than Excluded Perfection Assets) with a legend, in form and substance satisfactory to Agent, indicating that such Chattel Paper and such instruments and documents are subject to the security interests and Liens in favor of Agent created pursuant to this Agreement and the Security Documents. Credit Parties shall comply with all the provisions of Section 5.14 with respect to the Deposit Accounts and Securities Accounts of Credit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Credit Parties shall deliver to Agent all letters of credit (except to the extent constituting an Excluded Perfection Asset) on which any Credit Party is the beneficiary and which give rise to letter of credit rights owned by such Credit Party which constitute part of the Collateral in each case duly endorsed and accompanied by duly executed instruments of transfer or assignment, all in form and substance satisfactory to Agent. Except with respect to Excluded Perfection Assets, Credit Parties shall take any and all actions as may be necessary or desirable, or that Agent may request, from time to time, to cause Agent to obtain exclusive “control” (as defined in Article 9 of the UCC) of any such letter of credit rights in a manner acceptable to Agent.</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Credit Parties shall promptly advise Agent upon any Credit Party becoming aware that it has any interests in any commercial tort claim (except to the extent constituting an Excluded Perfection Asset), which such notice shall include descriptions of the events and circumstances giving rise to such commercial tort claim and the dates such events and circumstances occurred, the potential defendants with respect such commercial tort claim and any court proceedings that have been instituted with respect to such commercial tort claims, and Credit Parties shall, with respect to any such commercial tort claim, execute and deliver to Agent such documents as Agent shall request to perfect, preserve or protect the Liens, rights and remedies of Agent with respect to any such commercial tort claim.</w:t>
      </w:r>
    </w:p>
    <w:p>
      <w:pPr>
        <w:pStyle w:val="TextBody"/>
        <w:bidi w:val="0"/>
        <w:spacing w:before="0" w:after="240"/>
        <w:jc w:val="both"/>
        <w:rPr>
          <w:rFonts w:ascii="Times New Roman" w:hAnsi="Times New Roman"/>
          <w:sz w:val="20"/>
        </w:rPr>
      </w:pPr>
      <w:r>
        <w:rPr>
          <w:rFonts w:ascii="Times New Roman" w:hAnsi="Times New Roman"/>
          <w:color w:val="000000"/>
          <w:sz w:val="22"/>
        </w:rPr>
        <w:t>(iv) Unless Agent shall otherwise consent, Credit Parties shall obtain a landlord’s agreement, mortgagee agreement, or bailee agreement, as applicable, from the lessor of each leased property, the mortgagee of owned property or the warehouseman, consignee, bailee at any business location, in each case, located in the United States and (a) which is a Credit Party’s chief executive office or (b) where (i) any portion of the Collateral included in or proposed to be included in the Borrowing Base, or (ii) any portion of the Collateral with a value in excess of $500,000 is located, in each case, which agreement or letter shall be reasonably satisfactory in form and substance to Agent. Credit Parties shall timely and fully pay and perform its obligations under all leases and other agreements with respect to each of the locations specified in the preceding sentence. In no event shall the Credit Parties maintain tangible Collateral (other than Inventory with contract manufacturers and Inventory in transit in the Ordinary Course of Business) with a value in excess of $250,000 outside of the United States without Agent’s prior consent.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Credit Parties shall cause all material Equipment and other material tangible personal property other than Inventory to be maintained and preserved in the same condition, repair and in working order as when new, ordinary wear and tear excepted, and shall promptly make or cause to be made all repairs, replacements and other improvements in connection therewith that are reasonably necessary or desirable to such end. Upon request of Agent, Credit Parties shall promptly deliver to Agent any and all certificates of title, applications for title or similar evidence of ownership of all such tangible personal property (other than Excluded Perfection Assets) and shall cause Agent to be named as lienholder on any such certificate of title or other evidence of ownership. Credit Parties shall not permit any such tangible personal property to become fixtures to real estate unless such real estate is subject to a Lien in favor of Agent.</w:t>
      </w:r>
    </w:p>
    <w:p>
      <w:pPr>
        <w:pStyle w:val="TextBody"/>
        <w:bidi w:val="0"/>
        <w:spacing w:before="0" w:after="240"/>
        <w:jc w:val="both"/>
        <w:rPr>
          <w:rFonts w:ascii="Times New Roman" w:hAnsi="Times New Roman"/>
          <w:sz w:val="20"/>
        </w:rPr>
      </w:pPr>
      <w:r>
        <w:rPr>
          <w:rFonts w:ascii="Times New Roman" w:hAnsi="Times New Roman"/>
          <w:color w:val="000000"/>
          <w:sz w:val="22"/>
        </w:rPr>
        <w:t>(vi) Each Credit Party hereby authorizes Agent to file without the signature of such Credit Party one or more UCC financing statements relating to liens on personal property relating to all or any part of the Collateral, which financing statements may list Agent as the “secured party” and such Credit Party as the “debtor” and which describe and indicate the collateral covered thereby as all or any part of the Collateral under the Financing Documents (including an indication of the collateral covered by any such financing statement as “all assets” of such Borrower now owned or hereafter acquired) in such jurisdictions as Agent from time to time determines are appropriate, and to file without the signature of such Credit Party any continuations of or corrective amendments to any such financing statements, in any such case in order for Agent to perfect, preserve or protect the Liens, rights and remedies of Agent with respect to the Collateral. Each Credit Party also ratifies its authorization for Agent to have filed in any jurisdiction any initial financing statements or amendments thereto if filed prior to the date 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(vii) As of the Closing Date, no Credit Party holds, and after the Closing Date Credit Parties shall promptly notify Agent in writing upon creation or acquisition by any Credit Party of, any Collateral which constitutes a claim against any Governmental Authority, including, without limitation, the federal government of the United States or any instrumentality or agency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thereof, the assignment of which claim is restricted by any applicable Law, including, without limitation, the federal Assignment of Claims Act and any other comparable Law. Upon the request of Agent, Credit Parties shall take such steps as may be necessary or desirable, or that Agent may request, to comply with any such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(viii) Credit Parties shall furnish to Agent from time to time any statements and schedules further identifying or describing the Collateral and any other information, reports or evidence concerning the Collateral as Agent may reasonably request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(h) Schedule 9.1(A) sets forth all Pledged Collateral in which the Credit Parties have rights. Credit Parties have good and marketable title to the Pledged Collateral. Credit Parties are the sole owner of all of the Pledged Collateral, free and clear of all security interests, pledges, voting trusts, agreements, liens, claims and encumbrances whatsoever, other than the security interests, assignments and liens granted under this Agreement and the other Financing Documents.</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10 - EVENTS OF DEFAULT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Events of Default</w:t>
      </w:r>
      <w:r>
        <w:rPr>
          <w:rFonts w:ascii="Times New Roman" w:hAnsi="Times New Roman"/>
          <w:color w:val="000000"/>
          <w:sz w:val="22"/>
        </w:rPr>
        <w:t>. For purposes of the Financing Documents, the occurrence of any of the following conditions and/or events, whether voluntary or involuntary, by operation of law or otherwise, shall constitute an “</w:t>
      </w:r>
      <w:r>
        <w:rPr>
          <w:rFonts w:ascii="Times New Roman" w:hAnsi="Times New Roman"/>
          <w:b/>
          <w:color w:val="000000"/>
          <w:sz w:val="22"/>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 any Credit Party shall fail to pay (A) when due any principal or interest under any Financing Document (except, with respect to any interest payment, where the failure to make such payment is due solely to Agent’s administrative failure to ACH the payment from Borrower’s Deposit Account, in which case Borrower shall have three (3) Business Days to make such payment following such failure by Agent to ACH such funds) or (B) within three (3) Business Days after the same becomes due when due any premium or fee under any Financing Document or any other amount payable under any Financing Document, or (ii) there shall occur any default in the performance of or compliance with any of the following sections or articles of this Agreement: Section 2.11, Section 4.1, Section 4.2(b), Section 4.4(c), Section 4.6, Section 4.9, Section 4.11, Section 4.15, Section 4.16, Section 4.17, Article 5, Article 6, or Section 7.4;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thirty (30) days after the earlier of (i) receipt by Borrower Representative of notice from Agent or Required Lenders of such default, or (ii) actual knowledge of any Responsible Officer of the Borrower or any other Credit Party of such default;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any written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pStyle w:val="TextBody"/>
        <w:bidi w:val="0"/>
        <w:spacing w:before="0" w:after="240"/>
        <w:jc w:val="both"/>
        <w:rPr>
          <w:rFonts w:ascii="Times New Roman" w:hAnsi="Times New Roman"/>
          <w:sz w:val="20"/>
        </w:rPr>
      </w:pPr>
      <w:r>
        <w:rPr>
          <w:rFonts w:ascii="Times New Roman" w:hAnsi="Times New Roman"/>
          <w:color w:val="000000"/>
          <w:sz w:val="22"/>
        </w:rPr>
        <w:t>(d) (i) failure of any Credit Party to pay when due or within any applicable grace period any principal, interest or other amount on Debt (other than the Loans), or the occurrence of any breach, default, condition or event with respect to any Debt (other than the Loans), if the effect of such failure or occurrence is to cause or to permit the holder or holders of any such Debt, or to cause, Debt or other liabilities having an individual principal amount in excess of $1,000,000 or having an aggregate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principal amount in excess of $2,500,000 to become or be declared due prior to its stated maturity, or (ii) without limiting the foregoing, the occurrence of any breach or default under any terms or provisions of any Subordinated Debt Document or under any agreement subordinating the Subordinated Debt to all or any portion of the Obligations or the occurrence of any event requiring (or that would allow the holders thereof to require) the prepayment or mandatory redemption of any Subordinated Debt;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any Credit Party or any Subsidiary of a Credit Party shall commence a voluntary case or other proceeding seeking liquidation, reorganization or other relief with respect to itself or its debts under any bankruptcy, insolvency or other similar law or any analogous procedure or step is taken in any other jurisdiction)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an involuntary case or other proceeding shall be commenced against any Credit Party or any Subsidiary of a Credit Party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forty-five (45) days; or an order for relief shall be entered against any Credit Party or any Subsidiary of a Credit Party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(g) (i)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$500,000, (ii) a contribution failure occurs with respect to any Pension Plan sufficient to give rise to a Lien under Section 303(k) of ERISA or Section 430(k) of the Code or an event occurs that could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$500,000; </w:t>
      </w:r>
    </w:p>
    <w:p>
      <w:pPr>
        <w:pStyle w:val="TextBody"/>
        <w:bidi w:val="0"/>
        <w:spacing w:before="0" w:after="240"/>
        <w:jc w:val="both"/>
        <w:rPr>
          <w:rFonts w:ascii="Times New Roman" w:hAnsi="Times New Roman"/>
          <w:sz w:val="20"/>
        </w:rPr>
      </w:pPr>
      <w:r>
        <w:rPr>
          <w:rFonts w:ascii="Times New Roman" w:hAnsi="Times New Roman"/>
          <w:color w:val="000000"/>
          <w:sz w:val="22"/>
        </w:rPr>
        <w:t>(h) there is entered against any Credit Party or any Subsidiary thereof (i) one or more judgments or orders for the payment of money or involving in the aggregate a liability (in each case, not fully covered or paid by insurance as to which the relevant insurance company has not denied or disputed coverage) of $2,500,000 or more, (ii) one or more fines or penalties issued by any Governmental Authority involving in the aggregate a liability (not fully covered or paid by insurance as to which the relevant insurance company has not denied or disputed coverage) of $2,500,000 or more, or (iii) one or more non-monetary judgments that have, or would reasonably be expected to have, individually or in the aggregate, a Material Adverse Effect and, in any case if (i), (ii) or (iii), (A) enforcement proceedings are commenced by any creditor or any such Governmental Authority, as applicable, upon such judgment, order, penalty or fine, as applicable, or (B) such judgment, order, penalty or fine, as applicable, shall not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have been vacated, discharged, stayed or bonded, as applicable, pending appeal within 30 days from the entry or issuance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except solely as a result of any action or inaction of Agent or any Lenders (provided that such action or inaction is not caused by a Credit Party’s failure to comply with the terms of the Financing Documents),</w:t>
      </w:r>
      <w:r>
        <w:rPr>
          <w:rFonts w:ascii="Times New Roman" w:hAnsi="Times New Roman"/>
          <w:color w:val="000000"/>
          <w:sz w:val="20"/>
        </w:rPr>
        <w:t xml:space="preserve"> </w:t>
      </w:r>
      <w:r>
        <w:rPr>
          <w:rFonts w:ascii="Times New Roman" w:hAnsi="Times New Roman"/>
          <w:color w:val="000000"/>
          <w:sz w:val="22"/>
        </w:rPr>
        <w:t>any Lien created by any of the Security Documents shall at any time fail to constitute a valid and perfected Lien on a material portion of the Collateral purported to be encumbered thereby, subject to no prior or equal Lien except Permitted Liens, or any Credit Party shall so assert;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the institution by any Governmental Authority of criminal proceedings against any Credit Party;</w:t>
      </w:r>
    </w:p>
    <w:p>
      <w:pPr>
        <w:pStyle w:val="TextBody"/>
        <w:bidi w:val="0"/>
        <w:spacing w:before="0" w:after="240"/>
        <w:jc w:val="both"/>
        <w:rPr>
          <w:rFonts w:ascii="Times New Roman" w:hAnsi="Times New Roman"/>
          <w:sz w:val="20"/>
        </w:rPr>
      </w:pPr>
      <w:r>
        <w:rPr>
          <w:rFonts w:ascii="Times New Roman" w:hAnsi="Times New Roman"/>
          <w:color w:val="000000"/>
          <w:sz w:val="22"/>
        </w:rPr>
        <w:t>(k) a default or event of default occurs under any other Financing Document and any applicable grace period under such Financing Document has expired;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if any Credit Party is or becomes an entity whose equity is registered with the SEC, and/or is publicly traded on and/or registered with a public securities exchange, such Credit Party’s equity fails to remain registered with the SEC in good standing, and/or such equity fails to remain publicly traded on and registered with a public securities exchange;</w:t>
      </w:r>
    </w:p>
    <w:p>
      <w:pPr>
        <w:pStyle w:val="TextBody"/>
        <w:bidi w:val="0"/>
        <w:spacing w:before="0" w:after="240"/>
        <w:jc w:val="both"/>
        <w:rPr>
          <w:rFonts w:ascii="Times New Roman" w:hAnsi="Times New Roman"/>
          <w:sz w:val="20"/>
        </w:rPr>
      </w:pPr>
      <w:r>
        <w:rPr>
          <w:rFonts w:ascii="Times New Roman" w:hAnsi="Times New Roman"/>
          <w:color w:val="000000"/>
          <w:sz w:val="22"/>
        </w:rPr>
        <w:t>(m) the occurrence of any fact, event or circumstance that has resulted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 (i) the institution of any action or proceeding by FDA or any other Governmental Authority to revoke, suspend, reject, withdraw, limit, or restrict any Regulatory Required Permit held by any Credit Party, its Subsidiaries or any representative of Borrower or its Subsidiaries, which, in each case or in the aggregate, has or could reasonably be expected to result in Material Adverse Effect, or (ii) the commencement of any enforcement action against any Credit Party, its Subsidiaries or any representative of any Credit Party or its Subsidiaries (with respect to the business of any Credit Party or its Subsidiaries) by FDA or any other Governmental Authority which has or could reasonably be expected to result in a Material Adverse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 any Credit Party defaults under or breaches any Material Contract (after any applicable grace period contained therein), or a Material Contract shall be terminated by a third party or parties party thereto prior to the expiration thereof, or there is a loss of a material right of a Credit Party under any Material Contract to which it is a party, in each case, where such default or breach has or could be reasonably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 the occurrence of a Change in Control;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 any of the Financing Documents shall for any reason fail to constitute the valid and binding agreement of any party thereto, or any Credit Party shall so assert, in each case, unless such Financing Document terminates pursuant to the terms and conditions thereof without any breach or default thereunder by any Credit Party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cure periods provided for in this Section 10.1 shall run concurrently with any cure period provided for in any applicable Financing Documents under which the default occurred.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Acceleration and Suspension or Termination of Revolving Loan Commitment and Term Loan Commitment</w:t>
      </w:r>
      <w:r>
        <w:rPr>
          <w:rFonts w:ascii="Times New Roman" w:hAnsi="Times New Roman"/>
          <w:color w:val="000000"/>
          <w:sz w:val="22"/>
        </w:rPr>
        <w:t>. Upon the occurrence and during the continuance of an Event of Default, Agent may, and shall if requested by Required Lenders, (a) by notice to Borrower Representative suspend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terminate the Revolving Loan Commitment and/or Term Loan Commitment and the obligations of Agent, Term Loan Servicer and the Lenders with respect thereto, in whole or in part (and, if in part, each Lender’s Revolving Loan Commitment and/or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Credit Party and Credit Parties will pay the same;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 case of any of the Events of Default specified in Section 10.1(e) or 10.1(f) above, without any notice to any Credit Party or any other act by Agent or the Lenders, the Revolving Loan Commitment and Term Loan Commitment and the obligations of Agent, Term Loan Servicer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Credit Party and Credit Parties will pay the same.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10.3 </w:t>
      </w:r>
      <w:r>
        <w:rPr>
          <w:rFonts w:ascii="Times New Roman" w:hAnsi="Times New Roman"/>
          <w:color w:val="000000"/>
          <w:sz w:val="22"/>
          <w:u w:val="single"/>
        </w:rPr>
        <w:t>UCC Remedies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right to take possession of, send notices regarding, and collect directly the Collateral, with or without judicial process;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right to (by its own means or with judicial assistance) enter any of Credit Parties’ premises and take possession of the Collateral, or render it unusable, or to render it usable or saleable, or dispose of the Collateral on such premises in compliance with subsection (iii) below and to take possession of Credit Parties’ original books and records, to obtain access to Credit Parties’ data processing equipment, computer hardware and software relating to the Collateral and to use all of the foregoing and the information contained therein in any manner Agent deems appropriate, without any liability for rent, storage, utilities, or other sums, and Credit Parties shall not resist or interfere with such action (if Credit Parties’ books and records are prepared or maintained by an accounting service, contractor or other third party agent, Credit Parties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right to require Credit Parties at Credit Parties’ expense to assemble all or any part of the Collateral and make it available to Agent at any place designated by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the right to notify postal authorities to change the address for delivery of Credit Parties’ mail to an address designated by Agent and to receive, open and dispose of all mail addressed to any Credit Party; and/or</w:t>
      </w:r>
    </w:p>
    <w:p>
      <w:pPr>
        <w:pStyle w:val="TextBody"/>
        <w:bidi w:val="0"/>
        <w:spacing w:before="0" w:after="240"/>
        <w:jc w:val="both"/>
        <w:rPr>
          <w:rFonts w:ascii="Times New Roman" w:hAnsi="Times New Roman"/>
          <w:sz w:val="20"/>
        </w:rPr>
      </w:pPr>
      <w:r>
        <w:rPr>
          <w:rFonts w:ascii="Times New Roman" w:hAnsi="Times New Roman"/>
          <w:color w:val="000000"/>
          <w:sz w:val="22"/>
        </w:rPr>
        <w:t>(v) the right to enforce Credit Parties’ rights against Account Debtors and other obligors, including, without limitation, (i) the right to collect Accounts directly in Agent’s own name (as agent for Lenders) and to charge the collection costs and expenses, including documented out-of-pocket attorneys’ fees, to Credit Parties, and (ii) the right, in the name of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designee of Agent or Credit Parties, to verify the validity, amount or any other matter relating to any Accounts by mail, telephone, telegraph or otherwise, including, without limitation, verification of Credit Parties’ compliance with applicable Laws. Credit Parties shall cooperate fully with Agent in an effort to facilitate and promptly conclude such verification process. Such verification may include contacts between Agent and applicable federal, state and local regulatory authorities having jurisdiction over the Credit Parties’ affairs, all of which contacts Credit Parties hereby irrevocably authorize.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Credit Party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Credit Parties. At any sale or disposition of Collateral, Agent may (to the extent permitted by applicable law) purchase all or any part of the Collateral, free from any right of redemption by Credit Parties, which right is hereby waived and released. Each Credit Party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Credit Parties will be credited only with payments actually made by the purchaser, received by Agent and applied to the indebtedness of the purchaser. In the event the purchaser fails to pay for the Collateral, Agent may resell the Collateral and Credit Parties shall be credited with the proceeds of the sale. Credit Parties shall remain liable for any deficiency if the proceeds of any sale or disposition of the Collateral are insufficient to pay all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Without restricting the generality of the foregoing and for the purposes aforesaid, each Credit Party hereby appoints and constitutes Agent its lawful attorney-in-fact with full power of substitution in the Collateral, upon the occurrence and during the continuance of an Event of Default, to (i) 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 (iii) execute all applications and certificates in the name of such Credit Party and to prosecute and defend all actions or proceedings in connection with the Collateral, and (iv) do any and every act which such Credit Party might do in its own behalf; it being understood and agreed that this power of attorney in this subsection (c) shall be a power coupled with an interest and cannot be revoked.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Upon the occurrence and during the continuance of an Event of Default, subject to any right of any third parties and/or any agreement between any Borrower and any third party to the extent not granted or entered into in contravention of the terms of this Agreement, Agent and each Lender is hereby granted a non-exclusive, royalty-free license or other right to use, upon the occurrence and during the continuance of an Event of Default, without charge, Credit Parties’ labels, mask works, rights of use of any name, any other Intellectual Property and advertising matter, and any similar property as it pertains to the Collateral, in completing production of, advertising for sale, and selling any Collateral and, in connection with Agent’s exercise of its rights under this Article, Credit Parties’ rights under all licenses (whether as licensor or licensee) and all franchise agreements inure to Agent’s and each Lender’s benefit, subject to any rights of third party licensors or licensees, as applicable.</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10.4 </w:t>
      </w:r>
      <w:r>
        <w:rPr>
          <w:rFonts w:ascii="Times New Roman" w:hAnsi="Times New Roman"/>
          <w:color w:val="000000"/>
          <w:sz w:val="22"/>
          <w:u w:val="single"/>
        </w:rPr>
        <w:t>Protective Payments</w:t>
      </w:r>
      <w:r>
        <w:rPr>
          <w:rFonts w:ascii="Times New Roman" w:hAnsi="Times New Roman"/>
          <w:color w:val="000000"/>
          <w:sz w:val="22"/>
        </w:rPr>
        <w:t>. If any Credit Party fails to pay or perform any covenant or obligation under this Agreement or any other Financing Document, Agent may pay or perform such covenant or obligation, and all amounts so paid by Agent are Protective Advances and immediately due and payable, constituting principal and bearing interest at the then highest applicable rate for the Loans hereunder, and secured by the Collateral. No such payments or performance by Agent shall be construed as an agreement to make similar payments or performance in the future or constitute Agent’s waiver of any Event of Default. Without limiting the foregoing, each Lender and Borrower hereby authorizes Agent, without the necessity of any notice or further consent from any Lender, from time to time prior to a Default, to make any Protective Advance with respect to any Collateral or the Financing Documents which may be necessary to protect the priority, validity or enforceability of any lien on, and security interest in, any Collateral and the instruments evidencing or securing the obligations of Borrower under the Financing Documents. Credit Parties agree to pay on demand all Protective Advances. The Lenders must reimburse Agent for any Protective Advances (in accordance with their Pro Rata Shares) to the extent not reimbursed by Credit Parties.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10.5 </w:t>
      </w:r>
      <w:r>
        <w:rPr>
          <w:rFonts w:ascii="Times New Roman" w:hAnsi="Times New Roman"/>
          <w:color w:val="000000"/>
          <w:sz w:val="22"/>
          <w:u w:val="single"/>
        </w:rPr>
        <w:t>Default Rate of Interest</w:t>
      </w:r>
      <w:r>
        <w:rPr>
          <w:rFonts w:ascii="Times New Roman" w:hAnsi="Times New Roman"/>
          <w:color w:val="000000"/>
          <w:sz w:val="22"/>
        </w:rPr>
        <w:t xml:space="preserve">. At the election of Agent or Required Lenders, after the occurrence of an Event of Default and for so long as it continues, the Loans and other Obligations shall bear interest at rates that are two percent (2.0%) per annum in excess of the rates otherwise payable under this Agreement; </w:t>
      </w:r>
      <w:r>
        <w:rPr>
          <w:rFonts w:ascii="Times New Roman" w:hAnsi="Times New Roman"/>
          <w:i/>
          <w:color w:val="000000"/>
          <w:sz w:val="22"/>
        </w:rPr>
        <w:t>provided, however</w:t>
      </w:r>
      <w:r>
        <w:rPr>
          <w:rFonts w:ascii="Times New Roman" w:hAnsi="Times New Roman"/>
          <w:color w:val="000000"/>
          <w:sz w:val="22"/>
        </w:rPr>
        <w:t>, that in the case of any Event of Default specified in Section 10.1(e) or 10.1(f) above, such default rates shall apply immediately and automatically without the need for any election or action of any kind on the part of Agent or any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10.6 </w:t>
      </w:r>
      <w:r>
        <w:rPr>
          <w:rFonts w:ascii="Times New Roman" w:hAnsi="Times New Roman"/>
          <w:color w:val="000000"/>
          <w:sz w:val="22"/>
          <w:u w:val="single"/>
        </w:rPr>
        <w:t>Setoff Rights</w:t>
      </w:r>
      <w:r>
        <w:rPr>
          <w:rFonts w:ascii="Times New Roman" w:hAnsi="Times New Roman"/>
          <w:color w:val="000000"/>
          <w:sz w:val="22"/>
        </w:rPr>
        <w:t>. During the continuance of any Event of Default, each Lender is hereby authorized by each Credit Party at any time or from time to time, with reasonably prompt subsequent notice to such Credit Party (any prior or contemporaneous notice being hereby expressly waived) to set off and to appropriate and to apply any and all (a) balances held by such Lender or any of such Lender’s Affiliates at any of its offices for the account of such Credit Party or any of its Subsidiaries (regardless of whether such balances are then due to such Credit Party or its Subsidiaries), and (b) other property at any time held or owing by such Lender to or for the credit or for the account of such Credit Party or any of its Subsidiaries, against and on account of any of the Obligations (other than inchoate indemnification obligations for which no claim has yet been made);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Credit Party agrees, to the fullest extent permitted by law, that any Lender and any of such Lender’s Affiliates may exercise its right to set off with respect to the Obligations as provided in this Section 10.6.</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10.7 </w:t>
      </w:r>
      <w:r>
        <w:rPr>
          <w:rFonts w:ascii="Times New Roman" w:hAnsi="Times New Roman"/>
          <w:color w:val="000000"/>
          <w:sz w:val="22"/>
          <w:u w:val="single"/>
        </w:rPr>
        <w:t>Application of Proceeds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Notwithstanding anything to the contrary contained in this Agreement, upon the occurrence and during the continuance of an Event of Default, each Credit Party irrevocably waives the right to direct the application of any and all payments at any time or times thereafter received by Agent or Term Loan Servicer from or on behalf of such Borrower or any Guarantor of all or any part of the Obligations, and, as between Credit Parties on the one hand and Agent, Term Loan Servicer and Lenders on the other, Agent shall have the continuing and exclusive right to apply and to reapply any and all payments received by Agent or Term Loan Servicer against the Obligations in such manner as Agent may deem advisable notwithstanding any previous application by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Following the occurrence and during the continuance of an Event of Default, but absent the occurrence and continuance of an Acceleration Event, Agent and Term Loan Servicer,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shall apply any and all payments received by Agent or Term Loan Servicer (as applicable) in respect of the Obligations, and any and all proceeds of Collateral received by Agent or Term Loan Servicer, in such order as Agent or Term Loan Servicer, as applicable, may from time to time elect.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Notwithstanding anything to the contrary contained in this Agreement, if an Acceleration Event shall have occurred, and so long as it continues, Agent or Term Loan Servicer, as applicable, shall apply any and all payments received by Agent or Term Loan Servicer, as applicable, in respect of the Obligations, and any and all proceeds of Collateral received by Agent or Term Loan Servicer, in the following order: </w:t>
      </w:r>
      <w:r>
        <w:rPr>
          <w:rFonts w:ascii="Times New Roman" w:hAnsi="Times New Roman"/>
          <w:i/>
          <w:color w:val="000000"/>
          <w:sz w:val="22"/>
        </w:rPr>
        <w:t>first</w:t>
      </w:r>
      <w:r>
        <w:rPr>
          <w:rFonts w:ascii="Times New Roman" w:hAnsi="Times New Roman"/>
          <w:color w:val="000000"/>
          <w:sz w:val="22"/>
        </w:rPr>
        <w:t xml:space="preserve">, to all fees, costs, indemnities, liabilities, obligations, and expenses incurred by or owing to Agent or Term Loan Servicer with respect to this Agreement, the other Financing Documents or the Collateral and all Protective Advances and all accrued and unpaid interest due in respect of Protective Advances; </w:t>
      </w:r>
      <w:r>
        <w:rPr>
          <w:rFonts w:ascii="Times New Roman" w:hAnsi="Times New Roman"/>
          <w:i/>
          <w:color w:val="000000"/>
          <w:sz w:val="22"/>
        </w:rPr>
        <w:t>second</w:t>
      </w:r>
      <w:r>
        <w:rPr>
          <w:rFonts w:ascii="Times New Roman" w:hAnsi="Times New Roman"/>
          <w:color w:val="000000"/>
          <w:sz w:val="22"/>
        </w:rPr>
        <w:t xml:space="preserve">, to all fees, costs, indemnities, liabilities, obligations and expenses incurred by or owing to any Lender with respect to this Agreement, the other Financing Documents or the Collateral; </w:t>
      </w:r>
      <w:r>
        <w:rPr>
          <w:rFonts w:ascii="Times New Roman" w:hAnsi="Times New Roman"/>
          <w:i/>
          <w:color w:val="000000"/>
          <w:sz w:val="22"/>
        </w:rPr>
        <w:t>third</w:t>
      </w:r>
      <w:r>
        <w:rPr>
          <w:rFonts w:ascii="Times New Roman" w:hAnsi="Times New Roman"/>
          <w:color w:val="000000"/>
          <w:sz w:val="22"/>
        </w:rPr>
        <w:t xml:space="preserve">, to accrued and unpaid interest on the Obligations (including any interest which, but for the provisions of the Bankruptcy Code, would have accrued on such amounts); </w:t>
      </w:r>
      <w:r>
        <w:rPr>
          <w:rFonts w:ascii="Times New Roman" w:hAnsi="Times New Roman"/>
          <w:i/>
          <w:color w:val="000000"/>
          <w:sz w:val="22"/>
        </w:rPr>
        <w:t>fourth</w:t>
      </w:r>
      <w:r>
        <w:rPr>
          <w:rFonts w:ascii="Times New Roman" w:hAnsi="Times New Roman"/>
          <w:color w:val="000000"/>
          <w:sz w:val="22"/>
        </w:rPr>
        <w:t xml:space="preserve">, to the principal amount of the Obligations outstanding; and </w:t>
      </w:r>
      <w:r>
        <w:rPr>
          <w:rFonts w:ascii="Times New Roman" w:hAnsi="Times New Roman"/>
          <w:i/>
          <w:color w:val="000000"/>
          <w:sz w:val="22"/>
        </w:rPr>
        <w:t>fifth</w:t>
      </w:r>
      <w:r>
        <w:rPr>
          <w:rFonts w:ascii="Times New Roman" w:hAnsi="Times New Roman"/>
          <w:color w:val="000000"/>
          <w:sz w:val="20"/>
        </w:rPr>
        <w:t xml:space="preserve"> </w:t>
      </w:r>
      <w:r>
        <w:rPr>
          <w:rFonts w:ascii="Times New Roman" w:hAnsi="Times New Roman"/>
          <w:color w:val="000000"/>
          <w:sz w:val="22"/>
        </w:rPr>
        <w:t>to any other indebtedness or obligations of Credit Parties owing to Agent, Term Loan Servicer or any Lender under the Financing Documents. Any balance remaining shall be delivered to Credit Parties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10.8 </w:t>
      </w:r>
      <w:r>
        <w:rPr>
          <w:rFonts w:ascii="Times New Roman" w:hAnsi="Times New Roman"/>
          <w:color w:val="000000"/>
          <w:sz w:val="22"/>
          <w:u w:val="single"/>
        </w:rPr>
        <w:t>Waivers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Except as otherwise provided for in this Agreement and to the fullest extent permitted by applicable law, each Credit Party waives: (i) 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Credit Party may in any way be liable, and hereby ratifies and confirms whatever Lenders may lawfully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Credit Party acknowledges that it has been advised by counsel of its choices and decisions with respect to this Agreement, the other Financing Documents and the transactions evidenced hereby and thereby.</w:t>
      </w:r>
    </w:p>
    <w:p>
      <w:pPr>
        <w:pStyle w:val="TextBody"/>
        <w:bidi w:val="0"/>
        <w:spacing w:before="0" w:after="240"/>
        <w:jc w:val="both"/>
        <w:rPr>
          <w:rFonts w:ascii="Times New Roman" w:hAnsi="Times New Roman"/>
          <w:sz w:val="20"/>
        </w:rPr>
      </w:pPr>
      <w:r>
        <w:rPr>
          <w:rFonts w:ascii="Times New Roman" w:hAnsi="Times New Roman"/>
          <w:color w:val="000000"/>
          <w:sz w:val="22"/>
        </w:rPr>
        <w:t>(b) Each Credit Party for itself and all its successors and assigns, (i) agrees that its liability shall not be in any manner affected by any indulgence, extension of time, renewal, waiver, or modification granted or consented to by Lender and made in accordance with the terms of any Financing Document; (ii) consents to any indulgences and all extensions of time, renewals, waivers, or modifications that may be granted by Agent, Term Loan Servicer or any Lender with respect to the payment or other provisions of the Financing Documents and made in accordance with the terms of any Financing Document, and to any substitution, exchange or release of the Collateral, or any part thereof, with or without substitution, and agrees to the addition or release of any Credit Party, endorsers, guarantors, or sureties, or whether primarily or secondarily liable, without notice to any other Credit Party and without affecting its liability hereunder; (iii) agrees that its liability shall be unconditional and without regard to the liability of any other Credit Party, Agent, Term Loan Servicer or any Lender for any tax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indebtedness; and (iv) to the fullest extent permitted by law, expressly waives the benefit of any statute or rule of law or equity now provided, or which may hereafter be provided, which would produce a result contrary to or in conflict with the foregoing.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To the extent that Agent, Term Loan Servicer or any Lender may have acquiesced in any noncompliance with any requirements or conditions precedent to the closing of the Loans or to any subsequent disbursement of Loan proceeds, such acquiescence shall not be deemed to constitute a waiver by Agent, Term Loan Servicer or any Lender of such requirements with respect to any future disbursements of Loan proceeds and Agent, Term Loan Servicer or any Lender may at any time after such acquiescence require Credit Parties to comply with all such requirements. Any forbearance by Agent, Term Loan Servicer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Term Loan Servicer’s or any Lender’s acceptance of payment of any sum secured by any of the Financing Documents after the due date of such payment shall not be a waiver of Agent’s, Term Loan Servicer’s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Without limiting the generality of anything contained in this Agreement or the other Financing Documents, each Credit Party agrees that if an Event of Default is continuing (i) Agent, Term Loan Servicer and Lenders shall not be subject to any “one action” or “election of remedies” law or rule, and (ii) all Liens and other rights, remedies or privileges provided to Agent, Term Loan Servicer or Lenders shall remain in full force and effect until Agent, Term Loan Servicer or Lenders have exhausted all remedies against the Collateral and any other properties owned by Credit Parties and the Financing Documents and other security instruments or agreements securing the Loans have been foreclosed, sold and/or otherwise realized upon in satisfaction of Credit Parties’ obligations under the Financing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Nothing contained herein or in any other Financing Document shall be construed as requiring Agent, Term Loan Servicer or any Lender to resort to any part of the Collateral for the satisfaction of any of Credit Parties’ obligations under the Financing Documents in preference or priority to any other Collateral, and Agent may seek satisfaction out of all of the Collateral or any part thereof, in its absolute discretion in respect of Credit Parties’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Credit Party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To the fullest extent permitted by law, each Credit Party, for itself and its successors and assigns, waives in the event of foreclosure of any or all of the Collateral any equitable right otherwise available to any Credit Party which would require the separate sale of any of the Collateral or require Agent, Term Loan Servicer or Lenders to exhaust their remedies against any part of the Collateral before proceeding against any other part of the Collateral; and further in the event of such foreclosure each Credit Party does hereby expressly consent to and authorize, at the option of Agent, the foreclosure and sale either separately or together of each part of the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10.9 </w:t>
      </w:r>
      <w:r>
        <w:rPr>
          <w:rFonts w:ascii="Times New Roman" w:hAnsi="Times New Roman"/>
          <w:color w:val="000000"/>
          <w:sz w:val="22"/>
          <w:u w:val="single"/>
        </w:rPr>
        <w:t>Injunctive Relief</w:t>
      </w:r>
      <w:r>
        <w:rPr>
          <w:rFonts w:ascii="Times New Roman" w:hAnsi="Times New Roman"/>
          <w:color w:val="000000"/>
          <w:sz w:val="22"/>
        </w:rPr>
        <w:t>. The parties acknowledge and agree that, in the event of a breach or threatened breach of any Credit Party’s obligations under any Financing Documents, Agent, Term Loan Servicer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10.10 </w:t>
      </w:r>
      <w:r>
        <w:rPr>
          <w:rFonts w:ascii="Times New Roman" w:hAnsi="Times New Roman"/>
          <w:color w:val="000000"/>
          <w:sz w:val="22"/>
          <w:u w:val="single"/>
        </w:rPr>
        <w:t>Marshalling; Payments Set Aside</w:t>
      </w:r>
      <w:r>
        <w:rPr>
          <w:rFonts w:ascii="Times New Roman" w:hAnsi="Times New Roman"/>
          <w:color w:val="000000"/>
          <w:sz w:val="22"/>
        </w:rPr>
        <w:t>. Neither Agent, Term Loan Servicer nor any Lender shall be under any obligation to marshal any assets in payment of any or all of the Obligations. To the extent that any Credit Party makes any payment or Agent enforces its Liens or Agent, Term Loan Servicer,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11 -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 </w:t>
      </w:r>
      <w:r>
        <w:rPr>
          <w:rFonts w:ascii="Times New Roman" w:hAnsi="Times New Roman"/>
          <w:color w:val="000000"/>
          <w:sz w:val="22"/>
          <w:u w:val="single"/>
        </w:rPr>
        <w:t>Appointment and Authorization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Each Lender hereby irrevocably appoints and authorizes Agent to 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Lender hereby irrevocably appoints and authorizes Term Loan Servicer to take such actions as Term Loan Servicer on its behalf and to exercise such powers under the Financing Documents as are delegated to Term Loan Servicer by the terms thereof, together with all such powers as are reasonably incidental thereto.</w:t>
      </w:r>
    </w:p>
    <w:p>
      <w:pPr>
        <w:pStyle w:val="TextBody"/>
        <w:bidi w:val="0"/>
        <w:spacing w:before="0" w:after="240"/>
        <w:jc w:val="both"/>
        <w:rPr>
          <w:rFonts w:ascii="Times New Roman" w:hAnsi="Times New Roman"/>
          <w:sz w:val="20"/>
        </w:rPr>
      </w:pPr>
      <w:r>
        <w:rPr>
          <w:rFonts w:ascii="Times New Roman" w:hAnsi="Times New Roman"/>
          <w:color w:val="000000"/>
          <w:sz w:val="22"/>
        </w:rPr>
        <w:t>(c) Subject to the terms of Section 11.16 and to the terms of the other Financing Documents, Agent is authorized and empowered to amend, modify, or waive any provisions of this Agreement or the other Financing Documents on behalf of Lenders and Term Loan Servicer.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The provisions of this Article 11 are solely for the benefit of Agent, Term Loan Servicer and Lenders and neither any Borrower nor any other Credit Party shall have any rights as a third party beneficiary of any of the provisions hereof. In performing its functions and duties under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Agreement, Agent and Term Loan Servicer shall each act solely as agent of Lenders and does not assume and shall not be deemed to have assumed any obligation toward or relationship of agency or trust with or for any Borrower or any other Credit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Each of Agent and Term Loan Servicer may, upon any term or condition it specifies, delegate or exercise any of its rights, powers and remedies under, and delegate or perform any of its duties or any other action with respect to, any Financing Document by or through any agents, servicers, trustees, investment managers, employees, attorney-in-fact or any other Person (including any Lender). Any such Person shall benefit from this Article 11 to the extent provided by Agent or Term Loan Servicer,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11.2 </w:t>
      </w:r>
      <w:r>
        <w:rPr>
          <w:rFonts w:ascii="Times New Roman" w:hAnsi="Times New Roman"/>
          <w:color w:val="000000"/>
          <w:sz w:val="22"/>
          <w:u w:val="single"/>
        </w:rPr>
        <w:t>Agents and Affiliates</w:t>
      </w:r>
      <w:r>
        <w:rPr>
          <w:rFonts w:ascii="Times New Roman" w:hAnsi="Times New Roman"/>
          <w:color w:val="000000"/>
          <w:sz w:val="22"/>
        </w:rPr>
        <w:t>. Agent and Term Loan Servicer shall have the same rights and powers under the Financing Documents as any other Lender and may exercise or refrain from exercising the same as though it were not Agent, and Agent and Term Loan Servicer and their respective Affiliates may lend money to, invest in and generally engage in any kind of business with each Credit Party or Affiliate of any Credit Party as if it were not Agent or Term Loan Servicer, as applicable,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11.3 </w:t>
      </w:r>
      <w:r>
        <w:rPr>
          <w:rFonts w:ascii="Times New Roman" w:hAnsi="Times New Roman"/>
          <w:color w:val="000000"/>
          <w:sz w:val="22"/>
          <w:u w:val="single"/>
        </w:rPr>
        <w:t>Action by Agents</w:t>
      </w:r>
      <w:r>
        <w:rPr>
          <w:rFonts w:ascii="Times New Roman" w:hAnsi="Times New Roman"/>
          <w:color w:val="000000"/>
          <w:sz w:val="22"/>
        </w:rPr>
        <w:t>. The duties of Agent and Term Loan Servicer shall be mechanical and administrative in nature. Neither Agent nor Term Loan Servicer shall have by reason of this Agreement a fiduciary relationship in respect of any Lender. Nothing in this Agreement or any of the Financing Documents is intended to or shall be construed to impose upon Agent or Term Loan Servicer any obligations in respect of this Agreement or any of the Financing Documents except as expressly set forth herein or therein.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11.4 </w:t>
      </w:r>
      <w:r>
        <w:rPr>
          <w:rFonts w:ascii="Times New Roman" w:hAnsi="Times New Roman"/>
          <w:color w:val="000000"/>
          <w:sz w:val="22"/>
          <w:u w:val="single"/>
        </w:rPr>
        <w:t>Consultation with Experts</w:t>
      </w:r>
      <w:r>
        <w:rPr>
          <w:rFonts w:ascii="Times New Roman" w:hAnsi="Times New Roman"/>
          <w:color w:val="000000"/>
          <w:sz w:val="22"/>
        </w:rPr>
        <w:t>. Agent and Term Loan Servicer may consult with legal counsel, independent public accountants and other experts selected by it and shall not be liable for any action taken or omitted to be taken by it in good faith in accordance with the advice of such counsel, accountants or experts.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11.5 </w:t>
      </w:r>
      <w:r>
        <w:rPr>
          <w:rFonts w:ascii="Times New Roman" w:hAnsi="Times New Roman"/>
          <w:color w:val="000000"/>
          <w:sz w:val="22"/>
          <w:u w:val="single"/>
        </w:rPr>
        <w:t>Liability of Agent</w:t>
      </w:r>
      <w:r>
        <w:rPr>
          <w:rFonts w:ascii="Times New Roman" w:hAnsi="Times New Roman"/>
          <w:color w:val="000000"/>
          <w:sz w:val="22"/>
        </w:rPr>
        <w:t>. None of Agent, Term Loan Servicer nor any of their directors, officers, agents, trustees, investment managers, servicers or employees shall be liable to any Lender for any action taken or not taken by it in connection with the Financing Documents, except that Agent and Term Loan Servicer shall each be liable with respect to its specific duties set forth hereunder but only to the extent of its own gross negligence or willful misconduct in the discharge thereof as determined by a final non-appealable judgment of a court of competent jurisdiction. None of Agent, Term Loan Servicer nor any of their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Neither Agent nor Term Loan Servicer shall incur any liability by acting in reliance upon any notice, consent, certificate, statement, or other writing (which may be a bank wire, facsimile or electronic transmission or similar writing) believed by it to be genuine or to be signed by the proper party or parties. Neither Agent nor Term Loan Servicer shall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11.6 </w:t>
      </w:r>
      <w:r>
        <w:rPr>
          <w:rFonts w:ascii="Times New Roman" w:hAnsi="Times New Roman"/>
          <w:color w:val="000000"/>
          <w:sz w:val="22"/>
          <w:u w:val="single"/>
        </w:rPr>
        <w:t>Indemnification</w:t>
      </w:r>
      <w:r>
        <w:rPr>
          <w:rFonts w:ascii="Times New Roman" w:hAnsi="Times New Roman"/>
          <w:color w:val="000000"/>
          <w:sz w:val="22"/>
        </w:rPr>
        <w:t>. Each Lender shall, in accordance with its Pro Rata Share, indemnify Agent and Term Loan Servicer (to the extent not reimbursed by Credit Parties) upon demand against any cost, expense (including counsel fees and disbursements), claim, demand, action, loss or liability (except such as result from Agent’s or Term Loan Servicer’s, as applicable, gross negligence or willful misconduct as determined by a final non-appealable judgment of a court of competent jurisdiction) that Agent or Term Loan Servicer, as applicable, may suffer or incur in connection with the Financing Documents or any action taken or omitted by Agent or Term Loan Servicer, as applicable, hereunder or thereunder. If any indemnity furnished to Agent or Term Loan Servicer for any purpose shall, in the opinion of Agent or Term Loan Servicer (as applicable), be insufficient or become impaired, Agent or Term Loan Servicer, as applicable, may call for additional indemnity and cease, or not commence, to do the acts indemnified against even if so directed by Required Lenders until such additional indemnity is furnished.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11.7 </w:t>
      </w:r>
      <w:r>
        <w:rPr>
          <w:rFonts w:ascii="Times New Roman" w:hAnsi="Times New Roman"/>
          <w:color w:val="000000"/>
          <w:sz w:val="22"/>
          <w:u w:val="single"/>
        </w:rPr>
        <w:t>Right to Request and Act on Instructions</w:t>
      </w:r>
      <w:r>
        <w:rPr>
          <w:rFonts w:ascii="Times New Roman" w:hAnsi="Times New Roman"/>
          <w:color w:val="000000"/>
          <w:sz w:val="22"/>
        </w:rPr>
        <w:t>. Agent and Term Loan Servicer may at any time request instructions from Lenders with respect to any actions or approvals which by the terms of this Agreement or of any of the Financing Documents Agent or Term Loan Servicer is permitted or desires to take or to grant, and if such instructions are promptly requested, Agent or Term Loan Servicer, as applicable,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or Term Loan Servicer as a result of Agent or Term Loan Servicer, as applicable,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neither Agent nor Term Loan Servicer shall have any obligation to take any action if it believes, in good faith, that such action would violate applicable Law or exposes Agent or Term Loan Servicer, as applicable, to any liability for which it has not received satisfactory indemnification in accordance with the provisions of Section 11.6.</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11.8 </w:t>
      </w:r>
      <w:r>
        <w:rPr>
          <w:rFonts w:ascii="Times New Roman" w:hAnsi="Times New Roman"/>
          <w:color w:val="000000"/>
          <w:sz w:val="22"/>
          <w:u w:val="single"/>
        </w:rPr>
        <w:t>Credit Decision</w:t>
      </w:r>
      <w:r>
        <w:rPr>
          <w:rFonts w:ascii="Times New Roman" w:hAnsi="Times New Roman"/>
          <w:color w:val="000000"/>
          <w:sz w:val="22"/>
        </w:rPr>
        <w:t>. Each Lender acknowledges that it has, independently and without reliance upon Agent, Term Loan Servicer or any other Lender, and based on such documents and information as it has deemed appropriate, made its own credit analysis and decision to enter into this Agreement. Each Lender also acknowledges that it will, independently and without reliance upon Agent, Term Loan Servicer or any other Lender, and based on such documents and information as it shall deem appropriate at the time, continue to make its own credit decisions in taking or not taking any action under the Financing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11.9 </w:t>
      </w:r>
      <w:r>
        <w:rPr>
          <w:rFonts w:ascii="Times New Roman" w:hAnsi="Times New Roman"/>
          <w:color w:val="000000"/>
          <w:sz w:val="22"/>
          <w:u w:val="single"/>
        </w:rPr>
        <w:t>Collateral Matters</w:t>
      </w:r>
      <w:r>
        <w:rPr>
          <w:rFonts w:ascii="Times New Roman" w:hAnsi="Times New Roman"/>
          <w:color w:val="000000"/>
          <w:sz w:val="22"/>
        </w:rPr>
        <w:t>. Lenders irrevocably authorize Agent, at its option and in its discretion, to (a) release any Lien granted to or held by Agent under any Security Document (i) upon termination of the Revolving Loan Commitment and Term Loan Commitment and payment in full of all Obligations (other than inchoate indemnification obligations for which no claim has yet been made);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11.10 </w:t>
      </w:r>
      <w:r>
        <w:rPr>
          <w:rFonts w:ascii="Times New Roman" w:hAnsi="Times New Roman"/>
          <w:color w:val="000000"/>
          <w:sz w:val="22"/>
          <w:u w:val="single"/>
        </w:rPr>
        <w:t>Agency for Perfection</w:t>
      </w:r>
      <w:r>
        <w:rPr>
          <w:rFonts w:ascii="Times New Roman" w:hAnsi="Times New Roman"/>
          <w:color w:val="000000"/>
          <w:sz w:val="22"/>
        </w:rPr>
        <w:t>. 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11.11 </w:t>
      </w:r>
      <w:r>
        <w:rPr>
          <w:rFonts w:ascii="Times New Roman" w:hAnsi="Times New Roman"/>
          <w:color w:val="000000"/>
          <w:sz w:val="22"/>
          <w:u w:val="single"/>
        </w:rPr>
        <w:t>Notice of Default</w:t>
      </w:r>
      <w:r>
        <w:rPr>
          <w:rFonts w:ascii="Times New Roman" w:hAnsi="Times New Roman"/>
          <w:color w:val="000000"/>
          <w:sz w:val="22"/>
        </w:rPr>
        <w:t>. Agent shall not be deemed to have knowledge or notice of the occurrence of any Default or Event of Default except with respect to defaults in the payment of principal, interest and fees required to be paid to Agent for the account of Lenders, unless Agent shall have received written notice from a Lender or a Credit Party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11.12 </w:t>
      </w:r>
      <w:r>
        <w:rPr>
          <w:rFonts w:ascii="Times New Roman" w:hAnsi="Times New Roman"/>
          <w:color w:val="000000"/>
          <w:sz w:val="22"/>
          <w:u w:val="single"/>
        </w:rPr>
        <w:t>Assignment by Agent; Resignation of Agent; Successor Agent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Agent and/or Term Loan Servicer may at any time assign its rights, powers, privileges and duties hereunder to (i) another Lender or an Affiliate of Agent or any Lender or any Approved Fund, or (ii) any Eligible Assignee to whom Agent or Term Loan Servicer, in its capacity as a Lender, has assigned (or will assign, in conjunction with such assignment of agency rights hereunder) 50% or more of its Loan, in each case without the consent of the Lenders or Credit Parties. Following any such assignment, Agent or Term Loan Servicer, as applicable, shall endeavor to give notice to the Lenders and Borrowers. Failure to give such notice shall not affect such assignment in any way or cause the assignment to be ineffective. An assignment by Agent or Term Loan Servicer, as applicable, pursuant to this subsection (a) shall not be deemed a resignation by Agent for purposes of subsection (b) below.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Without limiting the rights of Agent or Term Loan Servicer to designate an assignee pursuant to subsection (a) above, Agent or Term Loan Servicer may at any time give notice of its resignation to the Lenders and Borrowers. Upon receipt of any such notice of resignation, Required Lenders shall have the right to appoint a successor Agent or Term Loan Servicer, as applicable, which successor Agent or Term Loan Servicer shall be an Eligible Assignee. If no such successor shall have been so appointed by Required Lenders and shall have accepted such appointment within ten (10) Business Days after the retiring Agent or Term Loan Servicer gives notice of its resignation, then the retiring Agent or Term Loan Servicer may on behalf of the Lenders, appoint a successor Agent or Term Loan Servicer;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if Agent or Term Loan Servicer shall notify Borrowers and the Lenders that no Person has accepted such appointment, then such resignation shall nonetheless become effective in accordance with such notice from Agent or Term Loan Servicer that no Person has accepted such appointment and, from and following delivery of such notice, (i) the retiring Agent or Term Loan Servicer shall be discharged from its duties and obligations hereunder and under the other Financing Documents, and (ii) all payments, communications and determinations provided to be made by, to or through Agent or Term Loan Servicer, as applicable, shall instead be made by or to each Lender directly, until such time as Required Lenders appoint a successor Agent or Term Loan Servicer, as applicable, as provided for above in this paragraph.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Upon (i) an assignment permitted by subsection (a) above, or (ii) the acceptance of a successor’s appointment as Agent or Term Loan Servicer, as applicable, pursuant to subsection (b) above, such successor shall succeed to and become vested with all of the rights, powers, privileges and duties of the retiring (or retired) Agent or Term Loan Servicer, and the retiring Agent or Term Loan Servicer shall be discharged from all of its duties and obligations hereunder and under the other Financing Documents (if not already discharged therefrom as provided above in this paragraph). The fees payable by Borrowers to a successor Agent or Term Loan Servicer shall be the same as those payable to its predecessor unless otherwise agreed between Borrowers and such successor. After the retiring Agent’s resignation or retiring Term Loan Servicer’s resignation (as applicable) hereunder and under the other Financing Documents, the provisions of this Article 11 and Section 11.12 shall continue in effect for the benefit of such retiring Agent or Term Loan Servicer and its sub-agents in respect of any actions taken or omitted to be taken by any of them while the retiring Agent or Term Loan Servicer was acting or was continuing to act as Agent or Term Loan Servicer,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11.13 </w:t>
      </w:r>
      <w:r>
        <w:rPr>
          <w:rFonts w:ascii="Times New Roman" w:hAnsi="Times New Roman"/>
          <w:color w:val="000000"/>
          <w:sz w:val="22"/>
          <w:u w:val="single"/>
        </w:rPr>
        <w:t>Payment and Sharing of Payment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Loan Advances, Payments and Settlements; Interest and Fee Payments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Agent shall have the right, on behalf of Revolving Lenders to disburse funds to Borrowers for all Revolving Loans requested or deemed requested by Borrowers pursuant to the terms of this Agreement. Agent shall be conclusively entitled to assume, for purposes of the preceding sentence, that each Revolving Lender, other than any Non-Funding Lenders, will fund its Pro Rata Share of all Revolving Loans requested by Borrowers. Each Revolving Lender shall reimburse Agent on demand, in accordance with the provisions of the immediately following paragraph, for all funds disbursed on its behalf by Agent pursuant to the first sentence of this clause (i), or if Agent so requests, each Revolving Lender will remit to Agent its Pro Rata Share of any Revolving Loan before Agent disburses the same to a Borrower. If Agent elects to require that each Revolving Lender make funds available to Agent, prior to a disbursement by Agent to a Borrower, Agent shall advise each Revolving Lender by telephone, facsimile or e-mail of the amount of such Revolving Lender’s Pro Rata Share of the Revolving Loan requested by such Borrower no later than noon (Eastern time) on the date of funding of such Revolving Loan, and each such Revolving Lender shall pay Agent on such date such Revolving Lender’s Pro Rata Share of such requested Revolving Loan, in same day funds, by wire transfer to the Revolving Loan Payment Account, or such other account as may be identified by Agent to Revolving Lenders from time to time. If any Lender fails to pay the amount of its Pro Rata Share of any funds advanced by Agent pursuant to the first sentence of this clause (i) within one (1) Business Day after Agent’s demand, Agent shall promptly notify Borrower Representative, and Borrowers shall immediately repay such amount to Agent. Any repayment required by Borrowers pursuant to this Section 11.13 shall be accompanied by accrued interest thereon from and including the date such amount is made available to a Borrower to but excluding the date of payment at the rate of interest then applicable to Revolving Loans. Nothing in this Section 11.13 or elsewhere in this Agreement or the other Financing Documents shall be deemed to require Agent to advance funds on behalf of any Lender or to relieve any Lender from its obligation to fulfill its commitments hereunder or to prejudice any rights that Agent or any Borrower may have against any Lender as a result of any default by such Lender hereunder.</w:t>
      </w:r>
    </w:p>
    <w:p>
      <w:pPr>
        <w:pStyle w:val="TextBody"/>
        <w:bidi w:val="0"/>
        <w:spacing w:before="0" w:after="240"/>
        <w:jc w:val="both"/>
        <w:rPr>
          <w:rFonts w:ascii="Times New Roman" w:hAnsi="Times New Roman"/>
          <w:sz w:val="20"/>
        </w:rPr>
      </w:pPr>
      <w:r>
        <w:rPr>
          <w:rFonts w:ascii="Times New Roman" w:hAnsi="Times New Roman"/>
          <w:color w:val="000000"/>
          <w:sz w:val="22"/>
        </w:rPr>
        <w:t>(ii) On a Business Day of each week as selected from time to time by Agent, or more frequently (including daily), if Agent so elects (each such day being a “</w:t>
      </w:r>
      <w:r>
        <w:rPr>
          <w:rFonts w:ascii="Times New Roman" w:hAnsi="Times New Roman"/>
          <w:b/>
          <w:color w:val="000000"/>
          <w:sz w:val="22"/>
        </w:rPr>
        <w:t>Settlement Date</w:t>
      </w:r>
      <w:r>
        <w:rPr>
          <w:rFonts w:ascii="Times New Roman" w:hAnsi="Times New Roman"/>
          <w:color w:val="000000"/>
          <w:sz w:val="20"/>
        </w:rPr>
        <w:t>”</w:t>
      </w:r>
      <w:r>
        <w:rPr>
          <w:rFonts w:ascii="Times New Roman" w:hAnsi="Times New Roman"/>
          <w:color w:val="000000"/>
          <w:sz w:val="22"/>
        </w:rPr>
        <w:t>), Agent will advise each Revolving Lender by telephone, facsimile or e-mail of the amount of each such Revolving Lender’s percentage interest of the Revolving Loan balance as of the close of business of the Business Day immediately preceding the Settlement Date. In the event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payments are necessary to adjust the amount of such Revolving Lender’s actual percentage interest of the Revolving Loans to such Lender’s required percentage interest of the Revolving Loan balance as of any Settlement Date, the Revolving Lender from which such payment is due shall pay Agent, without setoff or discount, to the Payment Account before 1:00 p.m. (Eastern time) on the Business Day following the Settlement Date the full amount necessary to make such adjustment. Any obligation arising pursuant to the immediately preceding sentence shall be absolute and unconditional and shall not be affected by any circumstance whatsoever. In the event settlement shall not have occurred by the date and time specified in the second preceding sentence, interest shall accrue on the unsettled amount at the rate of interest then applicable to Revolving Loans.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On each Settlement Date, Agent shall advise each Revolving Lender by telephone, facsimile or e-mail of the amount of such Revolving Lender’s percentage interest of principal, interest and fees paid for the benefit of Revolving Lenders with respect to each applicable Revolving Loan, to the extent of such Revolving Lender’s Revolving Loan Exposure with respect thereto, and shall make payment to such Revolving Lender before 1:00 p.m. (Eastern time) on the Business Day following the Settlement Date of such amounts in accordance with wire instructions delivered by such Revolving Lender to Agent, as the same may be modified from time to time by written notice to Agent;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in the case such Revolving Lender is a Defaulted Lender, Agent shall be entitled to set off the funding short-fall against that Defaulted Lender’s respective share of all payments received from any Borrower.</w:t>
      </w:r>
    </w:p>
    <w:p>
      <w:pPr>
        <w:pStyle w:val="TextBody"/>
        <w:bidi w:val="0"/>
        <w:spacing w:before="0" w:after="240"/>
        <w:jc w:val="both"/>
        <w:rPr>
          <w:rFonts w:ascii="Times New Roman" w:hAnsi="Times New Roman"/>
          <w:sz w:val="20"/>
        </w:rPr>
      </w:pPr>
      <w:r>
        <w:rPr>
          <w:rFonts w:ascii="Times New Roman" w:hAnsi="Times New Roman"/>
          <w:color w:val="000000"/>
          <w:sz w:val="22"/>
        </w:rPr>
        <w:t>(iv) On the Closing Date, Agent, on behalf of Lenders, may elect to advance to Borrowers the full amount of the initial Loans to be made on the Closing Date prior to receiving funds from Lenders, in reliance upon each Lender’s commitment to make its Pro Rata Share of such Loans to Borrowers in a timely manner on such date. If Agent elects to advance the initial Loans to Borrower in such manner, Agent shall be entitled to receive all interest that accrues on the Closing Date on each Lender’s Pro Rata Share of such Loans unless Agent receives such Lender’s Pro Rata Share of such Loans before 3:00 p.m. (Eastern time) on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 It is understood that for purposes of advances to Borrowers made pursuant to this Section 11.13, Agent will be using the funds of Agent, and pending settlement, (A) all funds transferred from the Revolving Loan Payment Account to the outstanding Revolving Loans shall be applied first to advances made by Agent to Borrowers pursuant to this Section 11.13, and (B) all interest accruing on such advances shall be payable to Agent.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The provisions of this Section 11.13(a) shall be deemed to be binding upon Agent and Lenders notwithstanding the occurrence of any Default or Event of Default, or any insolvency or bankruptcy proceeding pertaining to any Borrower or any other Credit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 Loan Payments</w:t>
      </w:r>
      <w:r>
        <w:rPr>
          <w:rFonts w:ascii="Times New Roman" w:hAnsi="Times New Roman"/>
          <w:color w:val="000000"/>
          <w:sz w:val="22"/>
        </w:rPr>
        <w:t xml:space="preserve">. Payments of principal, interest and fees in respect of the Term Loans will be settled on the date of receipt if received by Term Loan Servicer on the last Business Day of a month or on the Business Day immediately following the date of receipt if received on any day other than the last Business Day of a month;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in the case such Lender is a Defaulted Lender, Term Loan Servicer shall be entitled to set off the funding short-fall against that Defaulted Lender’s respective share of all payments received from any Credit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Return of Payments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If Agent or Term Loan Servicer pays an amount to a Lender under this Agreement in the belief or expectation that a related payment has been or will be received by Agent or Term Loan Servicer, as applicable, from a Credit Party and such related payment is not received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Agent, then Agent or Term Loan Servicer, as applicable, will be entitled to recover such amount from such Lender on demand without setoff, counterclaim or deduction of any kind, together with interest accruing on a daily basis at the Federal Funds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Agent or Term Loan Servicer determines at any time that any amount received by Agent or Term Loan Servicer, as applicable, under this Agreement must be returned to any Credit Party or paid to any other Person pursuant to any insolvency law or otherwise, then, notwithstanding any other term or condition of this Agreement or any other Financing Document, Agent or Term Loan Servicer, as applicable, will not be required to distribute any portion thereof to any Lender. In addition, each Lender will repay to Agent or Term Loan Servicer, as applicable, on demand any portion of such amount that Agent or Term Loan Servicer, as applicable, has distributed to such Lender, together with interest at such rate, if any, as Agent or Term Loan Servicer, as applicable, is required to pay to any Credit Party or such other Person, without setoff, counterclaim or deduction of any kind.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Defaulted Lenders</w:t>
      </w:r>
      <w:r>
        <w:rPr>
          <w:rFonts w:ascii="Times New Roman" w:hAnsi="Times New Roman"/>
          <w:color w:val="000000"/>
          <w:sz w:val="22"/>
        </w:rPr>
        <w:t>. The failure of any Defaulted Lender to make any payment required by it hereunder shall not relieve any other Lender of its obligations to make payment, but neither any other Lender nor Agent nor Term Loan Servicer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Sharing of Payments</w:t>
      </w:r>
      <w:r>
        <w:rPr>
          <w:rFonts w:ascii="Times New Roman" w:hAnsi="Times New Roman"/>
          <w:color w:val="000000"/>
          <w:sz w:val="22"/>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if all or any portion of the excess payment or other recovery is thereafter required to be returned or otherwise recovered from such purchasing Lender, such portion of such purchase shall be rescinded and each Lender which has sold a participation to the purchasing Lender shall repay to the purchasing Lender the purchase price to the ratable extent of such return or recovery, without interest. Each Credit Party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Credit Parties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11.14 </w:t>
      </w:r>
      <w:r>
        <w:rPr>
          <w:rFonts w:ascii="Times New Roman" w:hAnsi="Times New Roman"/>
          <w:color w:val="000000"/>
          <w:sz w:val="22"/>
          <w:u w:val="single"/>
        </w:rPr>
        <w:t>Right to Perform, Preserve and Protect</w:t>
      </w:r>
      <w:r>
        <w:rPr>
          <w:rFonts w:ascii="Times New Roman" w:hAnsi="Times New Roman"/>
          <w:color w:val="000000"/>
          <w:sz w:val="22"/>
        </w:rPr>
        <w:t>. If any Credit Party fails to perform any obligation hereunder or under any other Financing Document, Agent itself may, but shall not be obligated to, cause such obligation to be performed at Credit Parties’ expense. Agent is further authorized by the Credit Parties and the Lenders to make expenditures from time to time which Agent, in its reasonable business judgment, deems necessary or desirable to (a) preserve or protect the business conducted by the Credit Parties, the Collateral, or any portion thereof, and/or (b) enhance the likelihood of, or maximize the amount of, repayment of the Loan and other Obligations. Each Credit Party hereby agrees to reimburse Agent on demand for any and all costs, liabilities and obligations incurred by Agent pursuant to this Section 11.14. Each Lender hereby agrees to indemnify Agent upon demand for any and all costs, liabilities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obligations incurred by Agent pursuant to this Section 11.14, in accordance with the provisions of Section 11.6.</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11.15 </w:t>
      </w:r>
      <w:r>
        <w:rPr>
          <w:rFonts w:ascii="Times New Roman" w:hAnsi="Times New Roman"/>
          <w:color w:val="000000"/>
          <w:sz w:val="22"/>
          <w:u w:val="single"/>
        </w:rPr>
        <w:t>Additional Titled Agents</w:t>
      </w:r>
      <w:r>
        <w:rPr>
          <w:rFonts w:ascii="Times New Roman" w:hAnsi="Times New Roman"/>
          <w:color w:val="000000"/>
          <w:sz w:val="22"/>
        </w:rPr>
        <w:t>. Except for rights and powers, if any, expressly reserved under this Agreement to any bookrunner, arranger or to any titled agent named on the cover page of this Agreement, other than Agent and Term Loan Servicer (collectively, the “</w:t>
      </w:r>
      <w:r>
        <w:rPr>
          <w:rFonts w:ascii="Times New Roman" w:hAnsi="Times New Roman"/>
          <w:b/>
          <w:color w:val="000000"/>
          <w:sz w:val="22"/>
        </w:rPr>
        <w:t>Additional Titled Agents</w:t>
      </w:r>
      <w:r>
        <w:rPr>
          <w:rFonts w:ascii="Times New Roman" w:hAnsi="Times New Roman"/>
          <w:color w:val="000000"/>
          <w:sz w:val="20"/>
        </w:rPr>
        <w:t>”</w:t>
      </w:r>
      <w:r>
        <w:rPr>
          <w:rFonts w:ascii="Times New Roman" w:hAnsi="Times New Roman"/>
          <w:color w:val="000000"/>
          <w:sz w:val="22"/>
        </w:rPr>
        <w:t>), and except for obligations, liabilities, duties and responsibilities, if any, expressly assumed under this Agreement by any 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11.16 </w:t>
      </w:r>
      <w:r>
        <w:rPr>
          <w:rFonts w:ascii="Times New Roman" w:hAnsi="Times New Roman"/>
          <w:color w:val="000000"/>
          <w:sz w:val="22"/>
          <w:u w:val="single"/>
        </w:rPr>
        <w:t>Amendments and Waivers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No provision of this Agreement or any other Financing Document may be amended, waived or otherwise modified unless such amendment, waiver or other modification is in writing and is signed or otherwise approved by Borrowers, the Required Lenders and any other Lender to the extent required under Section 11.16(b); </w:t>
      </w:r>
      <w:r>
        <w:rPr>
          <w:rFonts w:ascii="Times New Roman" w:hAnsi="Times New Roman"/>
          <w:i/>
          <w:color w:val="000000"/>
          <w:sz w:val="22"/>
        </w:rPr>
        <w:t>provided, however</w:t>
      </w:r>
      <w:r>
        <w:rPr>
          <w:rFonts w:ascii="Times New Roman" w:hAnsi="Times New Roman"/>
          <w:color w:val="000000"/>
          <w:sz w:val="22"/>
        </w:rPr>
        <w:t>, the Fee Letter may be amended, or rights or privileges thereunder waived, in a writing executed only by the parties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amendment, waiver or other modification would increase a Lender’s funding obligations in respect of any Loan, by such Lender; and/or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the rights or duties of Agent are affected thereby, by Agent; and/or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if the rights or duties of Term Loan Servicer are affected thereby, by Term Loan Servicer,</w:t>
      </w:r>
    </w:p>
    <w:p>
      <w:pPr>
        <w:pStyle w:val="TextBody"/>
        <w:bidi w:val="0"/>
        <w:spacing w:before="0" w:after="240"/>
        <w:jc w:val="both"/>
        <w:rPr>
          <w:rFonts w:ascii="Times New Roman" w:hAnsi="Times New Roman"/>
          <w:sz w:val="20"/>
        </w:rPr>
      </w:pPr>
      <w:r>
        <w:rPr>
          <w:rFonts w:ascii="Times New Roman" w:hAnsi="Times New Roman"/>
          <w:i/>
          <w:color w:val="000000"/>
          <w:sz w:val="22"/>
        </w:rPr>
        <w:t>provided, however</w:t>
      </w:r>
      <w:r>
        <w:rPr>
          <w:rFonts w:ascii="Times New Roman" w:hAnsi="Times New Roman"/>
          <w:color w:val="000000"/>
          <w:sz w:val="22"/>
        </w:rPr>
        <w:t>, that, in each of (i) and (ii) above, no such amendment, waiver or other modification shall, unless signed or otherwise approved in writing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Section 2.1(b)(ii))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Credit Party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its rights and obligations under any Financing Document or release any Credit Party of its payment obligations under any Financing Document, except, in each case with respect to this clause (F), pursuant to a merger or consolidation permitted pursuant to this Agreement; or (G) amend any of the provisions of Section 10.7 or amend any of the definitions Pro Rata Share, Revolving Loan Commitment, Term Loan Commitment, Term Loan Tranche 1 Commitments, Term Loan Tranche 2 Commitments, Revolving Loan Commitment Amount, Term Loan Commitment Amount, Term Loan Tranche 1 Commitment Amount, Term Loan Tranche 2 Commitment Amount, Revolving Loan Commitment Percentage,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11.17 </w:t>
      </w:r>
      <w:r>
        <w:rPr>
          <w:rFonts w:ascii="Times New Roman" w:hAnsi="Times New Roman"/>
          <w:color w:val="000000"/>
          <w:sz w:val="22"/>
          <w:u w:val="single"/>
        </w:rPr>
        <w:t>Assignments and Participations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Assignments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 xml:space="preserve">that, in connection with simultaneous assignments to two or more related Approved Funds, such Approved Funds shall be treated as one assignee for purposes of determining compliance with the minimum assignment size referred to above. Credit Parties, Agent and Term Loan Servicer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only one processing fee shall be payable in connection with simultaneous assignments to two or more related Approved Funds.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From and after the date on which the conditions described above have been met, (A) such Eligible Assignee shall be deemed automatically to have become a party hereto and, to the extent of the interests assigned to such Eligible Assignee pursuant to such 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13.1).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pStyle w:val="TextBody"/>
        <w:bidi w:val="0"/>
        <w:spacing w:before="0" w:after="240"/>
        <w:jc w:val="both"/>
        <w:rPr>
          <w:rFonts w:ascii="Times New Roman" w:hAnsi="Times New Roman"/>
          <w:sz w:val="20"/>
        </w:rPr>
      </w:pPr>
      <w:r>
        <w:rPr>
          <w:rFonts w:ascii="Times New Roman" w:hAnsi="Times New Roman"/>
          <w:color w:val="000000"/>
          <w:sz w:val="22"/>
        </w:rPr>
        <w:t>(iii) 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Times New Roman" w:hAnsi="Times New Roman"/>
          <w:b/>
          <w:color w:val="000000"/>
          <w:sz w:val="22"/>
        </w:rPr>
        <w:t>Register</w:t>
      </w:r>
      <w:r>
        <w:rPr>
          <w:rFonts w:ascii="Times New Roman" w:hAnsi="Times New Roman"/>
          <w:color w:val="000000"/>
          <w:sz w:val="20"/>
        </w:rPr>
        <w:t>”</w:t>
      </w:r>
      <w:r>
        <w:rPr>
          <w:rFonts w:ascii="Times New Roman" w:hAnsi="Times New Roman"/>
          <w:color w:val="000000"/>
          <w:sz w:val="22"/>
        </w:rPr>
        <w:t>). The entries in such Register shall be conclusive, absent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manifest error, and Borrower, Agent, Term Loan Servicer and Lenders may treat each Person whose name is recorded therein pursuant to the terms hereof as a Lender hereunder for all purposes of this Agreement, notwithstanding notice to the contrary. Such Register shall be available for inspection by Borrower, Term Loan Servicer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“Participant Register”). The entries in the Participant Registers shall be conclusive, absent manifest error. Each Participant Register shall be available for inspection by Borrower, Agent and Term Loan Servicer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and Term Loan Servicer (in its capacity as Term Loan Servicer) shall have no responsibility for maintaining a Participant Register.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TextBody"/>
        <w:bidi w:val="0"/>
        <w:spacing w:before="0" w:after="240"/>
        <w:jc w:val="both"/>
        <w:rPr>
          <w:rFonts w:ascii="Times New Roman" w:hAnsi="Times New Roman"/>
          <w:sz w:val="20"/>
        </w:rPr>
      </w:pPr>
      <w:r>
        <w:rPr>
          <w:rFonts w:ascii="Times New Roman" w:hAnsi="Times New Roman"/>
          <w:color w:val="000000"/>
          <w:sz w:val="22"/>
        </w:rPr>
        <w:t>(v) 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the Lenders by Agent (the “</w:t>
      </w:r>
      <w:r>
        <w:rPr>
          <w:rFonts w:ascii="Times New Roman" w:hAnsi="Times New Roman"/>
          <w:b/>
          <w:color w:val="000000"/>
          <w:sz w:val="22"/>
        </w:rPr>
        <w:t>Settlement Service</w:t>
      </w:r>
      <w:r>
        <w:rPr>
          <w:rFonts w:ascii="Times New Roman" w:hAnsi="Times New Roman"/>
          <w:color w:val="000000"/>
          <w:sz w:val="20"/>
        </w:rPr>
        <w:t>”</w:t>
      </w:r>
      <w:r>
        <w:rPr>
          <w:rFonts w:ascii="Times New Roman" w:hAnsi="Times New Roman"/>
          <w:color w:val="000000"/>
          <w:sz w:val="22"/>
        </w:rPr>
        <w:t>).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 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Participations</w:t>
      </w:r>
      <w:r>
        <w:rPr>
          <w:rFonts w:ascii="Times New Roman" w:hAnsi="Times New Roman"/>
          <w:color w:val="000000"/>
          <w:sz w:val="22"/>
        </w:rPr>
        <w:t>. Any Lender may at any time, without the consent of, or notice to, any Credit Party, Agent or Term Loan Servicer, sell to one or more Persons (other than any Credit Party or any Credit Party’s Affiliates) participating interests in its Loan, commitments or other interests hereunder (any such Person, a “</w:t>
      </w:r>
      <w:r>
        <w:rPr>
          <w:rFonts w:ascii="Times New Roman" w:hAnsi="Times New Roman"/>
          <w:b/>
          <w:color w:val="000000"/>
          <w:sz w:val="22"/>
        </w:rPr>
        <w:t>Participant</w:t>
      </w:r>
      <w:r>
        <w:rPr>
          <w:rFonts w:ascii="Times New Roman" w:hAnsi="Times New Roman"/>
          <w:color w:val="000000"/>
          <w:sz w:val="20"/>
        </w:rPr>
        <w:t>”</w:t>
      </w:r>
      <w:r>
        <w:rPr>
          <w:rFonts w:ascii="Times New Roman" w:hAnsi="Times New Roman"/>
          <w:color w:val="000000"/>
          <w:sz w:val="22"/>
        </w:rPr>
        <w:t>). In the event of a sale by a Lender of a participating interest to a Participant, (i) such Lender’s obligations hereunder shall remain unchanged for all purposes, (ii) Credit Parties, Agent and Term Loan Servicer shall continue to deal solely and directly with such Lender in connection with such Lender’s rights and obligations hereunder, and (iii) all amounts payable by each Credit Party shall be determined as if such Lender had not sold such participation and shall be paid directly to such Lender. Each Credit Party agrees that if amounts outstanding under this Agreement are due and payable (as a result of acceleration or otherwise), each Participant shall be deemed to have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right of set-off in respect of its participating interest in amounts owing under this Agreement to the same extent as if the amount of its participating interest were owing directly to it as a Lender under this Agreement; </w:t>
      </w:r>
      <w:r>
        <w:rPr>
          <w:rFonts w:ascii="Times New Roman" w:hAnsi="Times New Roman"/>
          <w:i/>
          <w:color w:val="000000"/>
          <w:sz w:val="22"/>
        </w:rPr>
        <w:t>provided, however</w:t>
      </w:r>
      <w:r>
        <w:rPr>
          <w:rFonts w:ascii="Times New Roman" w:hAnsi="Times New Roman"/>
          <w:color w:val="000000"/>
          <w:sz w:val="22"/>
        </w:rPr>
        <w:t>, that such right of set-off shall be subject to the obligation of each Participant to share with Lenders, and Lenders agree to share with each Participant, as provided in Section 11.5.</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Replacement of Lenders</w:t>
      </w:r>
      <w:r>
        <w:rPr>
          <w:rFonts w:ascii="Times New Roman" w:hAnsi="Times New Roman"/>
          <w:color w:val="000000"/>
          <w:sz w:val="22"/>
        </w:rPr>
        <w:t>. Within thirty (30) days after: (i) receipt by Agent of notice and demand from any Lender for payment of additional costs as provided in Section 2.8(h), which demand shall not have been revoked, (ii) any Credit Party is required to pay any additional amount to any Lender or any Governmental Authority for the account of any Lender pursuant to Section 2.8(a) through (h),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Times New Roman" w:hAnsi="Times New Roman"/>
          <w:b/>
          <w:color w:val="000000"/>
          <w:sz w:val="22"/>
        </w:rPr>
        <w:t>Affected Lender</w:t>
      </w:r>
      <w:r>
        <w:rPr>
          <w:rFonts w:ascii="Times New Roman" w:hAnsi="Times New Roman"/>
          <w:color w:val="000000"/>
          <w:sz w:val="20"/>
        </w:rPr>
        <w:t>”</w:t>
      </w:r>
      <w:r>
        <w:rPr>
          <w:rFonts w:ascii="Times New Roman" w:hAnsi="Times New Roman"/>
          <w:color w:val="000000"/>
          <w:sz w:val="22"/>
        </w:rPr>
        <w:t>) each of Borrower Representative and Agent may, at its option, notify such Affected Lender and, in the case of Borrowers’ election, Agent, of such Person’s intention to obtain, at Borrowers’ expense, a replacement Lender (“</w:t>
      </w:r>
      <w:r>
        <w:rPr>
          <w:rFonts w:ascii="Times New Roman" w:hAnsi="Times New Roman"/>
          <w:b/>
          <w:color w:val="000000"/>
          <w:sz w:val="22"/>
        </w:rPr>
        <w:t>Replacement Lender</w:t>
      </w:r>
      <w:r>
        <w:rPr>
          <w:rFonts w:ascii="Times New Roman" w:hAnsi="Times New Roman"/>
          <w:color w:val="000000"/>
          <w:sz w:val="20"/>
        </w:rPr>
        <w:t>”</w:t>
      </w:r>
      <w:r>
        <w:rPr>
          <w:rFonts w:ascii="Times New Roman" w:hAnsi="Times New Roman"/>
          <w:color w:val="000000"/>
          <w:sz w:val="22"/>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(A) Borrowers shall have reimbursed such Lender for its increased costs and additional payments for which it is entitled to reimbursement under Section 2.8(a) through (h), as applicable, of this Agreement through the date of such sale and assignment, and (B) 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Credit Parties, shall be effective for purposes of this Section 11.17(c) and Section 11.17(a). Upon any such assignment and payment, such replaced Lender shall no longer constitute a “</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for purposes hereof, other than with respect to such rights and obligations that survive termination as set forth in Section 13.1.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Credit Party Assignments</w:t>
      </w:r>
      <w:r>
        <w:rPr>
          <w:rFonts w:ascii="Times New Roman" w:hAnsi="Times New Roman"/>
          <w:color w:val="000000"/>
          <w:sz w:val="22"/>
        </w:rPr>
        <w:t>. No Credit Party may assign, delegate or otherwise transfer any of its rights or other obligations hereunder or under any other Financing Document without the prior written consent of Agent and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11.18 </w:t>
      </w:r>
      <w:r>
        <w:rPr>
          <w:rFonts w:ascii="Times New Roman" w:hAnsi="Times New Roman"/>
          <w:color w:val="000000"/>
          <w:sz w:val="22"/>
          <w:u w:val="single"/>
        </w:rPr>
        <w:t>Funding and Settlement Provisions Applicable When Non-Funding Lenders Exist</w:t>
      </w:r>
      <w:r>
        <w:rPr>
          <w:rFonts w:ascii="Times New Roman" w:hAnsi="Times New Roman"/>
          <w:color w:val="000000"/>
          <w:sz w:val="22"/>
        </w:rPr>
        <w:t>. So long as Agent has not waived the conditions to the funding of Loans set forth in Section 7.2 or Section 2.1, any Lender may deliver a notice to Agent stating that such Lender shall cease making Revolving Loans or not fund any tranche of the Term Loan, as applicable, due to the non-satisfaction of one or more conditions to funding Loans set forth in Section 7.2 or Section 2.1, and specifying any such non-satisfied conditions. Any Lender delivering any such notice shall become a non-funding Lender (a “</w:t>
      </w:r>
      <w:r>
        <w:rPr>
          <w:rFonts w:ascii="Times New Roman" w:hAnsi="Times New Roman"/>
          <w:b/>
          <w:color w:val="000000"/>
          <w:sz w:val="22"/>
        </w:rPr>
        <w:t>Non-Funding Lender</w:t>
      </w:r>
      <w:r>
        <w:rPr>
          <w:rFonts w:ascii="Times New Roman" w:hAnsi="Times New Roman"/>
          <w:color w:val="000000"/>
          <w:sz w:val="20"/>
        </w:rPr>
        <w:t>”</w:t>
      </w:r>
      <w:r>
        <w:rPr>
          <w:rFonts w:ascii="Times New Roman" w:hAnsi="Times New Roman"/>
          <w:color w:val="000000"/>
          <w:sz w:val="22"/>
        </w:rPr>
        <w:t>)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condition(s) specified in such notice, or Required Lenders waive the conditions to the funding of such Loans giving rise to such notice by Non-Funding Lender. Each Non-Funding Lender shall remain a Lender for purposes of this Agreement to the extent that such Non-Funding Lender has Revolving Loan Outstanding in excess of Zero Dollars ($0) or Term Loans outstanding in excess of Zero Dollars ($0); </w:t>
      </w:r>
      <w:r>
        <w:rPr>
          <w:rFonts w:ascii="Times New Roman" w:hAnsi="Times New Roman"/>
          <w:i/>
          <w:color w:val="000000"/>
          <w:sz w:val="22"/>
        </w:rPr>
        <w:t>provided, however,</w:t>
      </w:r>
      <w:r>
        <w:rPr>
          <w:rFonts w:ascii="Times New Roman" w:hAnsi="Times New Roman"/>
          <w:color w:val="000000"/>
          <w:sz w:val="20"/>
        </w:rPr>
        <w:t xml:space="preserve"> </w:t>
      </w:r>
      <w:r>
        <w:rPr>
          <w:rFonts w:ascii="Times New Roman" w:hAnsi="Times New Roman"/>
          <w:color w:val="000000"/>
          <w:sz w:val="22"/>
        </w:rPr>
        <w:t>that during any period of time that any Non-Funding Lender exists, and notwithstanding any provision to the contrary set forth herein, the following provisions shall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For purposes of determining the Pro Rata Share of each Lender under clauses (a) and (b) of the definition of such term, each Non-Funding Lender shall be deemed to have a Revolving Loan Commitment Amount and Term Loan Commitment Amount as in effect immediately before such Lender became a Non-Funding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Except as provided in clause (a) above, the Revolving Loan Commitment Amount and Term Loan Commitment Amount of each Non-Funding Lender shall be deemed to be Zero Dollars ($0).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Revolving Loan Commitment at any date of determination during such period shall be deemed to be equal to the sum of (i) the aggregate Revolving Loan Commitment Amounts of all Lenders, other than the Non-Funding Lenders as of such date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 the aggregate Revolving Loan Outstandings of all Non-Funding Lenders as of such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Term Loan Commitment at any date of determination during such period shall be deemed to be equal to the sum of (i) the aggregate Term Loan Commitment Amounts of all Lenders, other than the Non-Funding Lenders as of such date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(ii) the aggregate principal amount outstanding under the Term Loans of all Non-Funding Lenders as of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Agent shall have no right to make or disburse Revolving Loans for the account of any Non-Funding Lender pursuant to Section 2.1(b)(i) to pay interest, fees, expenses and other charges of any Credit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To the extent that Agent applies proceeds of Collateral or other payments received by Agent to repayment of Revolving Loans or Term Loans pursuant to Section 10.7, such payments and proceeds shall be applied first in respect of Revolving Loans or Term Loans made at the time any Non-Funding Lenders exist, and second in respect of all other outstanding Revolving Loans or Term Loans, as applicable.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12 – Guaranty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 </w:t>
      </w:r>
      <w:r>
        <w:rPr>
          <w:rFonts w:ascii="Times New Roman" w:hAnsi="Times New Roman"/>
          <w:color w:val="000000"/>
          <w:sz w:val="22"/>
          <w:u w:val="single"/>
        </w:rPr>
        <w:t>Guaranty</w:t>
      </w:r>
      <w:r>
        <w:rPr>
          <w:rFonts w:ascii="Times New Roman" w:hAnsi="Times New Roman"/>
          <w:color w:val="000000"/>
          <w:sz w:val="22"/>
        </w:rPr>
        <w:t>. Each Guarantor hereby unconditionally guarantees, as a primary obligor and not merely as a surety, jointly and severally with each other Guarantor when and as due, whether at maturity, by acceleration, by notice of prepayment or otherwise, the due and punctual performance of all of the Obligations, including payment in full of the principal, accrued but unpaid interest and all other amounts due and owing to the Agent, Term Loan Servicer and Lenders under the Loans and (b) indemnifies each Lender immediately on demand against any cost, loss or liability suffered by such Lender if any obligations guaranteed by it are or become unenforceable, invalid, voided, avoid or illegal, the amount of which such cost, loss or liability shall be equal to the amount which such Lender would otherwise be entitled to recover. Each payment made by any Guarantor pursuant to this Article 12 shall be made in lawful money of the United States in immediately available funds. Each Guarantor hereby acknowledges and agrees that it is an Affiliate of a Borrower or other interested party and will derive significant economic benefit from the Loans.</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12.2 </w:t>
      </w:r>
      <w:r>
        <w:rPr>
          <w:rFonts w:ascii="Times New Roman" w:hAnsi="Times New Roman"/>
          <w:color w:val="000000"/>
          <w:sz w:val="22"/>
          <w:u w:val="single"/>
        </w:rPr>
        <w:t>Payment of Amounts Owed</w:t>
      </w:r>
      <w:r>
        <w:rPr>
          <w:rFonts w:ascii="Times New Roman" w:hAnsi="Times New Roman"/>
          <w:color w:val="000000"/>
          <w:sz w:val="22"/>
        </w:rPr>
        <w:t>. The Guarantee hereunder is an absolute, unconditional and continuing guarantee of the full and punctual payment and performance of all of the Obligations and not of their collectability only and is in no way conditioned upon any requirement that the Agent, Term Loan Servicer or any Lender first attempt to collect any of the Obligations from any Borrower or resort to any collateral security or other means of obtaining payment. In the event of any default by Borrowers in the payment of the Obligations, after the expiration of any applicable cure or grace period, each Guarantor agrees, on demand by Agent (which demand may be made concurrently with notice to Borrowers that the Borrowers are in default of their obligations), to pay the Obligations, regardless of any defense, right of set-off or recoupment or claims which any Borrower or Guarantor may have against Agent, Term Loan Servicer or Lenders or the holder of the Notes. All of the remedies set forth in this Agreement, in any other Financing Document or at law or equity shall be equally available to Agent, Term Loan Servicer and Lenders, and the choice by Agent, Term Loan Servicer or Lenders of one such alternative over another shall not be subject to question or challenge by any Guarantor or any other person, nor shall any such choice be asserted as a defense, setoff, recoupment or failure to mitigate damages in any action, proceeding, or counteraction by Agent, Term Loan Servicer or Lenders to recover or seeking any other remedy under this Guarantee, nor shall such choice preclude Agent, Term Loan Servicer or Lenders from subsequently electing to exercise a different remedy.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12.3 </w:t>
      </w:r>
      <w:r>
        <w:rPr>
          <w:rFonts w:ascii="Times New Roman" w:hAnsi="Times New Roman"/>
          <w:color w:val="000000"/>
          <w:sz w:val="22"/>
          <w:u w:val="single"/>
        </w:rPr>
        <w:t>Certain Waivers by Guarantor</w:t>
      </w:r>
      <w:r>
        <w:rPr>
          <w:rFonts w:ascii="Times New Roman" w:hAnsi="Times New Roman"/>
          <w:color w:val="000000"/>
          <w:sz w:val="22"/>
        </w:rPr>
        <w:t>. To the fullest extent permitted by law, each Guarantor does hereby: (a)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waive notice of acceptance of this Agreement by Agent, Term Loan Servicer and Lenders and any and all notices and demands of every kind which may be required to be given by any statute, rule or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agree to refrain from asserting, until after repayment in full of the Obligations, any defense, right of set-off, right of recoupment or other claim which such Guarantor may have against any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waive any defense, right of set-off, right of recoupment or other claim which such Guarantor may have against Agent, Term Loan Servicer, Lenders or the holder of the Notes;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(d) waive any and all rights such Guarantor may have under any anti-deficiency statute or other similar protections;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(e) waive all rights at law or in equity to seek subrogation, contribution, indemnification or any other form of reimbursement or repayment from any Borrower, any other Guarantor or any other person or entity now or hereafter primarily or secondarily liable for any of the Obligations until the Obligations have been paid in full;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 waive presentment for payment, demand for payment, notice of nonpayment or dishonor, protest and notice of protest, diligence in collection and any and all formalities which otherwise might be legally required to charge such Guarantor with liability;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(g) waive the benefit of all appraisement, valuation, marshalling, forbearance, stay, extension, redemption, homestead, exemption and moratorium laws now or hereafter in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(h) waive any defense based on the incapacity, lack of authority, death or disability of any other person or entity or the failure of Agent, Term Loan Servicer or Lenders to file or enforce a claim against the estate of any other person or entity in any administrative, bankruptcy or other proceeding;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 waive any defense based on an election of remedies by Agent, Term Loan Servicer or Lenders, whether or not such election may affect in any way the recourse, subrogation or other rights of such Guarantor against any Borrower, any other Guarantor or any other person in connection with the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(j) waive any defense based on the failure of the Agent or Lenders to (i) provide notice to such Guarantor of a sale or other disposition of any of the security for any of the Obligations, or (ii) conduct such a sale or disposition in a commercially reasonable manner;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waive any defense based on the negligence of Agent, Term Loan Servicer or Lenders in administering this Agreement or the other Financing Documents (including, but not limited to, the failure to perfect any security interest in any Collateral), or taking or failing to take any action in connection therewith, </w:t>
      </w:r>
      <w:r>
        <w:rPr>
          <w:rFonts w:ascii="Times New Roman" w:hAnsi="Times New Roman"/>
          <w:i/>
          <w:color w:val="000000"/>
          <w:sz w:val="22"/>
        </w:rPr>
        <w:t>provided, however</w:t>
      </w:r>
      <w:r>
        <w:rPr>
          <w:rFonts w:ascii="Times New Roman" w:hAnsi="Times New Roman"/>
          <w:color w:val="000000"/>
          <w:sz w:val="22"/>
        </w:rPr>
        <w:t>, that such waiver shall not apply to the gross negligence or willful misconduct of the Agent, Term Loan Servicer or Lenders, as determined by the final, non-appealable decision of a court having proper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(l) waive the defense of expiration of any statute of limitations affecting the liability of such Guarantor hereunder or the enforcement 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(m) waive any right to file any Claim (as defined below) as part of, and any right to request consolidation of any action or proceeding relating to a Claim with, any action or proceeding filed or maintained by Agent, Term Loan Servicer or Lenders to collect any Obligations of such Guarantor to Agent, Term Loan Servicer or Lenders hereunder or to exercise any rights or remedies available to Agent, Term Loan Servicer or Lenders under the Financing Documents, at law, in equity or otherwise;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 agree that neither Agent, Term Loan Servicer nor Lenders shall have any obligation to obtain, perfect or retain a security interest in any property to secure any of the Obligations (including any mortgage or security interest contemplated by the Financing Documents), or to protect or insure any such property;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(o) waive any obligation Agent, Term Loan Servicer or Lenders may have to disclose to such Guarantor any facts the Agent, Term Loan Servicer or Lenders now or hereafter may know or have reasonably available to it regarding the Borrowers or Borrowers’ financial condition, whether or not the Agent, Term Loan Servicer or Lenders have a reasonable opportunity to communicate such facts or have reason to believe that any such facts are unknown to such Guarantor or materially increase the risk to such Guarantor beyond the risk such Guarantor intends to assume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(p) agree that neither Agent, Term Loan Servicer nor Lenders shall be liable in any way for any decrease in the value or marketability of any property securing any of the Obligations which may result from any action or omission of the Agent, Term Loan Servicer or Lenders in enforcing any part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(q) waive any defense based on any invalidity, irregularity or unenforceability, in whole or in part, of any one or more of the Financing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(r) waive any defense based on any change in the composition of Borrowers,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(s) waive any defense based on any representations and warranties made by such Guarantor herein or by any Borrower herein or in any of the Financing Documents.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section, the term “</w:t>
      </w:r>
      <w:r>
        <w:rPr>
          <w:rFonts w:ascii="Times New Roman" w:hAnsi="Times New Roman"/>
          <w:b/>
          <w:color w:val="000000"/>
          <w:sz w:val="22"/>
        </w:rPr>
        <w:t>Claim</w:t>
      </w:r>
      <w:r>
        <w:rPr>
          <w:rFonts w:ascii="Times New Roman" w:hAnsi="Times New Roman"/>
          <w:color w:val="000000"/>
          <w:sz w:val="20"/>
        </w:rPr>
        <w:t xml:space="preserve">” </w:t>
      </w:r>
      <w:r>
        <w:rPr>
          <w:rFonts w:ascii="Times New Roman" w:hAnsi="Times New Roman"/>
          <w:color w:val="000000"/>
          <w:sz w:val="22"/>
        </w:rPr>
        <w:t>shall mean any claim, action or cause of action, defense, counterclaim, set-off or right of recoupment of any kind or nature against the Agent, Term Loan Servicer or Lenders, its officers, directors, employees, agents, members, actuaries, accountants, trustees or attorneys, or any affiliate of the Agent, Term Loan Servicer or Lenders in connection with the making, closing, administration, collection or enforcement by the Agent, Term Loan Servicer or Lenders of the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12.4 </w:t>
      </w:r>
      <w:r>
        <w:rPr>
          <w:rFonts w:ascii="Times New Roman" w:hAnsi="Times New Roman"/>
          <w:color w:val="000000"/>
          <w:sz w:val="22"/>
          <w:u w:val="single"/>
        </w:rPr>
        <w:t>Guarantor’s Obligations Not Affected by Modifications of Financing Documents</w:t>
      </w:r>
      <w:r>
        <w:rPr>
          <w:rFonts w:ascii="Times New Roman" w:hAnsi="Times New Roman"/>
          <w:color w:val="000000"/>
          <w:sz w:val="22"/>
        </w:rPr>
        <w:t>. Each Guarantor further agrees that such Guarantor’s liability as guarantor shall not be impaired or affected by any renewals or extensions which may be made from time to time, with or without the knowledge or consent of Guarantor for the time for payment of interest or principal or by any forbearance or delay in collecting interest or principal hereunder, or by any waiver by Agent or Lenders under this Agreement or any other Financing Documents, or by Agent’s, Term Loan Servicer’s or Lenders’ failure or election not to pursue any other remedies it may have against any Borrower or Guarantor, or by any change or modification in the Notes, this Agreement or any other Financing Document, or by the acceptance by Agent or Lenders of any additional security or any increase, substitution or change therein, or by the release by Agent or Lenders of any security or any withdrawal thereof or decrease therein, or by the application of payments received from any source to the payment of any obligation other than the Obligations even though Agent, Term Loan Servicer or Lenders might lawfully have elected to apply such payments to any part or all of the Obligations, it being the intent hereof that, subject to Agent’s, Term Loan Servicer’s or Lenders’ compliance with the terms of this Article 12 and the Financing Documents, each Guarantor shall remain liable for the payment of the Obligations, until the Obligations have been paid in full, notwithstanding any act or thing which might otherwise operate as a legal or equitable discharge of a surety. Each Guarantor further understands and agrees that Agent or Lenders may at any time enter into agreements with Borrowers to amend, modify and/or increase the principal amount of, interest rate applicable to or other economic and non-economic terms of this Agreement or the other Financing Documents, and may waive or release any provision or provisions of this Agreement or the other Financing Documents, and, with reference to such instruments, may make and enter into any such agreement or agreements as Agent, Lenders and Borrowers may deem proper and desirable, without in any manner impairing this Guarantee or any of Agent’s, Term Loan Servicer’s or Lenders’ rights hereunder or each Guarantor’s obligations hereunder, and each Guarantor’s obligations hereunder shall apply to the this Agreement and other Financing Documents as so amended, modified, extended, renewed or increased.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12.5 </w:t>
      </w:r>
      <w:r>
        <w:rPr>
          <w:rFonts w:ascii="Times New Roman" w:hAnsi="Times New Roman"/>
          <w:color w:val="000000"/>
          <w:sz w:val="22"/>
          <w:u w:val="single"/>
        </w:rPr>
        <w:t>Reinstatement; Deficiency</w:t>
      </w:r>
      <w:r>
        <w:rPr>
          <w:rFonts w:ascii="Times New Roman" w:hAnsi="Times New Roman"/>
          <w:color w:val="000000"/>
          <w:sz w:val="22"/>
        </w:rPr>
        <w:t>. This guaranty shall continue to be effective or be reinstated (as the case may be) if at any time payment of all or any part of any sum payable pursuant to this Agreement or any other Financing Document is rescinded or otherwise required to be returned by Agent, Term Loan Servicer or Lenders upon the insolvency, bankruptcy, dissolution, liquidation, or reorganization of any Borrower, or upon or as a result of the appointment of a receiver, intervenor, custodian or conservator of or trustee or similar officer for, any Borrower or any substantial part of its property, or otherwise, all as though such payment to Agent, Term Loan Servicer or Lenders had not been made, regardless of whether Agent, Term Loan Servicer or Lenders contested the order requiring the return of such payment. In the event of the foreclosure of the Financing Documents and of a deficiency, each Guarantor hereby promises and agrees forthwith to pay the amount of such deficiency notwithstanding the fact that recovery of said deficiency against Borrowers would not be allowed by applicable law; however, the foregoing shall not be deemed to require that Agent, Term Loan Servicer or Lenders institute foreclosure proceedings or otherwise resort to or exhaust any other collateral or security prior to or concurrently with enforcing this guaranty.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12.6 </w:t>
      </w:r>
      <w:r>
        <w:rPr>
          <w:rFonts w:ascii="Times New Roman" w:hAnsi="Times New Roman"/>
          <w:color w:val="000000"/>
          <w:sz w:val="22"/>
          <w:u w:val="single"/>
        </w:rPr>
        <w:t>Subordination of Borrowers’ Obligations to Guarantors; Claims in Bankruptcy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Any indebtedness of any Borrower to any Guarantor (including, but not limited to, any right of such Guarantor to a return of any capital contributed to a Borrower), whether now or hereafter existing, is hereby subordinated to the payment of the Obligations. Each Guarantor agrees that, until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Obligations have been paid in full, such Guarantor will not seek, accept, or retain for its own account, any payment from any Borrower on account of such subordinated debt. Any payments to any Guarantor on account of such subordinated debt shall be collected and received by such Guarantor in trust for Agent and Lenders and shall be immediately paid over to Agent, for the benefit of Agent and Lenders, on account of the Obligations without impairing or releasing the obligations of such Guarantor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Guarantor shall promptly file in any bankruptcy or other proceeding in which the filing of claims is required by law, all claims and proofs of claims that such Guarantor may have against any Borrower or any other Guarantor and does hereby assign to Agent or its nominee (and will, upon request of Agent, reconfirm in writing the assignment to Agent or its nominee of) all rights of such Guarantor under such claims. If such Guarantor does not file any such claim, Agent, as attorney</w:t>
        <w:noBreakHyphen/>
        <w:t>in</w:t>
        <w:noBreakHyphen/>
        <w:t>fact for such Guarantor, is hereby irrevocably authorized to do so in the name of such Guarantor, or in Agent’s discretion, to assign the claim to a designee and cause proof of claim to be filed in the name of Agent’s designee. In all such cases, whether in administration, bankruptcy or otherwise, the person or persons authorized to pay such claim shall pay to Agent, for the benefit of Agent and Lenders, the full amount thereof and, to the full extent necessary for that purpose, each Guarantor hereby assigns to the Lenders all of such Guarantor’s rights to any such payments or distributions to which such Guarantor would otherwise be entitled, such assignment being a present and irrevocable assignment of all such rights.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12.7 </w:t>
      </w:r>
      <w:r>
        <w:rPr>
          <w:rFonts w:ascii="Times New Roman" w:hAnsi="Times New Roman"/>
          <w:color w:val="000000"/>
          <w:sz w:val="22"/>
          <w:u w:val="single"/>
        </w:rPr>
        <w:t>Maximum Liability</w:t>
      </w:r>
      <w:r>
        <w:rPr>
          <w:rFonts w:ascii="Times New Roman" w:hAnsi="Times New Roman"/>
          <w:color w:val="000000"/>
          <w:sz w:val="22"/>
        </w:rPr>
        <w:t>. The provisions of this Article 12 are severable, and in any action or proceeding involving any state corporate law, or any state, federal or foreign bankruptcy, insolvency, reorganization or other law affecting the rights of creditors generally, if the obligations of any Guarantor under this Article 12 would otherwise be held or determined to be avoidable, invalid or unenforceable on account of the amount of such Guarantor’s liability under this Article 12, then, notwithstanding any other provision of this Article 12 to the contrary, the amount of such liability shall, without any further action by the Guarantors or the Agent, Term Loan Servicer or any Lender, be automatically limited and reduced to the highest amount that is valid and enforceable as determined in such action or proceeding (such highest amount determined hereunder being the relevant Guarantor’s “</w:t>
      </w:r>
      <w:r>
        <w:rPr>
          <w:rFonts w:ascii="Times New Roman" w:hAnsi="Times New Roman"/>
          <w:b/>
          <w:color w:val="000000"/>
          <w:sz w:val="22"/>
        </w:rPr>
        <w:t>Maximum Liability</w:t>
      </w:r>
      <w:r>
        <w:rPr>
          <w:rFonts w:ascii="Times New Roman" w:hAnsi="Times New Roman"/>
          <w:color w:val="000000"/>
          <w:sz w:val="20"/>
        </w:rPr>
        <w:t>”</w:t>
      </w:r>
      <w:r>
        <w:rPr>
          <w:rFonts w:ascii="Times New Roman" w:hAnsi="Times New Roman"/>
          <w:color w:val="000000"/>
          <w:sz w:val="22"/>
        </w:rPr>
        <w:t>). This Section 12.7 with respect to the Maximum Liability of each Guarantor is intended solely to preserve the rights of the Agent, Term Loan Servicer and the Lenders to the maximum extent not subject to avoidance under applicable law, and no Guarantor nor any other Person shall have any right or claim under this Section 12.7 with respect to such Maximum Liability, except to the extent necessary so that the obligations of any Guarantor hereunder shall not be rendered voidable under applicable law. Each Guarantor agrees that the Obligations may at any time and from time to time exceed the Maximum Liability of each Guarantor without impairing this guaranty or affecting the rights and remedies of the Agent, Term Loan Servicer or the Lenders hereunder, provided that, nothing in this sentence shall be construed to increase any Guarantor’s obligations hereunder beyond its Maximum Liability.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12.8 </w:t>
      </w:r>
      <w:r>
        <w:rPr>
          <w:rFonts w:ascii="Times New Roman" w:hAnsi="Times New Roman"/>
          <w:color w:val="000000"/>
          <w:sz w:val="22"/>
          <w:u w:val="single"/>
        </w:rPr>
        <w:t>Guarantor’s Investigation</w:t>
      </w:r>
      <w:r>
        <w:rPr>
          <w:rFonts w:ascii="Times New Roman" w:hAnsi="Times New Roman"/>
          <w:color w:val="000000"/>
          <w:sz w:val="22"/>
        </w:rPr>
        <w:t>. Each Guarantor acknowledges receipt of a copy of each of this Agreement and the other Financing Documents. Each Guarantor has made an independent investigation of the other Credit Parties and of the financial condition of the other Credit Parties. Neither Agent, Term Loan Servicer nor any Lender has made and neither Agent, Term Loan Servicer nor any Lender does make any representations or warranties as to the income, expense, operation, finances or any other matter or thing affecting any Credit Party nor has Agent, Term Loan Servicer or any Lender made any representations or warranties as to the amount or nature of the Obligations of any Credit Party to which this Article 12 applies as specifically herein set forth, nor has Agent, Term Loan Servicer or any Lender or any officer, agent or employee of Agent, Term Loan Servicer or any Lender or any representative thereof, made any other oral representations, agreements or commitments of any kind or nature, and each Guarantor hereby expressly acknowledges that no such representations or warranties have been made and such Guarantor expressly disclaims reliance on any such representations or warranties.</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12.9 </w:t>
      </w:r>
      <w:r>
        <w:rPr>
          <w:rFonts w:ascii="Times New Roman" w:hAnsi="Times New Roman"/>
          <w:color w:val="000000"/>
          <w:sz w:val="22"/>
          <w:u w:val="single"/>
        </w:rPr>
        <w:t>Termination</w:t>
      </w:r>
      <w:r>
        <w:rPr>
          <w:rFonts w:ascii="Times New Roman" w:hAnsi="Times New Roman"/>
          <w:color w:val="000000"/>
          <w:sz w:val="22"/>
        </w:rPr>
        <w:t>. The provisions of this Article 12 shall remain in effect until this Agreement has terminated pursuant to its terms and all Obligations (other than inchoate indemnity obligations for which no claim has been made and any other obligations which, by their terms, are to survive the termination of this Agreement) have been paid and satisfied in full.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12.10 </w:t>
      </w:r>
      <w:r>
        <w:rPr>
          <w:rFonts w:ascii="Times New Roman" w:hAnsi="Times New Roman"/>
          <w:color w:val="000000"/>
          <w:sz w:val="22"/>
          <w:u w:val="single"/>
        </w:rPr>
        <w:t>Representative</w:t>
      </w:r>
      <w:r>
        <w:rPr>
          <w:rFonts w:ascii="Times New Roman" w:hAnsi="Times New Roman"/>
          <w:color w:val="000000"/>
          <w:sz w:val="22"/>
        </w:rPr>
        <w:t>. Each Guarantor hereby designates Borrower Representative and its representatives and agents on its behalf for the purpose of giving and receiving all notices and other consents hereunder or under any other Financing Document and taking all other actions on behalf of such Guarantor under the Financing Documents. Borrower Representative hereby accepts such appointment.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12.11 </w:t>
      </w:r>
      <w:r>
        <w:rPr>
          <w:rFonts w:ascii="Times New Roman" w:hAnsi="Times New Roman"/>
          <w:color w:val="000000"/>
          <w:sz w:val="22"/>
          <w:u w:val="single"/>
        </w:rPr>
        <w:t>Guarantor Acknowledgement</w:t>
      </w:r>
      <w:r>
        <w:rPr>
          <w:rFonts w:ascii="Times New Roman" w:hAnsi="Times New Roman"/>
          <w:color w:val="000000"/>
          <w:sz w:val="22"/>
        </w:rPr>
        <w:t>. Without limiting the generality of the foregoing, each Guarantor, by its acceptance of this Guaranty, hereby confirms that it is a Subsidiary of a Borrower and each Guarantor further confirms that it will materially benefit from the Loans made hereunder and the parties hereto intend that this Guaranty not constitute a fraudulent transfer or conveyance for purposes of the Bankruptcy Law (as defined below), the Uniform Fraudulent Conveyance Act, the Uniform Fraudulent Transfer Act or any similar federal, state or foreign law to the extent applicable to this Guaranty. In furtherance of that intention, the liabilities of each Guarantor under this Guaranty (the “</w:t>
      </w:r>
      <w:r>
        <w:rPr>
          <w:rFonts w:ascii="Times New Roman" w:hAnsi="Times New Roman"/>
          <w:b/>
          <w:color w:val="000000"/>
          <w:sz w:val="22"/>
        </w:rPr>
        <w:t>Liabilities</w:t>
      </w:r>
      <w:r>
        <w:rPr>
          <w:rFonts w:ascii="Times New Roman" w:hAnsi="Times New Roman"/>
          <w:color w:val="000000"/>
          <w:sz w:val="20"/>
        </w:rPr>
        <w:t>”</w:t>
      </w:r>
      <w:r>
        <w:rPr>
          <w:rFonts w:ascii="Times New Roman" w:hAnsi="Times New Roman"/>
          <w:color w:val="000000"/>
          <w:sz w:val="22"/>
        </w:rPr>
        <w:t>) shall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Person with respect to the Liabilities, result in the Liabilities of such Guarantor under this Guaranty not constituting a fraudulent transfer or conveyance. For purposes hereof, “</w:t>
      </w:r>
      <w:r>
        <w:rPr>
          <w:rFonts w:ascii="Times New Roman" w:hAnsi="Times New Roman"/>
          <w:b/>
          <w:color w:val="000000"/>
          <w:sz w:val="22"/>
        </w:rPr>
        <w:t>Bankruptcy Law</w:t>
      </w:r>
      <w:r>
        <w:rPr>
          <w:rFonts w:ascii="Times New Roman" w:hAnsi="Times New Roman"/>
          <w:color w:val="000000"/>
          <w:sz w:val="20"/>
        </w:rPr>
        <w:t xml:space="preserve">” </w:t>
      </w:r>
      <w:r>
        <w:rPr>
          <w:rFonts w:ascii="Times New Roman" w:hAnsi="Times New Roman"/>
          <w:color w:val="000000"/>
          <w:sz w:val="22"/>
        </w:rPr>
        <w:t>means the United States Bankruptcy Code, or any similar federal, state or foreign law for the relief of debtors. This paragraph with respect to the maximum liability of each Guarantor is intended solely to preserve the rights of the holders, to the maximum extent not subject to avoidance under applicable law, and neither a Guarantor nor any other Person shall have any right or claim under this paragraph with respect to such maximum liability, except to the extent necessary so that the obligations of a Guarantor hereunder shall not be rendered voidable under applicable law. Each Guarantor agrees that the Obligations guaranteed hereunder may at any time and from time to time exceed the maximum liability of such Guarantor without impairing this Guaranty or affecting the rights and remedies of the holders hereunder; provided that nothing in this sentence shall be construed to increase such Guarantor’s obligations hereunder beyond its maximum liability.</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13 - MISCELLANEOUS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 </w:t>
      </w:r>
      <w:r>
        <w:rPr>
          <w:rFonts w:ascii="Times New Roman" w:hAnsi="Times New Roman"/>
          <w:color w:val="000000"/>
          <w:sz w:val="22"/>
          <w:u w:val="single"/>
        </w:rPr>
        <w:t>Survival</w:t>
      </w:r>
      <w:r>
        <w:rPr>
          <w:rFonts w:ascii="Times New Roman" w:hAnsi="Times New Roman"/>
          <w:color w:val="000000"/>
          <w:sz w:val="22"/>
        </w:rPr>
        <w:t>. All agreements, representations and warranties made herein and in every other Financing Document shall survive the execution and delivery of this Agreement and the other Financing Documents. The provisions of Section 2.10 and Articles 11 and 13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13.2 </w:t>
      </w:r>
      <w:r>
        <w:rPr>
          <w:rFonts w:ascii="Times New Roman" w:hAnsi="Times New Roman"/>
          <w:color w:val="000000"/>
          <w:sz w:val="22"/>
          <w:u w:val="single"/>
        </w:rPr>
        <w:t>No Waivers</w:t>
      </w:r>
      <w:r>
        <w:rPr>
          <w:rFonts w:ascii="Times New Roman" w:hAnsi="Times New Roman"/>
          <w:color w:val="000000"/>
          <w:sz w:val="22"/>
        </w:rPr>
        <w:t>. No failure or delay by Agent, Term Loan Servicer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Event of Default, but is rather presented merely for convenience should such Event of Default be waived in accordance with the terms of the applicable Financing Documents.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13.3 </w:t>
      </w:r>
      <w:r>
        <w:rPr>
          <w:rFonts w:ascii="Times New Roman" w:hAnsi="Times New Roman"/>
          <w:color w:val="000000"/>
          <w:sz w:val="22"/>
          <w:u w:val="single"/>
        </w:rPr>
        <w:t>Notices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All notices, requests and other communications to any party hereunder shall be in writing (including prepaid overnight courier, email or similar writing) and shall be given to such party at its address or e-mail address set forth below or on the signature pages hereof (or, in the case of any such Lender who becomes a Lender after the date hereof, in an Assignment Agreement or in a notice delivered to Borrower Representative and Agent by the assignee Lender forthwith upon such assignment) or at such other address or e-mail address as such party may hereafter specify for the purpose by notice to Agent and Borrower Representative;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notices, requests or other communications shall be permitted by electronic means only in accordance with the provisions of Section 13.3(b) and (c). Each such notice, request or other communication shall be effective (i) if given by electronic means, in accordance with the provisions of Section 13.3(b) and (c), or (ii) if given by mail, prepaid overnight courier or any other means, when received or when receipt is refused at the applicable address specified by this Section 13.3(a).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any Credit Party:</w:t>
      </w:r>
    </w:p>
    <w:p>
      <w:pPr>
        <w:pStyle w:val="TextBody"/>
        <w:bidi w:val="0"/>
        <w:jc w:val="left"/>
        <w:rPr>
          <w:rFonts w:ascii="Times New Roman" w:hAnsi="Times New Roman"/>
          <w:color w:val="000000"/>
          <w:sz w:val="22"/>
        </w:rPr>
      </w:pPr>
      <w:r>
        <w:rPr>
          <w:rFonts w:ascii="Times New Roman" w:hAnsi="Times New Roman"/>
          <w:color w:val="000000"/>
          <w:sz w:val="22"/>
        </w:rPr>
        <w:t>CeriBell, Inc., as Borrower Representative</w:t>
      </w:r>
    </w:p>
    <w:p>
      <w:pPr>
        <w:pStyle w:val="TextBody"/>
        <w:bidi w:val="0"/>
        <w:jc w:val="left"/>
        <w:rPr>
          <w:rFonts w:ascii="Times New Roman" w:hAnsi="Times New Roman"/>
          <w:color w:val="000000"/>
          <w:sz w:val="22"/>
        </w:rPr>
      </w:pPr>
      <w:r>
        <w:rPr>
          <w:rFonts w:ascii="Times New Roman" w:hAnsi="Times New Roman"/>
          <w:color w:val="000000"/>
          <w:sz w:val="22"/>
        </w:rPr>
        <w:t>360 N. Pastoria Avenue</w:t>
      </w:r>
    </w:p>
    <w:p>
      <w:pPr>
        <w:pStyle w:val="TextBody"/>
        <w:bidi w:val="0"/>
        <w:jc w:val="left"/>
        <w:rPr>
          <w:rFonts w:ascii="Times New Roman" w:hAnsi="Times New Roman"/>
          <w:color w:val="000000"/>
          <w:sz w:val="22"/>
        </w:rPr>
      </w:pPr>
      <w:r>
        <w:rPr>
          <w:rFonts w:ascii="Times New Roman" w:hAnsi="Times New Roman"/>
          <w:color w:val="000000"/>
          <w:sz w:val="22"/>
        </w:rPr>
        <w:t>Sunnyvale, CA 94085</w:t>
      </w:r>
    </w:p>
    <w:p>
      <w:pPr>
        <w:pStyle w:val="TextBody"/>
        <w:bidi w:val="0"/>
        <w:jc w:val="left"/>
        <w:rPr>
          <w:rFonts w:ascii="Times New Roman" w:hAnsi="Times New Roman"/>
          <w:color w:val="000000"/>
          <w:sz w:val="22"/>
        </w:rPr>
      </w:pPr>
      <w:r>
        <w:rPr>
          <w:rFonts w:ascii="Times New Roman" w:hAnsi="Times New Roman"/>
          <w:color w:val="000000"/>
          <w:sz w:val="22"/>
        </w:rPr>
        <w:t>Attn: Scott Blumberg, CFO</w:t>
      </w:r>
    </w:p>
    <w:p>
      <w:pPr>
        <w:pStyle w:val="TextBody"/>
        <w:bidi w:val="0"/>
        <w:jc w:val="left"/>
        <w:rPr>
          <w:rFonts w:ascii="Times New Roman" w:hAnsi="Times New Roman"/>
          <w:sz w:val="20"/>
        </w:rPr>
      </w:pPr>
      <w:r>
        <w:rPr>
          <w:rFonts w:ascii="Times New Roman" w:hAnsi="Times New Roman"/>
          <w:color w:val="000000"/>
          <w:sz w:val="22"/>
        </w:rPr>
        <w:t>Email: ###</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to Agent or to MCF (or any of its Affiliates or Approved Funds) as a Lender:</w:t>
      </w:r>
    </w:p>
    <w:p>
      <w:pPr>
        <w:pStyle w:val="TextBody"/>
        <w:bidi w:val="0"/>
        <w:jc w:val="left"/>
        <w:rPr>
          <w:rFonts w:ascii="Times New Roman" w:hAnsi="Times New Roman"/>
          <w:sz w:val="20"/>
        </w:rPr>
      </w:pPr>
      <w:r>
        <w:rPr>
          <w:rFonts w:ascii="Times New Roman" w:hAnsi="Times New Roman"/>
          <w:color w:val="000000"/>
          <w:sz w:val="22"/>
        </w:rPr>
        <w:t>MidCap Funding IV Trust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extBody"/>
        <w:bidi w:val="0"/>
        <w:jc w:val="left"/>
        <w:rPr>
          <w:rFonts w:ascii="Times New Roman" w:hAnsi="Times New Roman"/>
          <w:color w:val="000000"/>
          <w:sz w:val="22"/>
        </w:rPr>
      </w:pPr>
      <w:r>
        <w:rPr>
          <w:rFonts w:ascii="Times New Roman" w:hAnsi="Times New Roman"/>
          <w:color w:val="000000"/>
          <w:sz w:val="22"/>
        </w:rPr>
        <w:t>7255 Woodmont Ave, Suite 300</w:t>
      </w:r>
    </w:p>
    <w:p>
      <w:pPr>
        <w:pStyle w:val="TextBody"/>
        <w:bidi w:val="0"/>
        <w:jc w:val="left"/>
        <w:rPr>
          <w:rFonts w:ascii="Times New Roman" w:hAnsi="Times New Roman"/>
          <w:color w:val="000000"/>
          <w:sz w:val="22"/>
        </w:rPr>
      </w:pPr>
      <w:r>
        <w:rPr>
          <w:rFonts w:ascii="Times New Roman" w:hAnsi="Times New Roman"/>
          <w:color w:val="000000"/>
          <w:sz w:val="22"/>
        </w:rPr>
        <w:t>Bethesda, MD 20814</w:t>
      </w:r>
    </w:p>
    <w:p>
      <w:pPr>
        <w:pStyle w:val="TextBody"/>
        <w:bidi w:val="0"/>
        <w:jc w:val="left"/>
        <w:rPr>
          <w:rFonts w:ascii="Times New Roman" w:hAnsi="Times New Roman"/>
          <w:color w:val="000000"/>
          <w:sz w:val="22"/>
        </w:rPr>
      </w:pPr>
      <w:r>
        <w:rPr>
          <w:rFonts w:ascii="Times New Roman" w:hAnsi="Times New Roman"/>
          <w:color w:val="000000"/>
          <w:sz w:val="22"/>
        </w:rPr>
        <w:t>Attn: Account Manager for CeriBell transaction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rFonts w:ascii="Times New Roman" w:hAnsi="Times New Roman"/>
          <w:sz w:val="20"/>
        </w:rPr>
      </w:pPr>
      <w:r>
        <w:rPr>
          <w:rFonts w:ascii="Times New Roman" w:hAnsi="Times New Roman"/>
          <w:color w:val="000000"/>
          <w:sz w:val="22"/>
        </w:rPr>
        <w:t>MidCap Funding IV Trust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extBody"/>
        <w:bidi w:val="0"/>
        <w:jc w:val="left"/>
        <w:rPr>
          <w:rFonts w:ascii="Times New Roman" w:hAnsi="Times New Roman"/>
          <w:color w:val="000000"/>
          <w:sz w:val="22"/>
        </w:rPr>
      </w:pPr>
      <w:r>
        <w:rPr>
          <w:rFonts w:ascii="Times New Roman" w:hAnsi="Times New Roman"/>
          <w:color w:val="000000"/>
          <w:sz w:val="22"/>
        </w:rPr>
        <w:t>7255 Woodmont Ave, Suite 300</w:t>
      </w:r>
    </w:p>
    <w:p>
      <w:pPr>
        <w:pStyle w:val="TextBody"/>
        <w:bidi w:val="0"/>
        <w:jc w:val="left"/>
        <w:rPr>
          <w:rFonts w:ascii="Times New Roman" w:hAnsi="Times New Roman"/>
          <w:color w:val="000000"/>
          <w:sz w:val="22"/>
        </w:rPr>
      </w:pPr>
      <w:r>
        <w:rPr>
          <w:rFonts w:ascii="Times New Roman" w:hAnsi="Times New Roman"/>
          <w:color w:val="000000"/>
          <w:sz w:val="22"/>
        </w:rPr>
        <w:t>Bethesda, MD 20814</w:t>
      </w:r>
    </w:p>
    <w:p>
      <w:pPr>
        <w:pStyle w:val="TextBody"/>
        <w:bidi w:val="0"/>
        <w:jc w:val="left"/>
        <w:rPr>
          <w:rFonts w:ascii="Times New Roman" w:hAnsi="Times New Roman"/>
          <w:color w:val="000000"/>
          <w:sz w:val="22"/>
        </w:rPr>
      </w:pPr>
      <w:r>
        <w:rPr>
          <w:rFonts w:ascii="Times New Roman" w:hAnsi="Times New Roman"/>
          <w:color w:val="000000"/>
          <w:sz w:val="22"/>
        </w:rPr>
        <w:t>Attn: Legal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left"/>
        <w:rPr>
          <w:rFonts w:ascii="Times New Roman" w:hAnsi="Times New Roman"/>
          <w:sz w:val="20"/>
        </w:rPr>
      </w:pPr>
      <w:r>
        <w:rPr>
          <w:rFonts w:ascii="Times New Roman" w:hAnsi="Times New Roman"/>
          <w:color w:val="000000"/>
          <w:sz w:val="22"/>
        </w:rPr>
        <w:t>If to Term Loan Servicer:</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MidCap Financial Trust</w:t>
      </w:r>
    </w:p>
    <w:p>
      <w:pPr>
        <w:pStyle w:val="TextBody"/>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extBody"/>
        <w:bidi w:val="0"/>
        <w:jc w:val="left"/>
        <w:rPr>
          <w:rFonts w:ascii="Times New Roman" w:hAnsi="Times New Roman"/>
          <w:color w:val="000000"/>
          <w:sz w:val="22"/>
        </w:rPr>
      </w:pPr>
      <w:r>
        <w:rPr>
          <w:rFonts w:ascii="Times New Roman" w:hAnsi="Times New Roman"/>
          <w:color w:val="000000"/>
          <w:sz w:val="22"/>
        </w:rPr>
        <w:t>7255 Woodmont Ave, Suite 300</w:t>
      </w:r>
    </w:p>
    <w:p>
      <w:pPr>
        <w:pStyle w:val="TextBody"/>
        <w:bidi w:val="0"/>
        <w:jc w:val="left"/>
        <w:rPr>
          <w:rFonts w:ascii="Times New Roman" w:hAnsi="Times New Roman"/>
          <w:color w:val="000000"/>
          <w:sz w:val="22"/>
        </w:rPr>
      </w:pPr>
      <w:r>
        <w:rPr>
          <w:rFonts w:ascii="Times New Roman" w:hAnsi="Times New Roman"/>
          <w:color w:val="000000"/>
          <w:sz w:val="22"/>
        </w:rPr>
        <w:t>Bethesda, MD 20814</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Attn: Account Manager for CeriBell transaction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With a copy to:</w:t>
      </w:r>
    </w:p>
    <w:p>
      <w:pPr>
        <w:pStyle w:val="TextBody"/>
        <w:bidi w:val="0"/>
        <w:jc w:val="left"/>
        <w:rPr>
          <w:rFonts w:ascii="Times New Roman" w:hAnsi="Times New Roman"/>
          <w:color w:val="000000"/>
          <w:sz w:val="22"/>
        </w:rPr>
      </w:pPr>
      <w:r>
        <w:rPr>
          <w:rFonts w:ascii="Times New Roman" w:hAnsi="Times New Roman"/>
          <w:color w:val="000000"/>
          <w:sz w:val="22"/>
        </w:rPr>
        <w:t>MidCap Financial Trust</w:t>
      </w:r>
    </w:p>
    <w:p>
      <w:pPr>
        <w:pStyle w:val="TextBody"/>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extBody"/>
        <w:bidi w:val="0"/>
        <w:jc w:val="left"/>
        <w:rPr>
          <w:rFonts w:ascii="Times New Roman" w:hAnsi="Times New Roman"/>
          <w:color w:val="000000"/>
          <w:sz w:val="22"/>
        </w:rPr>
      </w:pPr>
      <w:r>
        <w:rPr>
          <w:rFonts w:ascii="Times New Roman" w:hAnsi="Times New Roman"/>
          <w:color w:val="000000"/>
          <w:sz w:val="22"/>
        </w:rPr>
        <w:t>7255 Woodmont Ave, Suite 300</w:t>
      </w:r>
    </w:p>
    <w:p>
      <w:pPr>
        <w:pStyle w:val="TextBody"/>
        <w:bidi w:val="0"/>
        <w:jc w:val="left"/>
        <w:rPr>
          <w:rFonts w:ascii="Times New Roman" w:hAnsi="Times New Roman"/>
          <w:color w:val="000000"/>
          <w:sz w:val="22"/>
        </w:rPr>
      </w:pPr>
      <w:r>
        <w:rPr>
          <w:rFonts w:ascii="Times New Roman" w:hAnsi="Times New Roman"/>
          <w:color w:val="000000"/>
          <w:sz w:val="22"/>
        </w:rPr>
        <w:t>Bethesda, MD 20814</w:t>
      </w:r>
    </w:p>
    <w:p>
      <w:pPr>
        <w:pStyle w:val="TextBody"/>
        <w:bidi w:val="0"/>
        <w:jc w:val="left"/>
        <w:rPr>
          <w:rFonts w:ascii="Times New Roman" w:hAnsi="Times New Roman"/>
          <w:color w:val="000000"/>
          <w:sz w:val="22"/>
        </w:rPr>
      </w:pPr>
      <w:r>
        <w:rPr>
          <w:rFonts w:ascii="Times New Roman" w:hAnsi="Times New Roman"/>
          <w:color w:val="000000"/>
          <w:sz w:val="22"/>
        </w:rPr>
        <w:t>Attn: Legal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If to any Lender other than MidCap</w:t>
      </w:r>
      <w:r>
        <w:rPr>
          <w:rFonts w:ascii="Times New Roman" w:hAnsi="Times New Roman"/>
          <w:color w:val="000000"/>
          <w:sz w:val="22"/>
        </w:rPr>
        <w:t>: at the address set forth on the signature pages to this Agreement or provided as a notice address for such in connection with any assignment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Notices and other communications to the parties hereto may be delivered or furnished by electronic communication (including e-mail and Internet or intranet websites) pursuant to procedures approved from time to time by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foregoing shall not apply to notices sent directly to any Lender if such Lender has notified Agent that it is incapable of receiving notices by electronic communication. Agent, Term Loan Servicer or Borrower Representative may, in their discretion, agree to accept notices and other communications to them hereunder by electronic communications pursuant to procedures approved by 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any such notice or other communication is not sent or posted during normal business hours, such notice or communication shall be deemed to have been sent at the opening of business on the next Business Day.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13.4 </w:t>
      </w: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13.5 </w:t>
      </w:r>
      <w:r>
        <w:rPr>
          <w:rFonts w:ascii="Times New Roman" w:hAnsi="Times New Roman"/>
          <w:color w:val="000000"/>
          <w:sz w:val="22"/>
          <w:u w:val="single"/>
        </w:rPr>
        <w:t>Headings</w:t>
      </w:r>
      <w:r>
        <w:rPr>
          <w:rFonts w:ascii="Times New Roman" w:hAnsi="Times New Roman"/>
          <w:color w:val="000000"/>
          <w:sz w:val="22"/>
        </w:rPr>
        <w:t>. Headings and captions used in the Financing Documents (including the Exhibits, Schedules and Annexes hereto and thereto) are included for convenience of reference only and shall not be given any substantive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13.6 </w:t>
      </w:r>
      <w:r>
        <w:rPr>
          <w:rFonts w:ascii="Times New Roman" w:hAnsi="Times New Roman"/>
          <w:color w:val="000000"/>
          <w:sz w:val="22"/>
          <w:u w:val="single"/>
        </w:rPr>
        <w:t>Confidentiality</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Agent, Term Loan Servicer and each Lender shall hold all non-public information regarding the Credit Parties and their respective businesses identified as such by Credit Parties (it being understood that any budgets, projections, operating plans and other financial information delivered pursuant to the reporting covenants of this Agreement shall be deemed to be so identified unless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information is already in the public domain) and obtained by Agent, Term Loan Servicer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(it being understood that such Persons to whom such disclosure is made will be informed of the confidential nature of such information and be instructed to keep such information confidential), (ii) to prospective transferees or purchasers of any interest in the Loans, Agent, Term Loan Servicer or a Lender,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such Persons are bound by obligations of confidentiality, (iii) as required by applicable Law, subpoena, judicial order or similar order and in connection with any litigation (provided that to the extent Agent is permitted by applicable Law and by the terms of any such order, subpoena or legal or administrative order or process, Agent shall endeavor to provide Borrower Representative with prior notice of such requirement so that the Credit Parties may seek a protective order or other appropriate remedy), (iv) as may be required in connection with the examination, audit or similar investigation of such Person, (v) as Agent, Term Loan Servicer or any Lender reasonably determines is necessary or appropriate in connection with or in contemplation of the exercise of remedies under the Financing Documents during the continuance of an Event of Default, and (vi) to a Person that is a trustee, investment advisor or investment manager, collateral manager, servicer (including any Term Loan Servicer), noteholder or secured party in a Securitization (as hereinafter defined) in connection with the administration, servicing and reporting on the assets serving as collateral for such Securitization, provided that such Person is subject to obligations of confidentiality no less protective of the Credit Parties than those set forth in this Section 13.6. For the purposes of this Section, “</w:t>
      </w:r>
      <w:r>
        <w:rPr>
          <w:rFonts w:ascii="Times New Roman" w:hAnsi="Times New Roman"/>
          <w:b/>
          <w:color w:val="000000"/>
          <w:sz w:val="22"/>
        </w:rPr>
        <w:t>Securitization</w:t>
      </w:r>
      <w:r>
        <w:rPr>
          <w:rFonts w:ascii="Times New Roman" w:hAnsi="Times New Roman"/>
          <w:color w:val="000000"/>
          <w:sz w:val="20"/>
        </w:rPr>
        <w:t xml:space="preserve">” </w:t>
      </w:r>
      <w:r>
        <w:rPr>
          <w:rFonts w:ascii="Times New Roman" w:hAnsi="Times New Roman"/>
          <w:color w:val="000000"/>
          <w:sz w:val="22"/>
        </w:rPr>
        <w:t xml:space="preserve">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Agent does not have actual knowledge that such Person is prohibited from disclosing such information. Each of Agent, Term Loan Servicer and each Lender agrees to use such confidential information solely in connection with the Financing Documents and the transactions contemplated thereby (including without limitation for purposes of administering, monitoring or enforcing its rights in respect of the Loans). The obligations of Agent, Term Loan Servicer and Lenders under this Section 13.6 shall supersede and replace the obligations of Agent, Term Loan Servicer and Lenders under any confidentiality agreement in respect of this financing executed and delivered by Agent, Term Loan Servicer or any Lender prior to the date 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13.7 </w:t>
      </w:r>
      <w:r>
        <w:rPr>
          <w:rFonts w:ascii="Times New Roman" w:hAnsi="Times New Roman"/>
          <w:color w:val="000000"/>
          <w:sz w:val="22"/>
          <w:u w:val="single"/>
        </w:rPr>
        <w:t>Waiver of Consequential and Other Damages</w:t>
      </w:r>
      <w:r>
        <w:rPr>
          <w:rFonts w:ascii="Times New Roman" w:hAnsi="Times New Roman"/>
          <w:color w:val="000000"/>
          <w:sz w:val="22"/>
        </w:rPr>
        <w:t>. To the fullest extent permitted by applicable law, no Credit Party shall assert, and each Credit Party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13.8 </w:t>
      </w:r>
      <w:r>
        <w:rPr>
          <w:rFonts w:ascii="Times New Roman" w:hAnsi="Times New Roman"/>
          <w:color w:val="000000"/>
          <w:sz w:val="22"/>
          <w:u w:val="single"/>
        </w:rPr>
        <w:t>GOVERNING LAW; SUBMISSION TO JURISDICTION</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EACH PARTY HERETO HEREBY CONSENTS TO THE JURISDICTION OF ANY STATE OR FEDERAL </w:t>
      </w:r>
      <w:r>
        <w:rPr>
          <w:rFonts w:ascii="Times New Roman" w:hAnsi="Times New Roman"/>
          <w:caps/>
          <w:color w:val="000000"/>
          <w:sz w:val="22"/>
        </w:rPr>
        <w:t>COURT LOCATED in the State of New York in the City of New York, Borough of Manhattan, AND IRREVOCABLY AGREES THAT ALL ACTIONS OR PROCEEDINGS ARISING OUT OF OR RELATING TO THIS</w:t>
      </w:r>
      <w:r>
        <w:rPr>
          <w:rFonts w:ascii="Times New Roman" w:hAnsi="Times New Roman"/>
          <w:color w:val="000000"/>
          <w:sz w:val="20"/>
        </w:rPr>
        <w:t xml:space="preserve"> </w:t>
      </w:r>
      <w:r>
        <w:rPr>
          <w:rFonts w:ascii="Times New Roman" w:hAnsi="Times New Roman"/>
          <w:color w:val="000000"/>
          <w:sz w:val="22"/>
        </w:rPr>
        <w:t>AGREEMENT OR THE OTHER FINANCING DOCUMENTS SHALL BE LITIGATED IN SUCH COURTS. EACH PARTY HERETO EXPRESSLY SUBMITS AND CONSENTS TO THE JURISDICTION OF THE AFORESAID COURTS AND WAIVES ANY DEFENSE OF FORUM NON CONVENIENS. EACH PARTY HERETO HEREBY WAIVES PERSONAL SERVICE OF ANY AND ALL PROCESS AND AGREES THAT ALL SUCH SERVICE OF PROCESS MAY BE MADE UPON SUCH PARTY BY CERTIFIED OR REGISTERED MAIL, RETURN RECEIPT REQUESTED, ADDRESSED TO SUCH PARTY AT THE ADDRESS SET FORTH IN THIS AGREEMENT AND SERVICE SO MADE SHALL BE COMPLETE TEN (10) DAYS AFTER THE SAME HAS BEEN POSTED.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13.9 </w:t>
      </w:r>
      <w:r>
        <w:rPr>
          <w:rFonts w:ascii="Times New Roman" w:hAnsi="Times New Roman"/>
          <w:b/>
          <w:color w:val="000000"/>
          <w:sz w:val="22"/>
          <w:u w:val="single"/>
        </w:rPr>
        <w:t>WAIVER OF JURY TRIAL</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CREDIT PARTY, AGENT, TERM LOAN SERVICER,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CREDIT PARTY, AGENT, TERM LOAN SERVICER,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CREDIT PARTY, AGENT, TERM LOAN SERVICER AND EACH LENDER WARRANTS AND REPRESENTS THAT IT HAS HAD THE OPPORTUNITY OF REVIEWING THIS JURY WAIVER WITH LEGAL COUNSEL, AND THAT IT KNOWINGLY AND VOLUNTARILY WAIVES ITS JURY TRIAL RIGHTS.</w:t>
      </w:r>
    </w:p>
    <w:p>
      <w:pPr>
        <w:pStyle w:val="TextBody"/>
        <w:bidi w:val="0"/>
        <w:spacing w:before="0" w:after="240"/>
        <w:jc w:val="both"/>
        <w:rPr>
          <w:rFonts w:ascii="Times New Roman" w:hAnsi="Times New Roman"/>
          <w:sz w:val="20"/>
        </w:rPr>
      </w:pPr>
      <w:r>
        <w:rPr>
          <w:rFonts w:ascii="Times New Roman" w:hAnsi="Times New Roman"/>
          <w:color w:val="000000"/>
          <w:sz w:val="22"/>
        </w:rPr>
        <w:t>(b) In the event any such action or proceeding is brought or filed in any United States federal court sitting in the State of California or in any state court of the State of California, and the waiver of jury trial set forth in Section 13.9(a) hereof is determined or held to be ineffective or unenforceable, the parties agree that (i)</w:t>
      </w:r>
      <w:r>
        <w:rPr>
          <w:rFonts w:ascii="Times New Roman" w:hAnsi="Times New Roman"/>
          <w:color w:val="000000"/>
          <w:sz w:val="20"/>
        </w:rPr>
        <w:t xml:space="preserve"> </w:t>
      </w:r>
      <w:r>
        <w:rPr>
          <w:rFonts w:ascii="Times New Roman" w:hAnsi="Times New Roman"/>
          <w:color w:val="000000"/>
          <w:sz w:val="22"/>
        </w:rPr>
        <w:t>actions or proceedings shall be resolved by reference to a private judge sitting without a jury, pursuant to California Code of Civil Procedure Section 638, before a mutually acceptable referee or, if the parties cannot agree, a referee selected by the Presiding Judge of Los Angeles County, California; (ii) such referee shall hear and determine all of the issues in any action or proceeding (whether of fact or of law), including issues pertaining to a “provisional remedy” as defined in California Code of Civil Procedure Section 1281.8, including without limitation, entering restraining orders, entering temporary restraining orders, issuing temporary and permanent injunctions and appointing receivers, and shall report a statement of decision, provided that, if during the course of any dispute any party desires to seek such a “provisional remedy” but a referee has not been appointed, or is otherwise unavailable to hear the request for such provisional remedy, then such party may apply to the Los Angeles County Superior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Court for such provisional relief; and (iii) pursuant to California Code of Civil Procedure Section 644, judgment may be entered upon the decision of such referee in the same manner as if such action or proceeding had been tried directly by a court. Such proceeding shall be conducted in Los Angeles County, California, with California rules of evidence and discovery applicable to such proceeding. In the event any actions or proceedings are to be resolved by judicial reference, any party may seek from any court having jurisdiction thereover any prejudgment order, writ or other relief and have such prejudgment order, writ or other relief enforced to the fullest extent permitted by Law notwithstanding that all actions or proceedings are otherwise subject to resolution by judicial reference. Each Borrower, Agent and the Lenders further represents and warrants and represents that it has reviewed this consent and agreement with legal counsel of its own choosing, or has had an opportunity to do so, and that it knowingly and voluntarily gives this consent and enters into this Agreement having had the opportunity to consult with legal counsel. This consent and agreement is irrevocable, meaning that it may not be modified either orally or in writing, and this consent and agreement shall apply to any subsequent amendments, renewals, supplements, or modifications to this Agreement or any other agreement or document entered into between the parties in connection with this Agreement. In the event of litigation, this Agreement may be filed as evidence of either or both parties’ consent and agreement to have any and all actions and proceedings heard and determined by a referee under California Code of Civil Procedure Section 638. Notwithstanding anything to the contrary contained herein, the parties acknowledge and agree that this provision shall have no application to any non-judicial foreclosure of all or any portion of the Collateral constituting real property (whether pursuant to the provisions of the Financing Documents or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to the contrary contained in this Agreement, each Borrower, Agent and the Lenders understand, acknowledge and agree that (i) the provisions of Section 13.9(b) of this Agreement above shall have no application to any non-judicial foreclosure and/or private (i.e., non-judicial) sale under the California Commercial Code as to all or any portion of Collateral constituting real property whether pursuant to the provisions of the Financing Documents or applicable law; provided, however, in the event Borrower contests the same, then the provisions of Section 13.9(b) above shall apply to any actions or proceedings arising therefrom (but not the non-judicial foreclosure proceeding, which may remain pending), and (ii) the provisions of Section 13.9(b) above shall not be deemed to be a waiver by, or a limitation upon, the rights of Agent or the Lenders to proceed with a non-judicial foreclosure or private sale under said Commercial Code as a permitted remedy hereunder or under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13.10 </w:t>
      </w:r>
      <w:r>
        <w:rPr>
          <w:rFonts w:ascii="Times New Roman" w:hAnsi="Times New Roman"/>
          <w:color w:val="000000"/>
          <w:sz w:val="22"/>
          <w:u w:val="single"/>
        </w:rPr>
        <w:t>Publication; Advertisement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Publication</w:t>
      </w:r>
      <w:r>
        <w:rPr>
          <w:rFonts w:ascii="Times New Roman" w:hAnsi="Times New Roman"/>
          <w:color w:val="000000"/>
          <w:sz w:val="22"/>
        </w:rPr>
        <w:t>. Neither Credit Party nor Lender will directly or indirectly publish, disclose or otherwise use in any public disclosure, advertising material, promotional material, press release or interview, any reference to the name, logo or any trademark of the other party or any of its Affiliates or any reference to this Agreement or the financing evidenced hereby, in any case except (i) as required by Law, subpoena or judicial or similar order, in which case the applicable Credit Party shall give the other party prior written notice of such publication or other disclosure, or (ii) with the other party’s prior written consent.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Advertisement</w:t>
      </w:r>
      <w:r>
        <w:rPr>
          <w:rFonts w:ascii="Times New Roman" w:hAnsi="Times New Roman"/>
          <w:color w:val="000000"/>
          <w:sz w:val="22"/>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13.11 </w:t>
      </w:r>
      <w:r>
        <w:rPr>
          <w:rFonts w:ascii="Times New Roman" w:hAnsi="Times New Roman"/>
          <w:color w:val="000000"/>
          <w:sz w:val="22"/>
          <w:u w:val="single"/>
        </w:rPr>
        <w:t>Counterparts; Integration</w:t>
      </w:r>
      <w:r>
        <w:rPr>
          <w:rFonts w:ascii="Times New Roman" w:hAnsi="Times New Roman"/>
          <w:color w:val="000000"/>
          <w:sz w:val="22"/>
        </w:rPr>
        <w:t>. 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13.12 </w:t>
      </w: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13.13 </w:t>
      </w:r>
      <w:r>
        <w:rPr>
          <w:rFonts w:ascii="Times New Roman" w:hAnsi="Times New Roman"/>
          <w:color w:val="000000"/>
          <w:sz w:val="22"/>
          <w:u w:val="single"/>
        </w:rPr>
        <w:t>Lender Approvals</w:t>
      </w:r>
      <w:r>
        <w:rPr>
          <w:rFonts w:ascii="Times New Roman" w:hAnsi="Times New Roman"/>
          <w:color w:val="000000"/>
          <w:sz w:val="22"/>
        </w:rPr>
        <w:t>. Unless expressly provided herein to the contrary, any approval, consent, waiver or satisfaction of Agent, Term Loan Servicer or Lenders with respect to any matter that is the subject of this Agreement, the other Financing Documents may be granted or withheld by Agent, Term Loan Servicer and Lenders in their sole and absolute discretion and credit judgment.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13.14 </w:t>
      </w:r>
      <w:r>
        <w:rPr>
          <w:rFonts w:ascii="Times New Roman" w:hAnsi="Times New Roman"/>
          <w:color w:val="000000"/>
          <w:sz w:val="22"/>
          <w:u w:val="single"/>
        </w:rPr>
        <w:t>Expenses; Indemnity</w:t>
      </w:r>
    </w:p>
    <w:p>
      <w:pPr>
        <w:pStyle w:val="TextBody"/>
        <w:bidi w:val="0"/>
        <w:spacing w:before="0" w:after="240"/>
        <w:jc w:val="both"/>
        <w:rPr>
          <w:rFonts w:ascii="Times New Roman" w:hAnsi="Times New Roman"/>
          <w:sz w:val="20"/>
        </w:rPr>
      </w:pPr>
      <w:r>
        <w:rPr>
          <w:rFonts w:ascii="Times New Roman" w:hAnsi="Times New Roman"/>
          <w:color w:val="000000"/>
          <w:sz w:val="22"/>
        </w:rPr>
        <w:t>(a) Except with respect to Indemnified Taxes, Other Taxes and Excluded Taxes, which shall be governed exclusively by Section 2.8, Credit Parties hereby agree to promptly pay (i) all reasonable costs and expenses of Agent and Term Loan Servicer (including, without limitation, the fees, costs and expenses 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or Term Loan Servicer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Persons); (ii) without limitation of the preceding clause (i), all reasonable costs and expenses of Agent in connection with the creation, perfection and maintenance of Liens pursuant to the Financing Documents other than disputes solely among Lenders and/or Agent (other than any claims against such person in its capacity or in fulfilling its role as Agent, arranger or any similar role hereunder) to the extent such disputes do not arise from any act or omission of any Credit Party or of any Affiliate of a Credit Party; (iii) without limitation of the preceding clause (i), all costs and expenses of Agent and/or Term Loan Servicer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other than disputes solely among Lenders and/or Agent and/or Term Loan Servicer (other than any claims against such person in its capacity or in fulfilling its role as Agent, Term Loan Servicer, arranger or any similar role hereunder) to the extent such disputes do not arise from any act or omission of any Credit Party or of any Affiliate of a Credit Party, and in connection with any workout, collection, bankruptcy, insolvency and other enforcement proceedings under any and all Financing Documents, whether or not Agent, Term Loan Servicer or Lenders are a party 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Each Credit Party hereby agrees to indemnify, pay and hold harmless Agent, Term Loan Servicer and Lenders and the officers, directors, employees, trustees, agents, investment advisors and investment managers, collateral managers, servicers, and counsel of Agent, Term Loan Servicer and Lenders (collectively called the “</w:t>
      </w:r>
      <w:r>
        <w:rPr>
          <w:rFonts w:ascii="Times New Roman" w:hAnsi="Times New Roman"/>
          <w:b/>
          <w:color w:val="000000"/>
          <w:sz w:val="22"/>
        </w:rPr>
        <w:t>Indemnitees</w:t>
      </w:r>
      <w:r>
        <w:rPr>
          <w:rFonts w:ascii="Times New Roman" w:hAnsi="Times New Roman"/>
          <w:color w:val="000000"/>
          <w:sz w:val="20"/>
        </w:rPr>
        <w:t>”</w:t>
      </w:r>
      <w:r>
        <w:rPr>
          <w:rFonts w:ascii="Times New Roman" w:hAnsi="Times New Roman"/>
          <w:color w:val="000000"/>
          <w:sz w:val="22"/>
        </w:rPr>
        <w:t>) from and against any and all liabilities, obligations, losses, damages, penalties, actions, judgments, suits, claims, costs, expenses and disbursements of any kind or nature whatsoever (including the documented out-of-pocket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Financing Documents (including (i)(A) as a direct or indirect result of the presence on or under, or escape, seepage, leakage, spillage, discharge, emission or release from, any property now or previously owned, leased or operated by a Credit Party,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a Credit Party or any Subsidiary, and (ii) proposed and actual extensions of credit under this Agreement) and the use or intended use of the proceeds of the Loans, except that Credit Parties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Credit Parties shall contribute the maximum portion which it is permitted to pay and satisfy under applicable Law to the payment and satisfaction of all such indemnified liabilities incurred by the Indemnitees or any of them. This Section 13.14(b) shall not apply with respect to Taxes other than any Taxes that represent liabilities, obligations, losses, damages, claims etc. arising from any non-Tax claim.</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 contrary provision in this Agreement, the obligations of Credit Parties under this Section 13.14 shall survive the payment in full of the Obligations and the termination of this Agreement. NO INDEMNITEE SHALL BE RESPONSIBLE OR LIABLE TO THE CREDIT PARTIES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Each Borrower for itself and all endorsers, guarantors and sureties and their heirs, legal representatives, successors and assigns, hereby further specifically waives any rights that it may have under Section 1542 of the California Civil Code (to the extent applicable), which provides as follows: “A GENERAL RELEASE DOES NOT EXTEND TO CLAIMS WHICH THE CREDITOR DOES NOT KNOW OR SUSPECT TO EXIST IN HIS OR HER FAVOR AT THE TIME OF EXECUTING THE RELEASE, WHICH IF KNOWN BY HIM OR HER MUST HAVE MATERIALLY AFFECTED HIS OR HER SETTLEMENT WITH THE DEBTOR,” and further waives any similar rights under applicable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13.15 </w:t>
      </w:r>
      <w:r>
        <w:rPr>
          <w:rFonts w:ascii="Times New Roman" w:hAnsi="Times New Roman"/>
          <w:caps/>
          <w:color w:val="000000"/>
          <w:sz w:val="22"/>
          <w:u w:val="single"/>
        </w:rPr>
        <w:t>reserved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13.16 </w:t>
      </w:r>
      <w:r>
        <w:rPr>
          <w:rFonts w:ascii="Times New Roman" w:hAnsi="Times New Roman"/>
          <w:color w:val="000000"/>
          <w:sz w:val="22"/>
          <w:u w:val="single"/>
        </w:rPr>
        <w:t>Reinstatement</w:t>
      </w:r>
      <w:r>
        <w:rPr>
          <w:rFonts w:ascii="Times New Roman" w:hAnsi="Times New Roman"/>
          <w:color w:val="000000"/>
          <w:sz w:val="22"/>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13.17 </w:t>
      </w:r>
      <w:r>
        <w:rPr>
          <w:rFonts w:ascii="Times New Roman" w:hAnsi="Times New Roman"/>
          <w:color w:val="000000"/>
          <w:sz w:val="22"/>
          <w:u w:val="single"/>
        </w:rPr>
        <w:t>Successors and Assigns</w:t>
      </w:r>
      <w:r>
        <w:rPr>
          <w:rFonts w:ascii="Times New Roman" w:hAnsi="Times New Roman"/>
          <w:color w:val="000000"/>
          <w:sz w:val="22"/>
        </w:rPr>
        <w:t>. This Agreement shall be binding upon and inure to the benefit of the Credit Parties and Agent, Term Loan Servicer and each Lender and their respective successors and permitted assigns.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13.18 </w:t>
      </w:r>
      <w:r>
        <w:rPr>
          <w:rFonts w:ascii="Times New Roman" w:hAnsi="Times New Roman"/>
          <w:color w:val="000000"/>
          <w:sz w:val="22"/>
          <w:u w:val="single"/>
        </w:rPr>
        <w:t>USA PATRIOT Act Notification</w:t>
      </w:r>
      <w:r>
        <w:rPr>
          <w:rFonts w:ascii="Times New Roman" w:hAnsi="Times New Roman"/>
          <w:color w:val="000000"/>
          <w:sz w:val="22"/>
        </w:rPr>
        <w:t>. Agent (for itself and not on behalf of any Lender), Term Loan Servicer (for itself and not on behalf of any Lender), and each Lender hereby notifies Credit Parties that pursuant to the requirements of the USA PATRIOT Act, it is required to obtain, verify and record certain information and documentation that identifies Credit Parties, which information includes the name and address of the Credit Parties and such other information that will allow Agent, Term Loan Servicer, or such Lender, as applicable, to identify Credit Parties in accordance with the USA PATRIOT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13.19 </w:t>
      </w:r>
      <w:r>
        <w:rPr>
          <w:rFonts w:ascii="Times New Roman" w:hAnsi="Times New Roman"/>
          <w:color w:val="000000"/>
          <w:sz w:val="22"/>
          <w:u w:val="single"/>
        </w:rPr>
        <w:t>Acknowledgement and Consent to Bail-In of Affected Financial Institutions</w:t>
      </w:r>
      <w:r>
        <w:rPr>
          <w:rFonts w:ascii="Times New Roman" w:hAnsi="Times New Roman"/>
          <w:color w:val="000000"/>
          <w:sz w:val="22"/>
        </w:rPr>
        <w:t>. 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13.20 </w:t>
      </w:r>
      <w:r>
        <w:rPr>
          <w:rFonts w:ascii="Times New Roman" w:hAnsi="Times New Roman"/>
          <w:color w:val="000000"/>
          <w:sz w:val="22"/>
          <w:u w:val="single"/>
        </w:rPr>
        <w:t>Erroneous Payments.</w:t>
      </w:r>
    </w:p>
    <w:p>
      <w:pPr>
        <w:pStyle w:val="TextBody"/>
        <w:bidi w:val="0"/>
        <w:spacing w:before="0" w:after="240"/>
        <w:jc w:val="both"/>
        <w:rPr>
          <w:rFonts w:ascii="Times New Roman" w:hAnsi="Times New Roman"/>
          <w:sz w:val="20"/>
        </w:rPr>
      </w:pPr>
      <w:r>
        <w:rPr>
          <w:rFonts w:ascii="Times New Roman" w:hAnsi="Times New Roman"/>
          <w:color w:val="000000"/>
          <w:sz w:val="22"/>
        </w:rPr>
        <w:t>(a) Each Lender and any other party hereto hereby severally agrees that if (i) the Agent or Term Loan Servicer notifies (which such notice shall be conclusive absent manifest error) such Lender (or the Lender which is an Affiliate of a Lender) or any other Person that has received funds from the Agent, the Term Loan Servicer or any of their Affiliates, either for its own account or on behalf of a Lender (each such recipient, a “</w:t>
      </w:r>
      <w:r>
        <w:rPr>
          <w:rFonts w:ascii="Times New Roman" w:hAnsi="Times New Roman"/>
          <w:b/>
          <w:color w:val="000000"/>
          <w:sz w:val="22"/>
        </w:rPr>
        <w:t>Payment Recipient</w:t>
      </w:r>
      <w:r>
        <w:rPr>
          <w:rFonts w:ascii="Times New Roman" w:hAnsi="Times New Roman"/>
          <w:color w:val="000000"/>
          <w:sz w:val="20"/>
        </w:rPr>
        <w:t>”</w:t>
      </w:r>
      <w:r>
        <w:rPr>
          <w:rFonts w:ascii="Times New Roman" w:hAnsi="Times New Roman"/>
          <w:color w:val="000000"/>
          <w:sz w:val="22"/>
        </w:rPr>
        <w:t>) that the Agent or Term Loan Servicer, as applicable,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Term Loan Servicer (or any of their Affiliates) (x) that is in a different amount than, or on a different date from, that specified in a notice of payment, prepayment or repayment sent by the Agent or the Term Loan Servicer (or any of their Affiliates) with respect to such payment, prepayment or repayment, as applicable, (y) that was not preceded or accompanied by a notice of payment, prepayment or repayment sent by the Agent or Term Loan Servicer (or any of their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13.20(a), whether received as a payment, prepayment or repayment of principal, interest, fees, distribution or otherwise; individually and collectively, an “</w:t>
      </w:r>
      <w:r>
        <w:rPr>
          <w:rFonts w:ascii="Times New Roman" w:hAnsi="Times New Roman"/>
          <w:b/>
          <w:color w:val="000000"/>
          <w:sz w:val="22"/>
        </w:rPr>
        <w:t>Erroneous Payment</w:t>
      </w:r>
      <w:r>
        <w:rPr>
          <w:rFonts w:ascii="Times New Roman" w:hAnsi="Times New Roman"/>
          <w:color w:val="000000"/>
          <w:sz w:val="20"/>
        </w:rPr>
        <w:t>”</w:t>
      </w:r>
      <w:r>
        <w:rPr>
          <w:rFonts w:ascii="Times New Roman" w:hAnsi="Times New Roman"/>
          <w:color w:val="000000"/>
          <w:sz w:val="22"/>
        </w:rPr>
        <w:t xml:space="preserve">), then, in each case, such Payment Recipient is deemed to have knowledge of such error at the time of its receipt of such Erroneous Payment;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nothing in this Section shall require the Agent or Term Loan Servicer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or Term Loan Servicer, as applicable, for the return of any Erroneous Payments, including without limitation waiver of any defense based on “discharge for value” or any similar doctrine.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Without limiting the immediately preceding clause (a), each Payment Recipient agrees that, in the case of clause (a)(ii) above, it shall promptly notify the Agent and Term Loan Servicer in writing of such occurrence.</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 the case of either clause (a)(i) or (a)(ii) above, such Erroneous Payment shall at all times remain the property of the Agent or Term Loan Servicer, as applicable, and shall be segregated by the Payment Recipient and held in trust for the benefit of the Agent or Term Loan Servicer, as applicable, and upon demand from the Agent or Term Loan Servicer, as applicable, such Payment Recipient shall (or, shall cause any Person who received any portion of an Erroneous Payment on its behalf to), promptly, but in all events no later than one Business Day thereafter, return to the Agent or Term Loan Servicer, as applicable,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Agent or Term Loan Servicer, as applicable, at the greater of the Federal Funds Rate and a rate determined by the Agent or Term Loan Servicer, as applicable, in accordance with banking industry rules on interbank compensation from time to time in effect.</w:t>
      </w:r>
    </w:p>
    <w:p>
      <w:pPr>
        <w:pStyle w:val="TextBody"/>
        <w:bidi w:val="0"/>
        <w:spacing w:before="0" w:after="240"/>
        <w:jc w:val="both"/>
        <w:rPr>
          <w:rFonts w:ascii="Times New Roman" w:hAnsi="Times New Roman"/>
          <w:sz w:val="20"/>
        </w:rPr>
      </w:pPr>
      <w:r>
        <w:rPr>
          <w:rFonts w:ascii="Times New Roman" w:hAnsi="Times New Roman"/>
          <w:color w:val="000000"/>
          <w:sz w:val="22"/>
        </w:rPr>
        <w:t>(d) In the event that an Erroneous Payment (or portion thereof) is not recovered by the Agent or Term Loan Servicer for any reason, after demand therefor by the Agent or Term Loan Servicer, as applicable, in accordance with immediately preceding clause (c), from any Lender that is a Payment Recipient or an Affiliate of a Payment Recipient (such unrecovered amount as to such Lender, an “</w:t>
      </w:r>
      <w:r>
        <w:rPr>
          <w:rFonts w:ascii="Times New Roman" w:hAnsi="Times New Roman"/>
          <w:b/>
          <w:color w:val="000000"/>
          <w:sz w:val="22"/>
        </w:rPr>
        <w:t>Erroneous Payment Return Deficiency</w:t>
      </w:r>
      <w:r>
        <w:rPr>
          <w:rFonts w:ascii="Times New Roman" w:hAnsi="Times New Roman"/>
          <w:color w:val="000000"/>
          <w:sz w:val="20"/>
        </w:rPr>
        <w:t>”</w:t>
      </w:r>
      <w:r>
        <w:rPr>
          <w:rFonts w:ascii="Times New Roman" w:hAnsi="Times New Roman"/>
          <w:color w:val="000000"/>
          <w:sz w:val="22"/>
        </w:rPr>
        <w:t>), then at the sole discretion of the Agent or Term Loan Servicer, as applicable, and upon the Agent’s or Term Loan Servicer’s, as applicable, written notice to such Lender (i) such Lender shall be deemed to have made a cashless assignment of the full face amount of the portion of its Loans (but not its Term Loan Commitment Amount or Revolving Loan Commitment Amount, as applicable) with respect to which such Erroneous Payment was made (the “</w:t>
      </w:r>
      <w:r>
        <w:rPr>
          <w:rFonts w:ascii="Times New Roman" w:hAnsi="Times New Roman"/>
          <w:b/>
          <w:color w:val="000000"/>
          <w:sz w:val="22"/>
        </w:rPr>
        <w:t>Erroneous Payment Impacted Loans</w:t>
      </w:r>
      <w:r>
        <w:rPr>
          <w:rFonts w:ascii="Times New Roman" w:hAnsi="Times New Roman"/>
          <w:color w:val="000000"/>
          <w:sz w:val="20"/>
        </w:rPr>
        <w:t>”</w:t>
      </w:r>
      <w:r>
        <w:rPr>
          <w:rFonts w:ascii="Times New Roman" w:hAnsi="Times New Roman"/>
          <w:color w:val="000000"/>
          <w:sz w:val="22"/>
        </w:rPr>
        <w:t>) to the Agent or Term Loan Servicer or, at the option of the Agent or Term Loan Servicer (as applicable), the Agent’s or Term Loan Servicer’s applicable lending affiliate (such assignee, the “</w:t>
      </w:r>
      <w:r>
        <w:rPr>
          <w:rFonts w:ascii="Times New Roman" w:hAnsi="Times New Roman"/>
          <w:b/>
          <w:color w:val="000000"/>
          <w:sz w:val="22"/>
        </w:rPr>
        <w:t>Agent Assignee</w:t>
      </w:r>
      <w:r>
        <w:rPr>
          <w:rFonts w:ascii="Times New Roman" w:hAnsi="Times New Roman"/>
          <w:color w:val="000000"/>
          <w:sz w:val="20"/>
        </w:rPr>
        <w:t>”</w:t>
      </w:r>
      <w:r>
        <w:rPr>
          <w:rFonts w:ascii="Times New Roman" w:hAnsi="Times New Roman"/>
          <w:color w:val="000000"/>
          <w:sz w:val="22"/>
        </w:rPr>
        <w:t>) in an amount that is equal to the Erroneous Payment Return Deficiency (or such lesser amount as the Agent or Term Loan Servicer, as applicable, may specify) (such assignment of the Loans (but not its Term Loan Commitment Amount or Revolving Loan Commitment Amount, as applicable) of the Erroneous Payment Impacted Loans, the “</w:t>
      </w:r>
      <w:r>
        <w:rPr>
          <w:rFonts w:ascii="Times New Roman" w:hAnsi="Times New Roman"/>
          <w:b/>
          <w:color w:val="000000"/>
          <w:sz w:val="22"/>
        </w:rPr>
        <w:t>Erroneous Payment Deficiency Assignment</w:t>
      </w:r>
      <w:r>
        <w:rPr>
          <w:rFonts w:ascii="Times New Roman" w:hAnsi="Times New Roman"/>
          <w:color w:val="000000"/>
          <w:sz w:val="20"/>
        </w:rPr>
        <w:t>”</w:t>
      </w:r>
      <w:r>
        <w:rPr>
          <w:rFonts w:ascii="Times New Roman" w:hAnsi="Times New Roman"/>
          <w:color w:val="000000"/>
          <w:sz w:val="22"/>
        </w:rPr>
        <w:t>) plus any accrued and unpaid interest on such assigned amount, without further consent or approval of any party hereto and without any payment by the Agent Assignee as the assignee of such Erroneous Payment Deficiency Assignment. Without limitation of its rights hereunder, following the effectiveness of the Erroneous Payment Deficiency Assignment, the Agent or Term Loan Servicer, as applicable, may 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11.17 and (3) the Agent may reflect such assignments in the Register without further consent or action by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(e) Each party hereto hereby agrees that (x) in the event an Erroneous Payment (or portion thereof) is not recovered from any Payment Recipient that has received such Erroneous Payment (or portion thereof) for any reason, the Agent or Term Loan Servicer, as applicable (1) shall be subrogated to all the rights of such Payment Recipient and (2) is authorized to set off, net and apply any and all amounts at any time owing to such Payment Recipient under any Financing Document, or otherwise payable or distributable by the Agent or Term Loan Servicer, as applicable, to such Payment Recipient from any source, against any amount due to the Agent or Term Loan Servicer, as applicable, under this Section 13.20 or under the indemnification provisions of this Agreement, (y) the receipt of an Erroneous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Agent or the Term Loan Servicer, as applicable, from the Borrower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Each party’s obligations under this Section 13.20 shall survive the resignation or replacement of the Agent or Term Loan Servicer, as applicable, or any transfer of right or obligations by, or the replacement of, a Lender, the termination of the Term Loan Commitments, the Revolving Loan Commitments or the repayment, satisfaction or discharge of all Obligations (or any portion thereof) under any Financing Document.</w:t>
      </w:r>
    </w:p>
    <w:p>
      <w:pPr>
        <w:pStyle w:val="TextBody"/>
        <w:bidi w:val="0"/>
        <w:spacing w:before="0" w:after="240"/>
        <w:jc w:val="both"/>
        <w:rPr>
          <w:rFonts w:ascii="Times New Roman" w:hAnsi="Times New Roman"/>
          <w:sz w:val="20"/>
        </w:rPr>
      </w:pPr>
      <w:r>
        <w:rPr>
          <w:rFonts w:ascii="Times New Roman" w:hAnsi="Times New Roman"/>
          <w:color w:val="000000"/>
          <w:sz w:val="22"/>
        </w:rPr>
        <w:t>The provisions of this Section 13.20 to the contrary notwithstanding, (i) nothing in this Section 13.20 will constitute a waiver or release of any claim of any party hereunder arising from any Payment Recipient’s receipt of an Erroneous Payment and (ii) there will only be deemed to be a recovery of the Erroneous Payment to the extent that Agent or Term Loan Servicer, as applicable, has received payment from the Payment Recipient in immediately available funds the Erroneous Payment Return Deficiency, whether directly from the Payment Recipient, as a result of the exercise by Agent or Term Loan Servicer, as applicable,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the Agent Assignee and shall not constitute a recovery of the Erroneous Payment).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[SIGNATURES APPEAR ON FOLLOWING PAGE(S)]</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intending to be legally bound, each of the parties have caused this Agreement to be executed as of the day and year first above mentioned.</w:t>
      </w:r>
    </w:p>
    <w:tbl>
      <w:tblPr>
        <w:tblW w:w="5837" w:type="dxa"/>
        <w:jc w:val="left"/>
        <w:tblInd w:w="0" w:type="dxa"/>
        <w:tblLayout w:type="fixed"/>
        <w:tblCellMar>
          <w:top w:w="28" w:type="dxa"/>
          <w:left w:w="28" w:type="dxa"/>
          <w:bottom w:w="28" w:type="dxa"/>
          <w:right w:w="28" w:type="dxa"/>
        </w:tblCellMar>
      </w:tblPr>
      <w:tblGrid>
        <w:gridCol w:w="1696"/>
        <w:gridCol w:w="4141"/>
      </w:tblGrid>
      <w:tr>
        <w:trPr/>
        <w:tc>
          <w:tcPr>
            <w:tcW w:w="169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2"/>
              </w:rPr>
            </w:pPr>
            <w:r>
              <w:rPr>
                <w:rFonts w:ascii="Times New Roman" w:hAnsi="Times New Roman"/>
                <w:b/>
                <w:color w:val="000000"/>
                <w:sz w:val="22"/>
              </w:rPr>
              <w:t>BORROWERS:</w:t>
            </w:r>
          </w:p>
          <w:p>
            <w:pPr>
              <w:pStyle w:val="TableContents"/>
              <w:bidi w:val="0"/>
              <w:spacing w:before="0" w:after="360"/>
              <w:jc w:val="left"/>
              <w:rPr/>
            </w:pPr>
            <w:r>
              <w:rPr/>
              <w:t> </w:t>
            </w:r>
          </w:p>
        </w:tc>
        <w:tc>
          <w:tcPr>
            <w:tcW w:w="414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sz w:val="22"/>
              </w:rPr>
            </w:pPr>
            <w:r>
              <w:rPr>
                <w:rFonts w:ascii="Times New Roman" w:hAnsi="Times New Roman"/>
                <w:b/>
                <w:color w:val="000000"/>
                <w:sz w:val="22"/>
              </w:rPr>
              <w:t>CERIBELL,</w:t>
            </w:r>
            <w:r>
              <w:rPr>
                <w:rFonts w:ascii="Times New Roman" w:hAnsi="Times New Roman"/>
                <w:color w:val="000000"/>
                <w:sz w:val="22"/>
              </w:rPr>
              <w:t xml:space="preserve">  </w:t>
            </w:r>
            <w:r>
              <w:rPr>
                <w:rFonts w:ascii="Times New Roman" w:hAnsi="Times New Roman"/>
                <w:b/>
                <w:color w:val="000000"/>
                <w:sz w:val="22"/>
              </w:rPr>
              <w:t>INC.</w:t>
            </w:r>
            <w:r>
              <w:rPr>
                <w:rFonts w:ascii="Times New Roman" w:hAnsi="Times New Roman"/>
                <w:color w:val="000000"/>
                <w:sz w:val="22"/>
              </w:rPr>
              <w:t xml:space="preserve"> </w:t>
            </w:r>
          </w:p>
          <w:p>
            <w:pPr>
              <w:pStyle w:val="TableContents"/>
              <w:bidi w:val="0"/>
              <w:spacing w:before="0" w:after="360"/>
              <w:jc w:val="left"/>
              <w:rPr>
                <w:rFonts w:ascii="Times New Roman" w:hAnsi="Times New Roman"/>
                <w:color w:val="000000"/>
                <w:sz w:val="22"/>
              </w:rPr>
            </w:pPr>
            <w:r>
              <w:rPr>
                <w:rFonts w:ascii="Times New Roman" w:hAnsi="Times New Roman"/>
                <w:color w:val="000000"/>
                <w:sz w:val="22"/>
              </w:rPr>
              <w:t>By: ______________________________</w:t>
              <w:br/>
              <w:t>Name: Scott Blumberg</w:t>
              <w:br/>
              <w:t>Title: Chief Financial Officer</w:t>
            </w:r>
          </w:p>
          <w:p>
            <w:pPr>
              <w:pStyle w:val="TableContents"/>
              <w:bidi w:val="0"/>
              <w:spacing w:before="0" w:after="360"/>
              <w:jc w:val="left"/>
              <w:rPr/>
            </w:pPr>
            <w:r>
              <w:rPr/>
              <w:t> </w:t>
            </w:r>
          </w:p>
        </w:tc>
      </w:tr>
    </w:tbl>
    <w:p>
      <w:pPr>
        <w:pStyle w:val="TextBody"/>
        <w:bidi w:val="0"/>
        <w:jc w:val="left"/>
        <w:rPr/>
      </w:pPr>
      <w:r>
        <w:rPr/>
        <w:t> </w:t>
      </w:r>
    </w:p>
    <w:tbl>
      <w:tblPr>
        <w:tblW w:w="1358" w:type="dxa"/>
        <w:jc w:val="left"/>
        <w:tblInd w:w="0" w:type="dxa"/>
        <w:tblLayout w:type="fixed"/>
        <w:tblCellMar>
          <w:top w:w="28" w:type="dxa"/>
          <w:left w:w="28" w:type="dxa"/>
          <w:bottom w:w="28" w:type="dxa"/>
          <w:right w:w="28" w:type="dxa"/>
        </w:tblCellMar>
      </w:tblPr>
      <w:tblGrid>
        <w:gridCol w:w="1021"/>
        <w:gridCol w:w="146"/>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16"/>
              </w:rPr>
            </w:pPr>
            <w:r>
              <w:rPr>
                <w:rFonts w:ascii="Times New Roman" w:hAnsi="Times New Roman"/>
                <w:color w:val="000000"/>
                <w:sz w:val="16"/>
              </w:rPr>
              <w:t>1760653506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tbl>
      <w:tblPr>
        <w:tblW w:w="5927" w:type="dxa"/>
        <w:jc w:val="left"/>
        <w:tblInd w:w="0" w:type="dxa"/>
        <w:tblLayout w:type="fixed"/>
        <w:tblCellMar>
          <w:top w:w="28" w:type="dxa"/>
          <w:left w:w="28" w:type="dxa"/>
          <w:bottom w:w="28" w:type="dxa"/>
          <w:right w:w="28" w:type="dxa"/>
        </w:tblCellMar>
      </w:tblPr>
      <w:tblGrid>
        <w:gridCol w:w="1006"/>
        <w:gridCol w:w="4921"/>
      </w:tblGrid>
      <w:tr>
        <w:trPr/>
        <w:tc>
          <w:tcPr>
            <w:tcW w:w="1006"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2"/>
              </w:rPr>
            </w:pPr>
            <w:r>
              <w:rPr>
                <w:rFonts w:ascii="Times New Roman" w:hAnsi="Times New Roman"/>
                <w:b/>
                <w:color w:val="000000"/>
                <w:sz w:val="22"/>
              </w:rPr>
              <w:t>AGENT:</w:t>
            </w:r>
          </w:p>
        </w:tc>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MIDCAP FUNDING IV TRUST</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L.P., </w:t>
            </w:r>
          </w:p>
          <w:p>
            <w:pPr>
              <w:pStyle w:val="TableContents"/>
              <w:bidi w:val="0"/>
              <w:ind w:left="540" w:right="0" w:hanging="0"/>
              <w:jc w:val="left"/>
              <w:rPr>
                <w:rFonts w:ascii="Times New Roman" w:hAnsi="Times New Roman"/>
                <w:color w:val="000000"/>
                <w:sz w:val="22"/>
              </w:rPr>
            </w:pPr>
            <w:r>
              <w:rPr>
                <w:rFonts w:ascii="Times New Roman" w:hAnsi="Times New Roman"/>
                <w:color w:val="000000"/>
                <w:sz w:val="22"/>
              </w:rPr>
              <w:t>its investment manager</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GP, LLC, </w:t>
            </w:r>
          </w:p>
          <w:p>
            <w:pPr>
              <w:pStyle w:val="TableContents"/>
              <w:bidi w:val="0"/>
              <w:ind w:left="0" w:right="0" w:firstLine="540"/>
              <w:jc w:val="left"/>
              <w:rPr>
                <w:rFonts w:ascii="Times New Roman" w:hAnsi="Times New Roman"/>
                <w:color w:val="000000"/>
                <w:sz w:val="22"/>
              </w:rPr>
            </w:pPr>
            <w:r>
              <w:rPr>
                <w:rFonts w:ascii="Times New Roman" w:hAnsi="Times New Roman"/>
                <w:color w:val="000000"/>
                <w:sz w:val="22"/>
              </w:rPr>
              <w:t>its general partner</w:t>
            </w:r>
          </w:p>
          <w:p>
            <w:pPr>
              <w:pStyle w:val="TableContents"/>
              <w:bidi w:val="0"/>
              <w:jc w:val="left"/>
              <w:rPr/>
            </w:pPr>
            <w:r>
              <w:rPr/>
              <w:t> </w:t>
            </w:r>
          </w:p>
          <w:p>
            <w:pPr>
              <w:pStyle w:val="TableContents"/>
              <w:bidi w:val="0"/>
              <w:jc w:val="left"/>
              <w:rPr/>
            </w:pPr>
            <w:r>
              <w:rPr/>
              <w:t> </w:t>
            </w:r>
          </w:p>
          <w:p>
            <w:pPr>
              <w:pStyle w:val="TableContents"/>
              <w:bidi w:val="0"/>
              <w:ind w:left="0" w:right="0" w:firstLine="540"/>
              <w:jc w:val="left"/>
              <w:rPr>
                <w:rFonts w:ascii="Times New Roman" w:hAnsi="Times New Roman"/>
                <w:color w:val="000000"/>
                <w:sz w:val="22"/>
              </w:rPr>
            </w:pPr>
            <w:r>
              <w:rPr>
                <w:rFonts w:ascii="Times New Roman" w:hAnsi="Times New Roman"/>
                <w:color w:val="000000"/>
                <w:sz w:val="22"/>
              </w:rPr>
              <w:t>By: ________________________________</w:t>
            </w:r>
          </w:p>
          <w:p>
            <w:pPr>
              <w:pStyle w:val="TableContents"/>
              <w:bidi w:val="0"/>
              <w:jc w:val="left"/>
              <w:rPr>
                <w:color w:val="000000"/>
              </w:rPr>
            </w:pPr>
            <w:r>
              <w:rPr>
                <w:color w:val="000000"/>
              </w:rPr>
              <w:t> </w:t>
            </w:r>
            <w:r>
              <w:rPr>
                <w:rFonts w:ascii="Times New Roman" w:hAnsi="Times New Roman"/>
                <w:color w:val="000000"/>
                <w:sz w:val="22"/>
              </w:rPr>
              <w:t>Name: Maurice Amsellem</w:t>
            </w:r>
          </w:p>
          <w:p>
            <w:pPr>
              <w:pStyle w:val="TableContents"/>
              <w:bidi w:val="0"/>
              <w:jc w:val="left"/>
              <w:rPr>
                <w:color w:val="000000"/>
              </w:rPr>
            </w:pPr>
            <w:r>
              <w:rPr>
                <w:color w:val="000000"/>
              </w:rPr>
              <w:t> </w:t>
            </w:r>
            <w:r>
              <w:rPr>
                <w:rFonts w:ascii="Times New Roman" w:hAnsi="Times New Roman"/>
                <w:color w:val="000000"/>
                <w:sz w:val="22"/>
              </w:rPr>
              <w:t>Title: Authorized Signatory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u w:val="single"/>
              </w:rPr>
              <w:t>Address</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Account Manager for CeriBell transaction</w:t>
              <w:br/>
              <w:t xml:space="preserve">E-mail: </w:t>
            </w: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General Counsel</w:t>
              <w:br/>
              <w:t xml:space="preserve">E-mail: </w:t>
            </w:r>
            <w:r>
              <w:rPr>
                <w:rFonts w:ascii="Times New Roman" w:hAnsi="Times New Roman"/>
                <w:color w:val="000000"/>
                <w:sz w:val="24"/>
              </w:rPr>
              <w:t>###</w:t>
            </w:r>
          </w:p>
          <w:p>
            <w:pPr>
              <w:pStyle w:val="TableContents"/>
              <w:bidi w:val="0"/>
              <w:jc w:val="left"/>
              <w:rPr/>
            </w:pPr>
            <w:r>
              <w:rPr/>
              <w:t> </w:t>
            </w:r>
          </w:p>
          <w:p>
            <w:pPr>
              <w:pStyle w:val="TableContents"/>
              <w:bidi w:val="0"/>
              <w:spacing w:before="0" w:after="283"/>
              <w:jc w:val="left"/>
              <w:rPr/>
            </w:pPr>
            <w:r>
              <w:rPr/>
              <w:t> </w:t>
            </w:r>
          </w:p>
        </w:tc>
      </w:tr>
    </w:tbl>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tbl>
      <w:tblPr>
        <w:tblW w:w="7742" w:type="dxa"/>
        <w:jc w:val="left"/>
        <w:tblInd w:w="0" w:type="dxa"/>
        <w:tblLayout w:type="fixed"/>
        <w:tblCellMar>
          <w:top w:w="28" w:type="dxa"/>
          <w:left w:w="28" w:type="dxa"/>
          <w:bottom w:w="28" w:type="dxa"/>
          <w:right w:w="28" w:type="dxa"/>
        </w:tblCellMar>
      </w:tblPr>
      <w:tblGrid>
        <w:gridCol w:w="2821"/>
        <w:gridCol w:w="4921"/>
      </w:tblGrid>
      <w:tr>
        <w:trPr/>
        <w:tc>
          <w:tcPr>
            <w:tcW w:w="282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2"/>
              </w:rPr>
            </w:pPr>
            <w:r>
              <w:rPr>
                <w:rFonts w:ascii="Times New Roman" w:hAnsi="Times New Roman"/>
                <w:b/>
                <w:color w:val="000000"/>
                <w:sz w:val="22"/>
              </w:rPr>
              <w:t>TERM LOAN SERVICER:</w:t>
            </w:r>
          </w:p>
        </w:tc>
        <w:tc>
          <w:tcPr>
            <w:tcW w:w="492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MIDCAP FINANCIAL TRUST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L.P., </w:t>
            </w:r>
          </w:p>
          <w:p>
            <w:pPr>
              <w:pStyle w:val="TableContents"/>
              <w:bidi w:val="0"/>
              <w:ind w:left="540" w:right="0" w:hanging="0"/>
              <w:jc w:val="left"/>
              <w:rPr>
                <w:rFonts w:ascii="Times New Roman" w:hAnsi="Times New Roman"/>
                <w:color w:val="000000"/>
                <w:sz w:val="22"/>
              </w:rPr>
            </w:pPr>
            <w:r>
              <w:rPr>
                <w:rFonts w:ascii="Times New Roman" w:hAnsi="Times New Roman"/>
                <w:color w:val="000000"/>
                <w:sz w:val="22"/>
              </w:rPr>
              <w:t>its investment manager</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GP, LLC, </w:t>
            </w:r>
          </w:p>
          <w:p>
            <w:pPr>
              <w:pStyle w:val="TableContents"/>
              <w:bidi w:val="0"/>
              <w:ind w:left="0" w:right="0" w:firstLine="540"/>
              <w:jc w:val="left"/>
              <w:rPr>
                <w:rFonts w:ascii="Times New Roman" w:hAnsi="Times New Roman"/>
                <w:color w:val="000000"/>
                <w:sz w:val="22"/>
              </w:rPr>
            </w:pPr>
            <w:r>
              <w:rPr>
                <w:rFonts w:ascii="Times New Roman" w:hAnsi="Times New Roman"/>
                <w:color w:val="000000"/>
                <w:sz w:val="22"/>
              </w:rPr>
              <w:t>its general partner</w:t>
            </w:r>
          </w:p>
          <w:p>
            <w:pPr>
              <w:pStyle w:val="TableContents"/>
              <w:bidi w:val="0"/>
              <w:jc w:val="left"/>
              <w:rPr/>
            </w:pPr>
            <w:r>
              <w:rPr/>
              <w:t> </w:t>
            </w:r>
          </w:p>
          <w:p>
            <w:pPr>
              <w:pStyle w:val="TableContents"/>
              <w:bidi w:val="0"/>
              <w:jc w:val="left"/>
              <w:rPr/>
            </w:pPr>
            <w:r>
              <w:rPr/>
              <w:t> </w:t>
            </w:r>
          </w:p>
          <w:p>
            <w:pPr>
              <w:pStyle w:val="TableContents"/>
              <w:bidi w:val="0"/>
              <w:ind w:left="0" w:right="0" w:firstLine="540"/>
              <w:jc w:val="left"/>
              <w:rPr>
                <w:rFonts w:ascii="Times New Roman" w:hAnsi="Times New Roman"/>
                <w:color w:val="000000"/>
                <w:sz w:val="22"/>
              </w:rPr>
            </w:pPr>
            <w:r>
              <w:rPr>
                <w:rFonts w:ascii="Times New Roman" w:hAnsi="Times New Roman"/>
                <w:color w:val="000000"/>
                <w:sz w:val="22"/>
              </w:rPr>
              <w:t>By: ________________________________</w:t>
            </w:r>
          </w:p>
          <w:p>
            <w:pPr>
              <w:pStyle w:val="TableContents"/>
              <w:bidi w:val="0"/>
              <w:jc w:val="left"/>
              <w:rPr>
                <w:color w:val="000000"/>
              </w:rPr>
            </w:pPr>
            <w:r>
              <w:rPr>
                <w:color w:val="000000"/>
              </w:rPr>
              <w:t> </w:t>
            </w:r>
            <w:r>
              <w:rPr>
                <w:rFonts w:ascii="Times New Roman" w:hAnsi="Times New Roman"/>
                <w:color w:val="000000"/>
                <w:sz w:val="22"/>
              </w:rPr>
              <w:t>Name: Maurice Amsellem</w:t>
            </w:r>
          </w:p>
          <w:p>
            <w:pPr>
              <w:pStyle w:val="TableContents"/>
              <w:bidi w:val="0"/>
              <w:jc w:val="left"/>
              <w:rPr>
                <w:color w:val="000000"/>
              </w:rPr>
            </w:pPr>
            <w:r>
              <w:rPr>
                <w:color w:val="000000"/>
              </w:rPr>
              <w:t> </w:t>
            </w:r>
            <w:r>
              <w:rPr>
                <w:rFonts w:ascii="Times New Roman" w:hAnsi="Times New Roman"/>
                <w:color w:val="000000"/>
                <w:sz w:val="22"/>
              </w:rPr>
              <w:t>Title: Authorized Signatory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u w:val="single"/>
              </w:rPr>
              <w:t>Address</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Account Manager for CeriBell transaction</w:t>
              <w:br/>
              <w:t xml:space="preserve">E-mail: </w:t>
            </w: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General Counsel</w:t>
              <w:br/>
              <w:t xml:space="preserve">E-mail: </w:t>
            </w:r>
            <w:r>
              <w:rPr>
                <w:rFonts w:ascii="Times New Roman" w:hAnsi="Times New Roman"/>
                <w:color w:val="000000"/>
                <w:sz w:val="24"/>
              </w:rPr>
              <w:t>###</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360"/>
              <w:jc w:val="left"/>
              <w:rPr/>
            </w:pPr>
            <w:r>
              <w:rPr/>
              <w:t> </w:t>
            </w:r>
          </w:p>
        </w:tc>
        <w:tc>
          <w:tcPr>
            <w:tcW w:w="19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5792" w:type="dxa"/>
        <w:jc w:val="left"/>
        <w:tblInd w:w="0" w:type="dxa"/>
        <w:tblLayout w:type="fixed"/>
        <w:tblCellMar>
          <w:top w:w="28" w:type="dxa"/>
          <w:left w:w="28" w:type="dxa"/>
          <w:bottom w:w="28" w:type="dxa"/>
          <w:right w:w="28" w:type="dxa"/>
        </w:tblCellMar>
      </w:tblPr>
      <w:tblGrid>
        <w:gridCol w:w="1141"/>
        <w:gridCol w:w="4651"/>
      </w:tblGrid>
      <w:tr>
        <w:trPr/>
        <w:tc>
          <w:tcPr>
            <w:tcW w:w="114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b/>
                <w:color w:val="000000"/>
                <w:sz w:val="22"/>
              </w:rPr>
            </w:pPr>
            <w:r>
              <w:rPr>
                <w:rFonts w:ascii="Times New Roman" w:hAnsi="Times New Roman"/>
                <w:b/>
                <w:color w:val="000000"/>
                <w:sz w:val="22"/>
              </w:rPr>
              <w:t>LENDER:</w:t>
            </w:r>
          </w:p>
        </w:tc>
        <w:tc>
          <w:tcPr>
            <w:tcW w:w="465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MIDCAP FINANCIAL TRUST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L.P., </w:t>
            </w:r>
          </w:p>
          <w:p>
            <w:pPr>
              <w:pStyle w:val="TableContents"/>
              <w:bidi w:val="0"/>
              <w:ind w:left="540" w:right="0" w:hanging="0"/>
              <w:jc w:val="left"/>
              <w:rPr>
                <w:rFonts w:ascii="Times New Roman" w:hAnsi="Times New Roman"/>
                <w:color w:val="000000"/>
                <w:sz w:val="22"/>
              </w:rPr>
            </w:pPr>
            <w:r>
              <w:rPr>
                <w:rFonts w:ascii="Times New Roman" w:hAnsi="Times New Roman"/>
                <w:color w:val="000000"/>
                <w:sz w:val="22"/>
              </w:rPr>
              <w:t>its investment manager</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By: Apollo Capital Management GP, LLC, </w:t>
            </w:r>
          </w:p>
          <w:p>
            <w:pPr>
              <w:pStyle w:val="TableContents"/>
              <w:bidi w:val="0"/>
              <w:ind w:left="0" w:right="0" w:firstLine="540"/>
              <w:jc w:val="left"/>
              <w:rPr>
                <w:rFonts w:ascii="Times New Roman" w:hAnsi="Times New Roman"/>
                <w:color w:val="000000"/>
                <w:sz w:val="22"/>
              </w:rPr>
            </w:pPr>
            <w:r>
              <w:rPr>
                <w:rFonts w:ascii="Times New Roman" w:hAnsi="Times New Roman"/>
                <w:color w:val="000000"/>
                <w:sz w:val="22"/>
              </w:rPr>
              <w:t>its general partner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      /s/ Maurice Amsellem</w:t>
            </w:r>
            <w:r>
              <w:rPr>
                <w:rFonts w:ascii="Times New Roman" w:hAnsi="Times New Roman"/>
                <w:color w:val="000000"/>
                <w:sz w:val="22"/>
              </w:rPr>
              <w:t xml:space="preserve"> </w:t>
            </w:r>
          </w:p>
          <w:p>
            <w:pPr>
              <w:pStyle w:val="TableContents"/>
              <w:bidi w:val="0"/>
              <w:jc w:val="left"/>
              <w:rPr>
                <w:color w:val="000000"/>
              </w:rPr>
            </w:pPr>
            <w:r>
              <w:rPr>
                <w:color w:val="000000"/>
              </w:rPr>
              <w:t> </w:t>
            </w:r>
            <w:r>
              <w:rPr>
                <w:rFonts w:ascii="Times New Roman" w:hAnsi="Times New Roman"/>
                <w:color w:val="000000"/>
                <w:sz w:val="22"/>
              </w:rPr>
              <w:t>Name: Maurice Amsellem</w:t>
            </w:r>
          </w:p>
          <w:p>
            <w:pPr>
              <w:pStyle w:val="TableContents"/>
              <w:bidi w:val="0"/>
              <w:jc w:val="left"/>
              <w:rPr>
                <w:color w:val="000000"/>
              </w:rPr>
            </w:pPr>
            <w:r>
              <w:rPr>
                <w:color w:val="000000"/>
              </w:rPr>
              <w:t> </w:t>
            </w:r>
            <w:r>
              <w:rPr>
                <w:rFonts w:ascii="Times New Roman" w:hAnsi="Times New Roman"/>
                <w:color w:val="000000"/>
                <w:sz w:val="22"/>
              </w:rPr>
              <w:t>Title: Authorized Signatory</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u w:val="single"/>
              </w:rPr>
              <w:t>Address</w:t>
            </w:r>
            <w:r>
              <w:rPr>
                <w:rFonts w:ascii="Times New Roman" w:hAnsi="Times New Roman"/>
                <w:color w:val="000000"/>
                <w:sz w:val="22"/>
              </w:rPr>
              <w:t>:</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Account Manager for CeriBell transaction</w:t>
              <w:br/>
              <w:t xml:space="preserve">E-mail: </w:t>
            </w:r>
            <w:r>
              <w:rPr>
                <w:rFonts w:ascii="Times New Roman" w:hAnsi="Times New Roman"/>
                <w:color w:val="000000"/>
                <w:sz w:val="24"/>
              </w:rPr>
              <w: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c/o MidCap Financial Services, LLC, as servicer</w:t>
            </w:r>
          </w:p>
          <w:p>
            <w:pPr>
              <w:pStyle w:val="TableContents"/>
              <w:bidi w:val="0"/>
              <w:jc w:val="left"/>
              <w:rPr>
                <w:rFonts w:ascii="Times New Roman" w:hAnsi="Times New Roman"/>
                <w:sz w:val="24"/>
              </w:rPr>
            </w:pPr>
            <w:r>
              <w:rPr>
                <w:rFonts w:ascii="Times New Roman" w:hAnsi="Times New Roman"/>
                <w:color w:val="000000"/>
                <w:sz w:val="22"/>
              </w:rPr>
              <w:t>7255 Woodmont Avenue, Suite 300</w:t>
              <w:br/>
              <w:t>Bethesda, Maryland 20814</w:t>
              <w:br/>
              <w:t>Attn: General Counsel</w:t>
              <w:br/>
              <w:t xml:space="preserve">E-mail: </w:t>
            </w:r>
            <w:r>
              <w:rPr>
                <w:rFonts w:ascii="Times New Roman" w:hAnsi="Times New Roman"/>
                <w:color w:val="000000"/>
                <w:sz w:val="24"/>
              </w:rPr>
              <w:t>###</w:t>
            </w:r>
          </w:p>
          <w:p>
            <w:pPr>
              <w:pStyle w:val="TableContents"/>
              <w:bidi w:val="0"/>
              <w:jc w:val="left"/>
              <w:rPr/>
            </w:pPr>
            <w:r>
              <w:rPr/>
              <w:t> </w:t>
            </w:r>
          </w:p>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360"/>
              <w:jc w:val="left"/>
              <w:rPr/>
            </w:pPr>
            <w:r>
              <w:rPr/>
              <w:t> </w:t>
            </w:r>
          </w:p>
        </w:tc>
        <w:tc>
          <w:tcPr>
            <w:tcW w:w="4651" w:type="dxa"/>
            <w:tcBorders/>
            <w:tcMar>
              <w:top w:w="0" w:type="dxa"/>
              <w:left w:w="0" w:type="dxa"/>
              <w:bottom w:w="0" w:type="dxa"/>
              <w:right w:w="0" w:type="dxa"/>
            </w:tcMar>
            <w:vAlign w:val="center"/>
          </w:tcPr>
          <w:p>
            <w:pPr>
              <w:pStyle w:val="TableContents"/>
              <w:bidi w:val="0"/>
              <w:spacing w:before="0" w:after="360"/>
              <w:jc w:val="left"/>
              <w:rPr/>
            </w:pPr>
            <w:r>
              <w:rPr/>
              <w:t> </w:t>
            </w:r>
          </w:p>
        </w:tc>
      </w:tr>
    </w:tbl>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4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rFonts w:ascii="Times New Roman" w:hAnsi="Times New Roman"/>
          <w:sz w:val="20"/>
        </w:rPr>
      </w:pPr>
      <w:r>
        <w:rPr>
          <w:rFonts w:ascii="Times New Roman" w:hAnsi="Times New Roman"/>
          <w:color w:val="000000"/>
          <w:sz w:val="16"/>
        </w:rPr>
        <w:t>MidCap / CeriBell / Credit, Security and Guaranty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ANNEXES, EXHIBITS AND SCHEDULES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ANNEXES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Annex A Commitment Annex</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u w:val="single"/>
        </w:rPr>
        <w:t>EXHIBITS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Exhibit A [Reserved]</w:t>
      </w:r>
    </w:p>
    <w:p>
      <w:pPr>
        <w:pStyle w:val="TextBody"/>
        <w:bidi w:val="0"/>
        <w:jc w:val="both"/>
        <w:rPr>
          <w:rFonts w:ascii="Times New Roman" w:hAnsi="Times New Roman"/>
          <w:color w:val="000000"/>
          <w:sz w:val="22"/>
        </w:rPr>
      </w:pPr>
      <w:r>
        <w:rPr>
          <w:rFonts w:ascii="Times New Roman" w:hAnsi="Times New Roman"/>
          <w:color w:val="000000"/>
          <w:sz w:val="22"/>
        </w:rPr>
        <w:t>Exhibit B Form of Compliance Certificate</w:t>
      </w:r>
    </w:p>
    <w:p>
      <w:pPr>
        <w:pStyle w:val="TextBody"/>
        <w:bidi w:val="0"/>
        <w:jc w:val="both"/>
        <w:rPr>
          <w:rFonts w:ascii="Times New Roman" w:hAnsi="Times New Roman"/>
          <w:color w:val="000000"/>
          <w:sz w:val="22"/>
        </w:rPr>
      </w:pPr>
      <w:r>
        <w:rPr>
          <w:rFonts w:ascii="Times New Roman" w:hAnsi="Times New Roman"/>
          <w:color w:val="000000"/>
          <w:sz w:val="22"/>
        </w:rPr>
        <w:t>Exhibit C Borrowing Base Certificate</w:t>
      </w:r>
    </w:p>
    <w:p>
      <w:pPr>
        <w:pStyle w:val="TextBody"/>
        <w:bidi w:val="0"/>
        <w:jc w:val="both"/>
        <w:rPr>
          <w:rFonts w:ascii="Times New Roman" w:hAnsi="Times New Roman"/>
          <w:color w:val="000000"/>
          <w:sz w:val="22"/>
        </w:rPr>
      </w:pPr>
      <w:r>
        <w:rPr>
          <w:rFonts w:ascii="Times New Roman" w:hAnsi="Times New Roman"/>
          <w:color w:val="000000"/>
          <w:sz w:val="22"/>
        </w:rPr>
        <w:t>Exhibit D Form of Notice of Borrowing</w:t>
      </w:r>
    </w:p>
    <w:p>
      <w:pPr>
        <w:pStyle w:val="TextBody"/>
        <w:bidi w:val="0"/>
        <w:jc w:val="both"/>
        <w:rPr>
          <w:rFonts w:ascii="Times New Roman" w:hAnsi="Times New Roman"/>
          <w:color w:val="000000"/>
          <w:sz w:val="22"/>
        </w:rPr>
      </w:pPr>
      <w:r>
        <w:rPr>
          <w:rFonts w:ascii="Times New Roman" w:hAnsi="Times New Roman"/>
          <w:color w:val="000000"/>
          <w:sz w:val="22"/>
        </w:rPr>
        <w:t>Exhibit E-1 Form of U.S. Tax Compliance Certificate</w:t>
      </w:r>
    </w:p>
    <w:p>
      <w:pPr>
        <w:pStyle w:val="TextBody"/>
        <w:bidi w:val="0"/>
        <w:jc w:val="both"/>
        <w:rPr>
          <w:rFonts w:ascii="Times New Roman" w:hAnsi="Times New Roman"/>
          <w:color w:val="000000"/>
          <w:sz w:val="22"/>
        </w:rPr>
      </w:pPr>
      <w:r>
        <w:rPr>
          <w:rFonts w:ascii="Times New Roman" w:hAnsi="Times New Roman"/>
          <w:color w:val="000000"/>
          <w:sz w:val="22"/>
        </w:rPr>
        <w:t>Exhibit E-2 Form of U.S. Tax Compliance Certificate</w:t>
      </w:r>
    </w:p>
    <w:p>
      <w:pPr>
        <w:pStyle w:val="TextBody"/>
        <w:bidi w:val="0"/>
        <w:jc w:val="both"/>
        <w:rPr>
          <w:rFonts w:ascii="Times New Roman" w:hAnsi="Times New Roman"/>
          <w:color w:val="000000"/>
          <w:sz w:val="22"/>
        </w:rPr>
      </w:pPr>
      <w:r>
        <w:rPr>
          <w:rFonts w:ascii="Times New Roman" w:hAnsi="Times New Roman"/>
          <w:color w:val="000000"/>
          <w:sz w:val="22"/>
        </w:rPr>
        <w:t>Exhibit E-3 Form of U.S. Tax Compliance Certificate</w:t>
      </w:r>
    </w:p>
    <w:p>
      <w:pPr>
        <w:pStyle w:val="TextBody"/>
        <w:bidi w:val="0"/>
        <w:jc w:val="both"/>
        <w:rPr>
          <w:rFonts w:ascii="Times New Roman" w:hAnsi="Times New Roman"/>
          <w:color w:val="000000"/>
          <w:sz w:val="22"/>
        </w:rPr>
      </w:pPr>
      <w:r>
        <w:rPr>
          <w:rFonts w:ascii="Times New Roman" w:hAnsi="Times New Roman"/>
          <w:color w:val="000000"/>
          <w:sz w:val="22"/>
        </w:rPr>
        <w:t>Exhibit E-4 Form of U.S. Tax Compliance Certificate</w:t>
      </w:r>
    </w:p>
    <w:p>
      <w:pPr>
        <w:pStyle w:val="TextBody"/>
        <w:bidi w:val="0"/>
        <w:jc w:val="both"/>
        <w:rPr>
          <w:rFonts w:ascii="Times New Roman" w:hAnsi="Times New Roman"/>
          <w:color w:val="000000"/>
          <w:sz w:val="22"/>
        </w:rPr>
      </w:pPr>
      <w:r>
        <w:rPr>
          <w:rFonts w:ascii="Times New Roman" w:hAnsi="Times New Roman"/>
          <w:color w:val="000000"/>
          <w:sz w:val="22"/>
        </w:rPr>
        <w:t>Exhibit F Closing Checklist</w:t>
      </w:r>
    </w:p>
    <w:p>
      <w:pPr>
        <w:pStyle w:val="TextBody"/>
        <w:bidi w:val="0"/>
        <w:jc w:val="both"/>
        <w:rPr>
          <w:rFonts w:ascii="Times New Roman" w:hAnsi="Times New Roman"/>
          <w:color w:val="000000"/>
          <w:sz w:val="22"/>
        </w:rPr>
      </w:pPr>
      <w:r>
        <w:rPr>
          <w:rFonts w:ascii="Times New Roman" w:hAnsi="Times New Roman"/>
          <w:color w:val="000000"/>
          <w:sz w:val="22"/>
        </w:rPr>
        <w:t>Exhibit G Form of Assignment Agreement</w:t>
      </w:r>
    </w:p>
    <w:p>
      <w:pPr>
        <w:pStyle w:val="TextBody"/>
        <w:bidi w:val="0"/>
        <w:jc w:val="left"/>
        <w:rPr/>
      </w:pPr>
      <w:r>
        <w:rPr/>
        <w:t> </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SCHEDULES</w:t>
      </w:r>
    </w:p>
    <w:p>
      <w:pPr>
        <w:pStyle w:val="TextBody"/>
        <w:bidi w:val="0"/>
        <w:jc w:val="both"/>
        <w:rPr>
          <w:rFonts w:ascii="Times New Roman" w:hAnsi="Times New Roman"/>
          <w:color w:val="000000"/>
          <w:sz w:val="22"/>
        </w:rPr>
      </w:pPr>
      <w:r>
        <w:rPr>
          <w:rFonts w:ascii="Times New Roman" w:hAnsi="Times New Roman"/>
          <w:color w:val="000000"/>
          <w:sz w:val="22"/>
        </w:rPr>
        <w:t>Schedule 1.1 Payment Account</w:t>
      </w:r>
    </w:p>
    <w:p>
      <w:pPr>
        <w:pStyle w:val="TextBody"/>
        <w:bidi w:val="0"/>
        <w:jc w:val="both"/>
        <w:rPr>
          <w:rFonts w:ascii="Times New Roman" w:hAnsi="Times New Roman"/>
          <w:color w:val="000000"/>
          <w:sz w:val="22"/>
        </w:rPr>
      </w:pPr>
      <w:r>
        <w:rPr>
          <w:rFonts w:ascii="Times New Roman" w:hAnsi="Times New Roman"/>
          <w:color w:val="000000"/>
          <w:sz w:val="22"/>
        </w:rPr>
        <w:t>Schedule 3.1 Existence, Organizational ID Numbers, Foreign Qualification, Prior Names</w:t>
      </w:r>
    </w:p>
    <w:p>
      <w:pPr>
        <w:pStyle w:val="TextBody"/>
        <w:bidi w:val="0"/>
        <w:jc w:val="both"/>
        <w:rPr>
          <w:rFonts w:ascii="Times New Roman" w:hAnsi="Times New Roman"/>
          <w:color w:val="000000"/>
          <w:sz w:val="22"/>
        </w:rPr>
      </w:pPr>
      <w:r>
        <w:rPr>
          <w:rFonts w:ascii="Times New Roman" w:hAnsi="Times New Roman"/>
          <w:color w:val="000000"/>
          <w:sz w:val="22"/>
        </w:rPr>
        <w:t>Schedule 3.4 Capitalization</w:t>
      </w:r>
    </w:p>
    <w:p>
      <w:pPr>
        <w:pStyle w:val="TextBody"/>
        <w:bidi w:val="0"/>
        <w:jc w:val="both"/>
        <w:rPr>
          <w:rFonts w:ascii="Times New Roman" w:hAnsi="Times New Roman"/>
          <w:color w:val="000000"/>
          <w:sz w:val="22"/>
        </w:rPr>
      </w:pPr>
      <w:r>
        <w:rPr>
          <w:rFonts w:ascii="Times New Roman" w:hAnsi="Times New Roman"/>
          <w:color w:val="000000"/>
          <w:sz w:val="22"/>
        </w:rPr>
        <w:t>Schedule 3.6 Litigation</w:t>
      </w:r>
    </w:p>
    <w:p>
      <w:pPr>
        <w:pStyle w:val="TextBody"/>
        <w:bidi w:val="0"/>
        <w:jc w:val="both"/>
        <w:rPr>
          <w:rFonts w:ascii="Times New Roman" w:hAnsi="Times New Roman"/>
          <w:color w:val="000000"/>
          <w:sz w:val="22"/>
        </w:rPr>
      </w:pPr>
      <w:r>
        <w:rPr>
          <w:rFonts w:ascii="Times New Roman" w:hAnsi="Times New Roman"/>
          <w:color w:val="000000"/>
          <w:sz w:val="22"/>
        </w:rPr>
        <w:t>Schedule 3.17 Material Contracts</w:t>
      </w:r>
    </w:p>
    <w:p>
      <w:pPr>
        <w:pStyle w:val="TextBody"/>
        <w:bidi w:val="0"/>
        <w:jc w:val="both"/>
        <w:rPr>
          <w:rFonts w:ascii="Times New Roman" w:hAnsi="Times New Roman"/>
          <w:color w:val="000000"/>
          <w:sz w:val="22"/>
        </w:rPr>
      </w:pPr>
      <w:r>
        <w:rPr>
          <w:rFonts w:ascii="Times New Roman" w:hAnsi="Times New Roman"/>
          <w:color w:val="000000"/>
          <w:sz w:val="22"/>
        </w:rPr>
        <w:t>Schedule 3.18 Environmental Compliance</w:t>
      </w:r>
    </w:p>
    <w:p>
      <w:pPr>
        <w:pStyle w:val="TextBody"/>
        <w:bidi w:val="0"/>
        <w:jc w:val="both"/>
        <w:rPr>
          <w:rFonts w:ascii="Times New Roman" w:hAnsi="Times New Roman"/>
          <w:color w:val="000000"/>
          <w:sz w:val="22"/>
        </w:rPr>
      </w:pPr>
      <w:r>
        <w:rPr>
          <w:rFonts w:ascii="Times New Roman" w:hAnsi="Times New Roman"/>
          <w:color w:val="000000"/>
          <w:sz w:val="22"/>
        </w:rPr>
        <w:t>Schedule 3.19 Intellectual Property</w:t>
      </w:r>
    </w:p>
    <w:p>
      <w:pPr>
        <w:pStyle w:val="TextBody"/>
        <w:bidi w:val="0"/>
        <w:jc w:val="both"/>
        <w:rPr>
          <w:rFonts w:ascii="Times New Roman" w:hAnsi="Times New Roman"/>
          <w:color w:val="000000"/>
          <w:sz w:val="22"/>
        </w:rPr>
      </w:pPr>
      <w:r>
        <w:rPr>
          <w:rFonts w:ascii="Times New Roman" w:hAnsi="Times New Roman"/>
          <w:color w:val="000000"/>
          <w:sz w:val="22"/>
        </w:rPr>
        <w:t>Schedule 4.9 Litigation, Governmental Proceedings and Other Notice Events</w:t>
      </w:r>
    </w:p>
    <w:p>
      <w:pPr>
        <w:pStyle w:val="TextBody"/>
        <w:bidi w:val="0"/>
        <w:jc w:val="both"/>
        <w:rPr>
          <w:rFonts w:ascii="Times New Roman" w:hAnsi="Times New Roman"/>
          <w:color w:val="000000"/>
          <w:sz w:val="22"/>
        </w:rPr>
      </w:pPr>
      <w:r>
        <w:rPr>
          <w:rFonts w:ascii="Times New Roman" w:hAnsi="Times New Roman"/>
          <w:color w:val="000000"/>
          <w:sz w:val="22"/>
        </w:rPr>
        <w:t>Schedule 4.17 Products; Regulatory Required Permits</w:t>
      </w:r>
    </w:p>
    <w:p>
      <w:pPr>
        <w:pStyle w:val="TextBody"/>
        <w:bidi w:val="0"/>
        <w:jc w:val="both"/>
        <w:rPr>
          <w:rFonts w:ascii="Times New Roman" w:hAnsi="Times New Roman"/>
          <w:color w:val="000000"/>
          <w:sz w:val="22"/>
        </w:rPr>
      </w:pPr>
      <w:r>
        <w:rPr>
          <w:rFonts w:ascii="Times New Roman" w:hAnsi="Times New Roman"/>
          <w:color w:val="000000"/>
          <w:sz w:val="22"/>
        </w:rPr>
        <w:t>Schedule 5.1 Debt; Contingent Obligations</w:t>
      </w:r>
    </w:p>
    <w:p>
      <w:pPr>
        <w:pStyle w:val="TextBody"/>
        <w:bidi w:val="0"/>
        <w:jc w:val="both"/>
        <w:rPr>
          <w:rFonts w:ascii="Times New Roman" w:hAnsi="Times New Roman"/>
          <w:sz w:val="20"/>
        </w:rPr>
      </w:pPr>
      <w:r>
        <w:rPr>
          <w:rFonts w:ascii="Times New Roman" w:hAnsi="Times New Roman"/>
          <w:color w:val="000000"/>
          <w:sz w:val="22"/>
        </w:rPr>
        <w:t>Schedule 5.2 Liens;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Schedule 5.7 Permitted Investments</w:t>
      </w:r>
    </w:p>
    <w:p>
      <w:pPr>
        <w:pStyle w:val="TextBody"/>
        <w:bidi w:val="0"/>
        <w:jc w:val="both"/>
        <w:rPr>
          <w:rFonts w:ascii="Times New Roman" w:hAnsi="Times New Roman"/>
          <w:color w:val="000000"/>
          <w:sz w:val="22"/>
        </w:rPr>
      </w:pPr>
      <w:r>
        <w:rPr>
          <w:rFonts w:ascii="Times New Roman" w:hAnsi="Times New Roman"/>
          <w:color w:val="000000"/>
          <w:sz w:val="22"/>
        </w:rPr>
        <w:t>Schedule 5.8 Affiliate Transactions</w:t>
      </w:r>
    </w:p>
    <w:p>
      <w:pPr>
        <w:pStyle w:val="TextBody"/>
        <w:bidi w:val="0"/>
        <w:jc w:val="both"/>
        <w:rPr>
          <w:rFonts w:ascii="Times New Roman" w:hAnsi="Times New Roman"/>
          <w:color w:val="000000"/>
          <w:sz w:val="22"/>
        </w:rPr>
      </w:pPr>
      <w:r>
        <w:rPr>
          <w:rFonts w:ascii="Times New Roman" w:hAnsi="Times New Roman"/>
          <w:color w:val="000000"/>
          <w:sz w:val="22"/>
        </w:rPr>
        <w:t>Schedule 5.11 Business Description</w:t>
      </w:r>
    </w:p>
    <w:p>
      <w:pPr>
        <w:pStyle w:val="TextBody"/>
        <w:bidi w:val="0"/>
        <w:jc w:val="both"/>
        <w:rPr>
          <w:rFonts w:ascii="Times New Roman" w:hAnsi="Times New Roman"/>
          <w:sz w:val="20"/>
        </w:rPr>
      </w:pPr>
      <w:r>
        <w:rPr>
          <w:rFonts w:ascii="Times New Roman" w:hAnsi="Times New Roman"/>
          <w:color w:val="000000"/>
          <w:sz w:val="22"/>
        </w:rPr>
        <w:t>Schedule 5.14 Deposit Accounts and Securities Accounts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Schedule 7.4 Post-Closing Obligations</w:t>
      </w:r>
    </w:p>
    <w:p>
      <w:pPr>
        <w:pStyle w:val="TextBody"/>
        <w:bidi w:val="0"/>
        <w:jc w:val="both"/>
        <w:rPr>
          <w:rFonts w:ascii="Times New Roman" w:hAnsi="Times New Roman"/>
          <w:color w:val="000000"/>
          <w:sz w:val="22"/>
        </w:rPr>
      </w:pPr>
      <w:r>
        <w:rPr>
          <w:rFonts w:ascii="Times New Roman" w:hAnsi="Times New Roman"/>
          <w:color w:val="000000"/>
          <w:sz w:val="22"/>
        </w:rPr>
        <w:t>Schedule 9.1 Collateral</w:t>
      </w:r>
    </w:p>
    <w:p>
      <w:pPr>
        <w:pStyle w:val="TextBody"/>
        <w:bidi w:val="0"/>
        <w:jc w:val="both"/>
        <w:rPr>
          <w:rFonts w:ascii="Times New Roman" w:hAnsi="Times New Roman"/>
          <w:color w:val="000000"/>
          <w:sz w:val="22"/>
        </w:rPr>
      </w:pPr>
      <w:r>
        <w:rPr>
          <w:rFonts w:ascii="Times New Roman" w:hAnsi="Times New Roman"/>
          <w:color w:val="000000"/>
          <w:sz w:val="22"/>
        </w:rPr>
        <w:t>Schedule 9.1(A) Pledged Collateral</w:t>
      </w:r>
    </w:p>
    <w:p>
      <w:pPr>
        <w:pStyle w:val="TextBody"/>
        <w:bidi w:val="0"/>
        <w:jc w:val="both"/>
        <w:rPr>
          <w:rFonts w:ascii="Times New Roman" w:hAnsi="Times New Roman"/>
          <w:color w:val="000000"/>
          <w:sz w:val="22"/>
        </w:rPr>
      </w:pPr>
      <w:r>
        <w:rPr>
          <w:rFonts w:ascii="Times New Roman" w:hAnsi="Times New Roman"/>
          <w:color w:val="000000"/>
          <w:sz w:val="22"/>
        </w:rPr>
        <w:t>Schedule 9.2(b) Location of Collateral</w:t>
      </w:r>
    </w:p>
    <w:p>
      <w:pPr>
        <w:pStyle w:val="TextBody"/>
        <w:bidi w:val="0"/>
        <w:jc w:val="both"/>
        <w:rPr>
          <w:rFonts w:ascii="Times New Roman" w:hAnsi="Times New Roman"/>
          <w:color w:val="000000"/>
          <w:sz w:val="22"/>
        </w:rPr>
      </w:pPr>
      <w:r>
        <w:rPr>
          <w:rFonts w:ascii="Times New Roman" w:hAnsi="Times New Roman"/>
          <w:color w:val="000000"/>
          <w:sz w:val="22"/>
        </w:rPr>
        <w:t>Schedule 9.2(d) Chattel Paper, Letter of Credit Rights, Commercial Tort Claims, Instruments, Documents, Investment Property</w:t>
      </w:r>
    </w:p>
    <w:tbl>
      <w:tblPr>
        <w:tblW w:w="1358" w:type="dxa"/>
        <w:jc w:val="left"/>
        <w:tblInd w:w="0" w:type="dxa"/>
        <w:tblLayout w:type="fixed"/>
        <w:tblCellMar>
          <w:top w:w="28" w:type="dxa"/>
          <w:left w:w="28" w:type="dxa"/>
          <w:bottom w:w="28" w:type="dxa"/>
          <w:right w:w="28" w:type="dxa"/>
        </w:tblCellMar>
      </w:tblPr>
      <w:tblGrid>
        <w:gridCol w:w="1021"/>
        <w:gridCol w:w="146"/>
        <w:gridCol w:w="191"/>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16"/>
              </w:rPr>
            </w:pPr>
            <w:r>
              <w:rPr>
                <w:rFonts w:ascii="Times New Roman" w:hAnsi="Times New Roman"/>
                <w:color w:val="000000"/>
                <w:sz w:val="16"/>
              </w:rPr>
              <w:t>1760653506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Annex A to Credit Agreement (Commitment Annex)</w:t>
      </w:r>
    </w:p>
    <w:tbl>
      <w:tblPr>
        <w:tblW w:w="10205" w:type="dxa"/>
        <w:jc w:val="left"/>
        <w:tblInd w:w="0" w:type="dxa"/>
        <w:tblLayout w:type="fixed"/>
        <w:tblCellMar>
          <w:top w:w="28" w:type="dxa"/>
          <w:left w:w="28" w:type="dxa"/>
          <w:bottom w:w="28" w:type="dxa"/>
          <w:right w:w="28" w:type="dxa"/>
        </w:tblCellMar>
      </w:tblPr>
      <w:tblGrid>
        <w:gridCol w:w="1336"/>
        <w:gridCol w:w="2169"/>
        <w:gridCol w:w="2242"/>
        <w:gridCol w:w="2169"/>
        <w:gridCol w:w="2289"/>
      </w:tblGrid>
      <w:tr>
        <w:trPr/>
        <w:tc>
          <w:tcPr>
            <w:tcW w:w="1336"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ind w:left="0" w:right="0" w:firstLine="86"/>
              <w:jc w:val="left"/>
              <w:rPr>
                <w:sz w:val="4"/>
                <w:szCs w:val="4"/>
              </w:rPr>
            </w:pPr>
            <w:r>
              <w:rPr>
                <w:sz w:val="4"/>
                <w:szCs w:val="4"/>
              </w:rPr>
            </w:r>
          </w:p>
        </w:tc>
      </w:tr>
      <w:tr>
        <w:trPr/>
        <w:tc>
          <w:tcPr>
            <w:tcW w:w="1336"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Lender</w:t>
            </w:r>
          </w:p>
        </w:tc>
        <w:tc>
          <w:tcPr>
            <w:tcW w:w="2169"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Term Loan Tranche 1 Commitment Amount</w:t>
            </w:r>
          </w:p>
        </w:tc>
        <w:tc>
          <w:tcPr>
            <w:tcW w:w="2242"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Term Loan Tranche 1 Commitment Percentage</w:t>
            </w:r>
          </w:p>
        </w:tc>
        <w:tc>
          <w:tcPr>
            <w:tcW w:w="2169"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Term Loan Tranche 2 Commitment Amount</w:t>
            </w:r>
          </w:p>
        </w:tc>
        <w:tc>
          <w:tcPr>
            <w:tcW w:w="2289"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Term Loan Tranche 2 Commitment Percentage</w:t>
            </w:r>
          </w:p>
        </w:tc>
      </w:tr>
      <w:tr>
        <w:trPr/>
        <w:tc>
          <w:tcPr>
            <w:tcW w:w="13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MidCap Financial Trust</w:t>
            </w:r>
          </w:p>
        </w:tc>
        <w:tc>
          <w:tcPr>
            <w:tcW w:w="216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$30,000,000</w:t>
            </w:r>
          </w:p>
        </w:tc>
        <w:tc>
          <w:tcPr>
            <w:tcW w:w="224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100%</w:t>
            </w:r>
          </w:p>
        </w:tc>
        <w:tc>
          <w:tcPr>
            <w:tcW w:w="216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$25,000,000</w:t>
            </w:r>
          </w:p>
        </w:tc>
        <w:tc>
          <w:tcPr>
            <w:tcW w:w="228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100%</w:t>
            </w:r>
          </w:p>
        </w:tc>
      </w:tr>
      <w:tr>
        <w:trPr/>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TOTALS</w:t>
            </w:r>
          </w:p>
        </w:tc>
        <w:tc>
          <w:tcPr>
            <w:tcW w:w="21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$30,000,000</w:t>
            </w:r>
          </w:p>
        </w:tc>
        <w:tc>
          <w:tcPr>
            <w:tcW w:w="22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100%</w:t>
            </w:r>
          </w:p>
        </w:tc>
        <w:tc>
          <w:tcPr>
            <w:tcW w:w="21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$25,000,000</w:t>
            </w:r>
          </w:p>
        </w:tc>
        <w:tc>
          <w:tcPr>
            <w:tcW w:w="22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100%</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5"/>
        <w:gridCol w:w="3797"/>
        <w:gridCol w:w="4143"/>
      </w:tblGrid>
      <w:tr>
        <w:trPr/>
        <w:tc>
          <w:tcPr>
            <w:tcW w:w="2265"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c>
          <w:tcPr>
            <w:tcW w:w="4143" w:type="dxa"/>
            <w:tcBorders/>
            <w:vAlign w:val="center"/>
          </w:tcPr>
          <w:p>
            <w:pPr>
              <w:pStyle w:val="TableContents"/>
              <w:bidi w:val="0"/>
              <w:spacing w:before="0" w:after="283"/>
              <w:ind w:left="0" w:right="0" w:firstLine="86"/>
              <w:jc w:val="left"/>
              <w:rPr>
                <w:sz w:val="4"/>
                <w:szCs w:val="4"/>
              </w:rPr>
            </w:pPr>
            <w:r>
              <w:rPr>
                <w:sz w:val="4"/>
                <w:szCs w:val="4"/>
              </w:rPr>
            </w:r>
          </w:p>
        </w:tc>
      </w:tr>
      <w:tr>
        <w:trPr/>
        <w:tc>
          <w:tcPr>
            <w:tcW w:w="2265"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Lender</w:t>
            </w:r>
          </w:p>
        </w:tc>
        <w:tc>
          <w:tcPr>
            <w:tcW w:w="3797"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Revolving Loan Commitment Amount</w:t>
            </w:r>
          </w:p>
        </w:tc>
        <w:tc>
          <w:tcPr>
            <w:tcW w:w="4143" w:type="dxa"/>
            <w:tcBorders/>
            <w:tcMar>
              <w:top w:w="0" w:type="dxa"/>
              <w:left w:w="0" w:type="dxa"/>
              <w:bottom w:w="0" w:type="dxa"/>
              <w:right w:w="0" w:type="dxa"/>
            </w:tcMar>
            <w:vAlign w:val="center"/>
          </w:tcPr>
          <w:p>
            <w:pPr>
              <w:pStyle w:val="TableContents"/>
              <w:pBdr>
                <w:bottom w:val="single" w:sz="4" w:space="1" w:color="000000"/>
              </w:pBdr>
              <w:bidi w:val="0"/>
              <w:spacing w:before="0" w:after="120"/>
              <w:ind w:left="0" w:right="0" w:firstLine="86"/>
              <w:jc w:val="left"/>
              <w:rPr>
                <w:rFonts w:ascii="Times New Roman" w:hAnsi="Times New Roman"/>
                <w:b/>
                <w:color w:val="000000"/>
                <w:sz w:val="22"/>
              </w:rPr>
            </w:pPr>
            <w:r>
              <w:rPr>
                <w:rFonts w:ascii="Times New Roman" w:hAnsi="Times New Roman"/>
                <w:b/>
                <w:color w:val="000000"/>
                <w:sz w:val="22"/>
              </w:rPr>
              <w:t>Revolving Loan Commitment Percentage</w:t>
            </w:r>
          </w:p>
        </w:tc>
      </w:tr>
      <w:tr>
        <w:trPr/>
        <w:tc>
          <w:tcPr>
            <w:tcW w:w="2265"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MidCap Financial Trust</w:t>
            </w:r>
          </w:p>
        </w:tc>
        <w:tc>
          <w:tcPr>
            <w:tcW w:w="379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$20,000,000</w:t>
            </w:r>
          </w:p>
        </w:tc>
        <w:tc>
          <w:tcPr>
            <w:tcW w:w="4143"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2"/>
              </w:rPr>
            </w:pPr>
            <w:r>
              <w:rPr>
                <w:rFonts w:ascii="Times New Roman" w:hAnsi="Times New Roman"/>
                <w:color w:val="000000"/>
                <w:sz w:val="22"/>
              </w:rPr>
              <w:t>100%</w:t>
            </w:r>
          </w:p>
        </w:tc>
      </w:tr>
      <w:tr>
        <w:trPr/>
        <w:tc>
          <w:tcPr>
            <w:tcW w:w="22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TOTALS</w:t>
            </w:r>
          </w:p>
        </w:tc>
        <w:tc>
          <w:tcPr>
            <w:tcW w:w="3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$20,000,000</w:t>
            </w:r>
          </w:p>
        </w:tc>
        <w:tc>
          <w:tcPr>
            <w:tcW w:w="4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100%</w:t>
            </w:r>
          </w:p>
        </w:tc>
      </w:tr>
    </w:tbl>
    <w:p>
      <w:pPr>
        <w:pStyle w:val="TextBody"/>
        <w:bidi w:val="0"/>
        <w:jc w:val="left"/>
        <w:rPr/>
      </w:pPr>
      <w:r>
        <w:rPr/>
        <w:t> </w:t>
      </w:r>
    </w:p>
    <w:p>
      <w:pPr>
        <w:pStyle w:val="TextBody"/>
        <w:bidi w:val="0"/>
        <w:spacing w:before="0" w:after="48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7" w:name="cbll-ex10_2.htm"/>
      <w:bookmarkStart w:id="28" w:name="kscbllex10_2"/>
      <w:bookmarkEnd w:id="27"/>
      <w:bookmarkEnd w:id="28"/>
      <w:r>
        <w:rPr>
          <w:rFonts w:ascii="Times New Roman" w:hAnsi="Times New Roman"/>
          <w:b/>
          <w:color w:val="000000"/>
          <w:sz w:val="22"/>
        </w:rPr>
        <w:t>Exhibit 10.2</w:t>
      </w:r>
      <w:r>
        <w:br w:type="page"/>
      </w:r>
    </w:p>
    <w:p>
      <w:pPr>
        <w:pStyle w:val="TextBody"/>
        <w:bidi w:val="0"/>
        <w:jc w:val="right"/>
        <w:rPr/>
      </w:pPr>
      <w:r>
        <w:rPr/>
        <w:t> </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CERIBELL,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PROGRAM</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 amended and restated effective as of June 2, 2026)</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CeriBell,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Non-Employee Director Compensation Program (this “</w:t>
      </w:r>
      <w:r>
        <w:rPr>
          <w:rFonts w:ascii="Times New Roman" w:hAnsi="Times New Roman"/>
          <w:b/>
          <w:i/>
          <w:color w:val="000000"/>
          <w:sz w:val="24"/>
        </w:rPr>
        <w:t>Program</w:t>
      </w:r>
      <w:r>
        <w:rPr>
          <w:rFonts w:ascii="Times New Roman" w:hAnsi="Times New Roman"/>
          <w:color w:val="000000"/>
          <w:sz w:val="20"/>
        </w:rPr>
        <w:t>”</w:t>
      </w:r>
      <w:r>
        <w:rPr>
          <w:rFonts w:ascii="Times New Roman" w:hAnsi="Times New Roman"/>
          <w:color w:val="000000"/>
          <w:sz w:val="24"/>
        </w:rPr>
        <w:t>) has been adopted under the Company’s 2024 Incentive Award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Capitalized terms not otherwise defined herein have the meaning ascribed in the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Program, as amended and restated, is effective as of June 2, 2026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and shall remain in effect until amended, modified or terminated by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Cash Compensation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Annual retainers will be paid in the following amounts to Non-Employee Directors:</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Board Service</w:t>
      </w:r>
    </w:p>
    <w:tbl>
      <w:tblPr>
        <w:tblW w:w="3407" w:type="dxa"/>
        <w:jc w:val="left"/>
        <w:tblInd w:w="0" w:type="dxa"/>
        <w:tblLayout w:type="fixed"/>
        <w:tblCellMar>
          <w:top w:w="28" w:type="dxa"/>
          <w:left w:w="28" w:type="dxa"/>
          <w:bottom w:w="28" w:type="dxa"/>
          <w:right w:w="28" w:type="dxa"/>
        </w:tblCellMar>
      </w:tblPr>
      <w:tblGrid>
        <w:gridCol w:w="2476"/>
        <w:gridCol w:w="931"/>
      </w:tblGrid>
      <w:tr>
        <w:trPr/>
        <w:tc>
          <w:tcPr>
            <w:tcW w:w="247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w:t>
            </w:r>
          </w:p>
        </w:tc>
        <w:tc>
          <w:tcPr>
            <w:tcW w:w="93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$45,000</w:t>
            </w:r>
          </w:p>
        </w:tc>
      </w:tr>
    </w:tbl>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Additional Board Service</w:t>
      </w:r>
    </w:p>
    <w:tbl>
      <w:tblPr>
        <w:tblW w:w="5132" w:type="dxa"/>
        <w:jc w:val="left"/>
        <w:tblInd w:w="0" w:type="dxa"/>
        <w:tblLayout w:type="fixed"/>
        <w:tblCellMar>
          <w:top w:w="28" w:type="dxa"/>
          <w:left w:w="28" w:type="dxa"/>
          <w:bottom w:w="28" w:type="dxa"/>
          <w:right w:w="28" w:type="dxa"/>
        </w:tblCellMar>
      </w:tblPr>
      <w:tblGrid>
        <w:gridCol w:w="4201"/>
        <w:gridCol w:w="931"/>
      </w:tblGrid>
      <w:tr>
        <w:trPr/>
        <w:tc>
          <w:tcPr>
            <w:tcW w:w="42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20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Non-Executive Chairperson (if applicable):</w:t>
            </w:r>
          </w:p>
        </w:tc>
        <w:tc>
          <w:tcPr>
            <w:tcW w:w="931"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$45,000</w:t>
            </w:r>
          </w:p>
        </w:tc>
      </w:tr>
    </w:tbl>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Additional Committee Service</w:t>
      </w:r>
    </w:p>
    <w:tbl>
      <w:tblPr>
        <w:tblW w:w="7878" w:type="dxa"/>
        <w:jc w:val="left"/>
        <w:tblInd w:w="0" w:type="dxa"/>
        <w:tblLayout w:type="fixed"/>
        <w:tblCellMar>
          <w:top w:w="28" w:type="dxa"/>
          <w:left w:w="28" w:type="dxa"/>
          <w:bottom w:w="28" w:type="dxa"/>
          <w:right w:w="28" w:type="dxa"/>
        </w:tblCellMar>
      </w:tblPr>
      <w:tblGrid>
        <w:gridCol w:w="5821"/>
        <w:gridCol w:w="886"/>
        <w:gridCol w:w="1171"/>
      </w:tblGrid>
      <w:tr>
        <w:trPr/>
        <w:tc>
          <w:tcPr>
            <w:tcW w:w="58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5821" w:type="dxa"/>
            <w:tcBorders>
              <w:top w:val="single" w:sz="4" w:space="0" w:color="000000"/>
              <w:left w:val="single" w:sz="4" w:space="0" w:color="000000"/>
              <w:bottom w:val="single" w:sz="4" w:space="0" w:color="000000"/>
              <w:right w:val="single" w:sz="4" w:space="0" w:color="000000"/>
            </w:tcBorders>
            <w:tcMar>
              <w:top w:w="43" w:type="dxa"/>
              <w:left w:w="115" w:type="dxa"/>
              <w:bottom w:w="43" w:type="dxa"/>
              <w:right w:w="115" w:type="dxa"/>
            </w:tcMar>
            <w:vAlign w:val="center"/>
          </w:tcPr>
          <w:p>
            <w:pPr>
              <w:pStyle w:val="TableContents"/>
              <w:bidi w:val="0"/>
              <w:spacing w:before="0" w:after="283"/>
              <w:jc w:val="left"/>
              <w:rPr/>
            </w:pPr>
            <w:r>
              <w:rPr/>
              <w:t> </w:t>
            </w:r>
          </w:p>
        </w:tc>
        <w:tc>
          <w:tcPr>
            <w:tcW w:w="886" w:type="dxa"/>
            <w:tcBorders>
              <w:top w:val="single" w:sz="4" w:space="0" w:color="000000"/>
              <w:bottom w:val="single" w:sz="4" w:space="0" w:color="000000"/>
              <w:right w:val="single" w:sz="4" w:space="0" w:color="000000"/>
            </w:tcBorders>
            <w:tcMar>
              <w:top w:w="43"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Chair</w:t>
            </w:r>
          </w:p>
        </w:tc>
        <w:tc>
          <w:tcPr>
            <w:tcW w:w="11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Non-Chair</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Audit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$7,500</w:t>
            </w:r>
          </w:p>
        </w:tc>
      </w:tr>
      <w:tr>
        <w:trPr/>
        <w:tc>
          <w:tcPr>
            <w:tcW w:w="5821" w:type="dxa"/>
            <w:tcBorders>
              <w:left w:val="single" w:sz="4" w:space="0" w:color="000000"/>
              <w:bottom w:val="single" w:sz="4" w:space="0" w:color="000000"/>
              <w:right w:val="single" w:sz="4" w:space="0" w:color="000000"/>
            </w:tcBorders>
            <w:tcMar>
              <w:top w:w="0" w:type="dxa"/>
              <w:left w:w="115" w:type="dxa"/>
              <w:bottom w:w="43" w:type="dxa"/>
              <w:right w:w="115"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Nominating and Corporate Governance Committee Member</w:t>
            </w:r>
          </w:p>
        </w:tc>
        <w:tc>
          <w:tcPr>
            <w:tcW w:w="886" w:type="dxa"/>
            <w:tcBorders>
              <w:bottom w:val="single" w:sz="4" w:space="0" w:color="000000"/>
              <w:right w:val="single" w:sz="4" w:space="0" w:color="000000"/>
            </w:tcBorders>
            <w:tcMar>
              <w:top w:w="0" w:type="dxa"/>
              <w:left w:w="0" w:type="dxa"/>
              <w:bottom w:w="43" w:type="dxa"/>
              <w:right w:w="115"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w:t>
            </w:r>
          </w:p>
        </w:tc>
        <w:tc>
          <w:tcPr>
            <w:tcW w:w="11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annual retainers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will be prorated for the portion of such calendar quarter actually served as a Non-Employee Director, or in such position, as applicable.</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Election to Receive Restricted Stock Units (“RSUs”) In Lieu of Annual Retainers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99"/>
        <w:gridCol w:w="9306"/>
      </w:tblGrid>
      <w:tr>
        <w:trPr/>
        <w:tc>
          <w:tcPr>
            <w:tcW w:w="899" w:type="dxa"/>
            <w:tcBorders/>
            <w:vAlign w:val="center"/>
          </w:tcPr>
          <w:p>
            <w:pPr>
              <w:pStyle w:val="TableContents"/>
              <w:bidi w:val="0"/>
              <w:spacing w:before="0" w:after="283"/>
              <w:jc w:val="left"/>
              <w:rPr>
                <w:sz w:val="4"/>
                <w:szCs w:val="4"/>
              </w:rPr>
            </w:pPr>
            <w:r>
              <w:rPr>
                <w:sz w:val="4"/>
                <w:szCs w:val="4"/>
              </w:rPr>
            </w:r>
          </w:p>
        </w:tc>
        <w:tc>
          <w:tcPr>
            <w:tcW w:w="9306" w:type="dxa"/>
            <w:tcBorders/>
            <w:vAlign w:val="center"/>
          </w:tcPr>
          <w:p>
            <w:pPr>
              <w:pStyle w:val="TableContents"/>
              <w:bidi w:val="0"/>
              <w:spacing w:before="0" w:after="283"/>
              <w:jc w:val="left"/>
              <w:rPr>
                <w:sz w:val="4"/>
                <w:szCs w:val="4"/>
              </w:rPr>
            </w:pPr>
            <w:r>
              <w:rPr>
                <w:sz w:val="4"/>
                <w:szCs w:val="4"/>
              </w:rPr>
            </w:r>
          </w:p>
        </w:tc>
      </w:tr>
      <w:tr>
        <w:trPr/>
        <w:tc>
          <w:tcPr>
            <w:tcW w:w="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General:</w:t>
            </w:r>
          </w:p>
        </w:tc>
        <w:tc>
          <w:tcPr>
            <w:tcW w:w="9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rPr>
              <w:t>The Board or its Compensation Committee (the “</w:t>
            </w:r>
            <w:r>
              <w:rPr>
                <w:rFonts w:ascii="Times New Roman" w:hAnsi="Times New Roman"/>
                <w:b/>
                <w:i/>
                <w:color w:val="000000"/>
                <w:sz w:val="24"/>
              </w:rPr>
              <w:t>Compensation Committee</w:t>
            </w:r>
            <w:r>
              <w:rPr>
                <w:rFonts w:ascii="Times New Roman" w:hAnsi="Times New Roman"/>
                <w:color w:val="000000"/>
                <w:sz w:val="24"/>
              </w:rPr>
              <w:t xml:space="preserve">”) may, in its discretion, provide Non-Employee Directors with the opportunity to elect to convert all or a portion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16"/>
        <w:gridCol w:w="9189"/>
      </w:tblGrid>
      <w:tr>
        <w:trPr/>
        <w:tc>
          <w:tcPr>
            <w:tcW w:w="1016" w:type="dxa"/>
            <w:tcBorders/>
            <w:vAlign w:val="center"/>
          </w:tcPr>
          <w:p>
            <w:pPr>
              <w:pStyle w:val="TableContents"/>
              <w:bidi w:val="0"/>
              <w:spacing w:before="0" w:after="283"/>
              <w:jc w:val="left"/>
              <w:rPr>
                <w:sz w:val="4"/>
                <w:szCs w:val="4"/>
              </w:rPr>
            </w:pPr>
            <w:r>
              <w:rPr>
                <w:sz w:val="4"/>
                <w:szCs w:val="4"/>
              </w:rPr>
            </w:r>
          </w:p>
        </w:tc>
        <w:tc>
          <w:tcPr>
            <w:tcW w:w="9189" w:type="dxa"/>
            <w:tcBorders/>
            <w:vAlign w:val="center"/>
          </w:tcPr>
          <w:p>
            <w:pPr>
              <w:pStyle w:val="TableContents"/>
              <w:bidi w:val="0"/>
              <w:spacing w:before="0" w:after="283"/>
              <w:jc w:val="left"/>
              <w:rPr>
                <w:sz w:val="4"/>
                <w:szCs w:val="4"/>
              </w:rPr>
            </w:pPr>
            <w:r>
              <w:rPr>
                <w:sz w:val="4"/>
                <w:szCs w:val="4"/>
              </w:rPr>
            </w:r>
          </w:p>
        </w:tc>
      </w:tr>
      <w:tr>
        <w:trPr/>
        <w:tc>
          <w:tcPr>
            <w:tcW w:w="10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9"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of their annual retainers into awards of RSUs (“</w:t>
            </w:r>
            <w:r>
              <w:rPr>
                <w:rFonts w:ascii="Times New Roman" w:hAnsi="Times New Roman"/>
                <w:b/>
                <w:i/>
                <w:color w:val="000000"/>
                <w:sz w:val="24"/>
              </w:rPr>
              <w:t>Retainer RSU Awards</w:t>
            </w:r>
            <w:r>
              <w:rPr>
                <w:rFonts w:ascii="Times New Roman" w:hAnsi="Times New Roman"/>
                <w:color w:val="000000"/>
                <w:sz w:val="24"/>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hAnsi="Times New Roman"/>
                <w:b/>
                <w:i/>
                <w:color w:val="000000"/>
                <w:sz w:val="24"/>
              </w:rPr>
              <w:t>Retainer RSU Election</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pStyle w:val="TableContents"/>
              <w:bidi w:val="0"/>
              <w:spacing w:before="0" w:after="283"/>
              <w:jc w:val="both"/>
              <w:rPr/>
            </w:pPr>
            <w:r>
              <w:rPr/>
              <w:t> </w:t>
            </w:r>
          </w:p>
        </w:tc>
      </w:tr>
      <w:tr>
        <w:trPr/>
        <w:tc>
          <w:tcPr>
            <w:tcW w:w="10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Election Method:</w:t>
            </w:r>
          </w:p>
        </w:tc>
        <w:tc>
          <w:tcPr>
            <w:tcW w:w="9189"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Each Retainer RSU Election must be submitted to the Company in the form and manner specified by the Board or the Compensation Committee. An individual who fails to make a timely Retainer RSU Election will not receive a Retainer RSU Award and instead will receive the applicable annual retainer in cash. Retainer RSU Elections must comply with the following timing requirements:</w:t>
            </w:r>
          </w:p>
          <w:p>
            <w:pPr>
              <w:pStyle w:val="TableContents"/>
              <w:bidi w:val="0"/>
              <w:spacing w:before="220" w:after="283"/>
              <w:jc w:val="both"/>
              <w:rPr>
                <w:color w:val="000000"/>
              </w:rPr>
            </w:pPr>
            <w:r>
              <w:rPr>
                <w:color w:val="000000"/>
              </w:rPr>
              <w:t>●</w:t>
            </w:r>
          </w:p>
          <w:p>
            <w:pPr>
              <w:pStyle w:val="TableContents"/>
              <w:bidi w:val="0"/>
              <w:spacing w:before="220" w:after="283"/>
              <w:jc w:val="both"/>
              <w:rPr/>
            </w:pPr>
            <w:r>
              <w:rPr>
                <w:rFonts w:ascii="Times New Roman" w:hAnsi="Times New Roman"/>
                <w:color w:val="000000"/>
                <w:sz w:val="24"/>
                <w:u w:val="single"/>
              </w:rPr>
              <w:t>Initial Election</w:t>
            </w:r>
            <w:r>
              <w:rPr>
                <w:rFonts w:ascii="Times New Roman" w:hAnsi="Times New Roman"/>
                <w:color w:val="000000"/>
                <w:sz w:val="24"/>
              </w:rPr>
              <w:t>. Each individual who first becomes a Non-Employee Director may make a Retainer RSU Election with respect to annual retainer payments scheduled to be paid in the same calendar year as such individual first becomes a Non-Employee Director (the “</w:t>
            </w:r>
            <w:r>
              <w:rPr>
                <w:rFonts w:ascii="Times New Roman" w:hAnsi="Times New Roman"/>
                <w:b/>
                <w:i/>
                <w:color w:val="000000"/>
                <w:sz w:val="24"/>
              </w:rPr>
              <w:t>Initial Retainer RSU Election</w:t>
            </w:r>
            <w:r>
              <w:rPr>
                <w:color w:val="000000"/>
              </w:rPr>
              <w:t>”</w:t>
            </w:r>
            <w:r>
              <w:rPr>
                <w:rFonts w:ascii="Times New Roman" w:hAnsi="Times New Roman"/>
                <w:color w:val="000000"/>
                <w:sz w:val="24"/>
              </w:rPr>
              <w:t>). The Initial Retainer RSU Election must be submitted to the Company on or before the date that the individual first becomes a Non-Employee Director (the “</w:t>
            </w:r>
            <w:r>
              <w:rPr>
                <w:rFonts w:ascii="Times New Roman" w:hAnsi="Times New Roman"/>
                <w:b/>
                <w:i/>
                <w:color w:val="000000"/>
                <w:sz w:val="24"/>
              </w:rPr>
              <w:t>Initial Election Deadline</w:t>
            </w:r>
            <w:r>
              <w:rPr>
                <w:color w:val="000000"/>
              </w:rPr>
              <w:t>”</w:t>
            </w:r>
            <w:r>
              <w:rPr>
                <w:rFonts w:ascii="Times New Roman" w:hAnsi="Times New Roman"/>
                <w:color w:val="000000"/>
                <w:sz w:val="24"/>
              </w:rPr>
              <w:t>), and the Initial Retainer RSU Election will become final and irrevocable as of the Initial Election Deadline.</w:t>
            </w:r>
          </w:p>
          <w:p>
            <w:pPr>
              <w:pStyle w:val="TableContents"/>
              <w:bidi w:val="0"/>
              <w:spacing w:before="220" w:after="283"/>
              <w:jc w:val="both"/>
              <w:rPr>
                <w:color w:val="000000"/>
              </w:rPr>
            </w:pPr>
            <w:r>
              <w:rPr>
                <w:color w:val="000000"/>
              </w:rPr>
              <w:t>●</w:t>
            </w:r>
          </w:p>
          <w:p>
            <w:pPr>
              <w:pStyle w:val="TableContents"/>
              <w:bidi w:val="0"/>
              <w:spacing w:before="220" w:after="283"/>
              <w:jc w:val="both"/>
              <w:rPr/>
            </w:pPr>
            <w:r>
              <w:rPr>
                <w:rFonts w:ascii="Times New Roman" w:hAnsi="Times New Roman"/>
                <w:color w:val="000000"/>
                <w:sz w:val="24"/>
                <w:u w:val="single"/>
              </w:rPr>
              <w:t>Annual Election</w:t>
            </w:r>
            <w:r>
              <w:rPr>
                <w:rFonts w:ascii="Times New Roman" w:hAnsi="Times New Roman"/>
                <w:color w:val="000000"/>
                <w:sz w:val="24"/>
              </w:rPr>
              <w:t>. No later than December 31 of each calendar year, or such other deadline as may be established by the Board or the Compensation Committee, in its discretion (the “</w:t>
            </w:r>
            <w:r>
              <w:rPr>
                <w:rFonts w:ascii="Times New Roman" w:hAnsi="Times New Roman"/>
                <w:b/>
                <w:i/>
                <w:color w:val="000000"/>
                <w:sz w:val="24"/>
              </w:rPr>
              <w:t>Annual Election Deadline</w:t>
            </w:r>
            <w:r>
              <w:rPr>
                <w:color w:val="000000"/>
              </w:rPr>
              <w:t>”</w:t>
            </w:r>
            <w:r>
              <w:rPr>
                <w:rFonts w:ascii="Times New Roman" w:hAnsi="Times New Roman"/>
                <w:color w:val="000000"/>
                <w:sz w:val="24"/>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 w:hAnsi="Times New Roman"/>
                <w:b/>
                <w:i/>
                <w:color w:val="000000"/>
                <w:sz w:val="24"/>
              </w:rPr>
              <w:t>Annual Retainer RSU Election</w:t>
            </w:r>
            <w:r>
              <w:rPr>
                <w:color w:val="000000"/>
              </w:rPr>
              <w:t>”</w:t>
            </w:r>
            <w:r>
              <w:rPr>
                <w:rFonts w:ascii="Times New Roman" w:hAnsi="Times New Roman"/>
                <w:color w:val="000000"/>
                <w:sz w:val="24"/>
              </w:rPr>
              <w:t xml:space="preserve">). The Annual Retainer RSU Election must be submitted to the Company on or before the applicable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4"/>
        <w:gridCol w:w="9281"/>
      </w:tblGrid>
      <w:tr>
        <w:trPr/>
        <w:tc>
          <w:tcPr>
            <w:tcW w:w="924"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924" w:type="dxa"/>
            <w:tcBorders/>
            <w:tcMar>
              <w:top w:w="0" w:type="dxa"/>
              <w:left w:w="0" w:type="dxa"/>
              <w:bottom w:w="0" w:type="dxa"/>
              <w:right w:w="0" w:type="dxa"/>
            </w:tcMar>
            <w:vAlign w:val="center"/>
          </w:tcPr>
          <w:p>
            <w:pPr>
              <w:pStyle w:val="TableContents"/>
              <w:bidi w:val="0"/>
              <w:spacing w:before="0" w:after="283"/>
              <w:ind w:left="0" w:right="0" w:firstLine="763"/>
              <w:jc w:val="left"/>
              <w:rPr/>
            </w:pPr>
            <w:r>
              <w:rPr/>
              <w:t> </w:t>
            </w:r>
          </w:p>
        </w:tc>
        <w:tc>
          <w:tcPr>
            <w:tcW w:w="9281" w:type="dxa"/>
            <w:tcBorders/>
            <w:tcMar>
              <w:top w:w="0" w:type="dxa"/>
              <w:left w:w="0" w:type="dxa"/>
              <w:bottom w:w="0" w:type="dxa"/>
              <w:right w:w="0" w:type="dxa"/>
            </w:tcMar>
            <w:vAlign w:val="center"/>
          </w:tcPr>
          <w:p>
            <w:pPr>
              <w:pStyle w:val="TableContents"/>
              <w:bidi w:val="0"/>
              <w:spacing w:before="220" w:after="283"/>
              <w:jc w:val="both"/>
              <w:rPr/>
            </w:pPr>
            <w:r>
              <w:rPr>
                <w:rFonts w:ascii="Times New Roman" w:hAnsi="Times New Roman"/>
                <w:color w:val="000000"/>
                <w:sz w:val="24"/>
              </w:rPr>
              <w:t>Annual Election Deadline and will become effective and irrevocable as of the Annual Election Deadline.</w:t>
            </w:r>
            <w:r>
              <w:rPr>
                <w:color w:val="000000"/>
              </w:rPr>
              <w:t xml:space="preserve"> </w:t>
            </w:r>
          </w:p>
        </w:tc>
      </w:tr>
    </w:tbl>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Equity Compensation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24"/>
        <w:gridCol w:w="8981"/>
      </w:tblGrid>
      <w:tr>
        <w:trPr/>
        <w:tc>
          <w:tcPr>
            <w:tcW w:w="1224" w:type="dxa"/>
            <w:tcBorders/>
            <w:vAlign w:val="center"/>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2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Initial RSU Award:</w:t>
            </w:r>
          </w:p>
        </w:tc>
        <w:tc>
          <w:tcPr>
            <w:tcW w:w="8981"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Unless otherwise approved by the Board prior to commencement of services of an applicable Non-Employee Director, each Non-Employee Director who is initially elected or appointed to serve on the Board will be granted an award of RSUs under the Plan or any other applicable Company equity incentive plan then-maintained by the Company covering a number of shares of Common Stock calculated by dividing (i) $300,000 by (ii) the average per share closing trading price of the Common Stock over the most recent 30 trading days as of the grant date (the “</w:t>
            </w:r>
            <w:r>
              <w:rPr>
                <w:rFonts w:ascii="Times New Roman" w:hAnsi="Times New Roman"/>
                <w:b/>
                <w:i/>
                <w:color w:val="000000"/>
                <w:sz w:val="24"/>
              </w:rPr>
              <w:t>Initial RSU Award</w:t>
            </w:r>
            <w:r>
              <w:rPr>
                <w:rFonts w:ascii="Times New Roman" w:hAnsi="Times New Roman"/>
                <w:color w:val="000000"/>
                <w:sz w:val="24"/>
              </w:rPr>
              <w:t>”).</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subject to the Non-Employee Director continuing in service on the Board through each such vesting date.</w:t>
            </w:r>
          </w:p>
          <w:p>
            <w:pPr>
              <w:pStyle w:val="TableContents"/>
              <w:bidi w:val="0"/>
              <w:spacing w:before="0" w:after="283"/>
              <w:jc w:val="both"/>
              <w:rPr/>
            </w:pPr>
            <w:r>
              <w:rPr/>
              <w:t> </w:t>
            </w:r>
          </w:p>
        </w:tc>
      </w:tr>
      <w:tr>
        <w:trPr/>
        <w:tc>
          <w:tcPr>
            <w:tcW w:w="12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Annual RSU Award:</w:t>
            </w:r>
          </w:p>
        </w:tc>
        <w:tc>
          <w:tcPr>
            <w:tcW w:w="8981"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Each Non-Employee Director who (i) has been serving on the Board as of each annual meeting of the Company’s stockholders (each, an “</w:t>
            </w:r>
            <w:r>
              <w:rPr>
                <w:rFonts w:ascii="Times New Roman" w:hAnsi="Times New Roman"/>
                <w:b/>
                <w:i/>
                <w:color w:val="000000"/>
                <w:sz w:val="24"/>
              </w:rPr>
              <w:t>Annual Meeting</w:t>
            </w:r>
            <w:r>
              <w:rPr>
                <w:rFonts w:ascii="Times New Roman" w:hAnsi="Times New Roman"/>
                <w:color w:val="000000"/>
                <w:sz w:val="24"/>
              </w:rPr>
              <w:t>”) for at least six months prior to the Annual Meeting and (ii) will continue to serve as a Non-Employee Director immediately following such Annual Meeting, will be granted an award of RSUs under the Plan or any other applicable Company equity incentive plan then-maintained by the Company covering a number of shares of Common Stock calculated by dividing (i) $155,000 (applicable to the Annual Meeting occurring after the Effective Date) by (ii) the average per share closing trading price of the Common Stock over the most recent 30 trading days as of the grant date (the “</w:t>
            </w:r>
            <w:r>
              <w:rPr>
                <w:rFonts w:ascii="Times New Roman" w:hAnsi="Times New Roman"/>
                <w:b/>
                <w:i/>
                <w:color w:val="000000"/>
                <w:sz w:val="24"/>
              </w:rPr>
              <w:t>Annual RSU Award</w:t>
            </w:r>
            <w:r>
              <w:rPr>
                <w:rFonts w:ascii="Times New Roman" w:hAnsi="Times New Roman"/>
                <w:color w:val="000000"/>
                <w:sz w:val="24"/>
              </w:rPr>
              <w:t xml:space="preserve">”). </w:t>
            </w:r>
          </w:p>
          <w:p>
            <w:pPr>
              <w:pStyle w:val="TableContents"/>
              <w:bidi w:val="0"/>
              <w:jc w:val="both"/>
              <w:rPr/>
            </w:pPr>
            <w:r>
              <w:rPr/>
              <w:t> </w:t>
            </w:r>
          </w:p>
          <w:p>
            <w:pPr>
              <w:pStyle w:val="TableContents"/>
              <w:bidi w:val="0"/>
              <w:jc w:val="both"/>
              <w:rPr>
                <w:rFonts w:ascii="Times New Roman" w:hAnsi="Times New Roman"/>
                <w:color w:val="000000"/>
                <w:sz w:val="24"/>
              </w:rPr>
            </w:pPr>
            <w:r>
              <w:rPr>
                <w:rFonts w:ascii="Times New Roman" w:hAnsi="Times New Roman"/>
                <w:color w:val="000000"/>
                <w:sz w:val="24"/>
              </w:rPr>
              <w:t>The Annual RSU Award will be automatically granted on the date of the applicable Annual Meeting, and will vest in full on the earlier of (i) the first anniversary of the grant date and (ii) immediately before the Annual Meeting following the grant date, subject to the Non-Employee Director continuing in service on the Board through such vesting date.</w:t>
            </w:r>
          </w:p>
          <w:p>
            <w:pPr>
              <w:pStyle w:val="TableContents"/>
              <w:bidi w:val="0"/>
              <w:spacing w:before="0" w:after="283"/>
              <w:jc w:val="both"/>
              <w:rPr/>
            </w:pPr>
            <w:r>
              <w:rPr/>
              <w:t> </w:t>
            </w:r>
          </w:p>
        </w:tc>
      </w:tr>
      <w:tr>
        <w:trPr/>
        <w:tc>
          <w:tcPr>
            <w:tcW w:w="1224" w:type="dxa"/>
            <w:tcBorders/>
            <w:tcMar>
              <w:top w:w="0" w:type="dxa"/>
              <w:left w:w="0" w:type="dxa"/>
              <w:bottom w:w="0" w:type="dxa"/>
              <w:right w:w="0" w:type="dxa"/>
            </w:tcMar>
            <w:vAlign w:val="center"/>
          </w:tcPr>
          <w:p>
            <w:pPr>
              <w:pStyle w:val="TableContents"/>
              <w:bidi w:val="0"/>
              <w:jc w:val="both"/>
              <w:rPr>
                <w:rFonts w:ascii="Times New Roman" w:hAnsi="Times New Roman"/>
                <w:b/>
                <w:i/>
                <w:color w:val="000000"/>
                <w:sz w:val="22"/>
              </w:rPr>
            </w:pPr>
            <w:r>
              <w:rPr>
                <w:rFonts w:ascii="Times New Roman" w:hAnsi="Times New Roman"/>
                <w:b/>
                <w:i/>
                <w:color w:val="000000"/>
                <w:sz w:val="22"/>
              </w:rPr>
              <w:t>Election to Defer Issuances</w:t>
            </w:r>
          </w:p>
          <w:p>
            <w:pPr>
              <w:pStyle w:val="TableContents"/>
              <w:bidi w:val="0"/>
              <w:spacing w:before="0" w:after="283"/>
              <w:jc w:val="both"/>
              <w:rPr/>
            </w:pPr>
            <w:r>
              <w:rPr/>
              <w:t> </w:t>
            </w:r>
          </w:p>
        </w:tc>
        <w:tc>
          <w:tcPr>
            <w:tcW w:w="898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r>
              <w:rPr/>
              <w:t> </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9"/>
        <w:gridCol w:w="9246"/>
      </w:tblGrid>
      <w:tr>
        <w:trPr/>
        <w:tc>
          <w:tcPr>
            <w:tcW w:w="959" w:type="dxa"/>
            <w:tcBorders/>
            <w:vAlign w:val="center"/>
          </w:tcPr>
          <w:p>
            <w:pPr>
              <w:pStyle w:val="TableContents"/>
              <w:bidi w:val="0"/>
              <w:spacing w:before="0" w:after="283"/>
              <w:jc w:val="left"/>
              <w:rPr>
                <w:sz w:val="4"/>
                <w:szCs w:val="4"/>
              </w:rPr>
            </w:pPr>
            <w:r>
              <w:rPr>
                <w:sz w:val="4"/>
                <w:szCs w:val="4"/>
              </w:rPr>
            </w:r>
          </w:p>
        </w:tc>
        <w:tc>
          <w:tcPr>
            <w:tcW w:w="9246" w:type="dxa"/>
            <w:tcBorders/>
            <w:vAlign w:val="center"/>
          </w:tcPr>
          <w:p>
            <w:pPr>
              <w:pStyle w:val="TableContents"/>
              <w:bidi w:val="0"/>
              <w:spacing w:before="0" w:after="283"/>
              <w:jc w:val="left"/>
              <w:rPr>
                <w:sz w:val="4"/>
                <w:szCs w:val="4"/>
              </w:rPr>
            </w:pPr>
            <w:r>
              <w:rPr>
                <w:sz w:val="4"/>
                <w:szCs w:val="4"/>
              </w:rPr>
            </w:r>
          </w:p>
        </w:tc>
      </w:tr>
      <w:tr>
        <w:trPr/>
        <w:tc>
          <w:tcPr>
            <w:tcW w:w="9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General:</w:t>
            </w:r>
          </w:p>
        </w:tc>
        <w:tc>
          <w:tcPr>
            <w:tcW w:w="9246" w:type="dxa"/>
            <w:tcBorders/>
            <w:tcMar>
              <w:top w:w="0" w:type="dxa"/>
              <w:left w:w="0" w:type="dxa"/>
              <w:bottom w:w="0" w:type="dxa"/>
              <w:right w:w="0" w:type="dxa"/>
            </w:tcMar>
            <w:vAlign w:val="center"/>
          </w:tcPr>
          <w:p>
            <w:pPr>
              <w:pStyle w:val="TableContents"/>
              <w:bidi w:val="0"/>
              <w:jc w:val="both"/>
              <w:rPr>
                <w:rFonts w:ascii="Times New Roman" w:hAnsi="Times New Roman"/>
                <w:sz w:val="24"/>
              </w:rPr>
            </w:pPr>
            <w:r>
              <w:rPr>
                <w:rFonts w:ascii="Times New Roman" w:hAnsi="Times New Roman"/>
                <w:color w:val="000000"/>
                <w:sz w:val="24"/>
              </w:rPr>
              <w:t>Each Non-Employee Director shall have the opportunity to defer the issuance of the shares underlying RSUs granted under this Program (including, for clarity, Retainer RSUs, Initial RSU Awards, and Annual RSU Awards) that would otherwise be issued to the Non-Employee Director in connection with the vesting or grant of the RSUs (including, for clarity, the Retainer RSU Awards, Initial RSU Awards, and Annual RSU Awards) until the earliest of a fixed date properly elected by the Non-Employee Director, the Non-Employee Director’s Termination of Service or a Change in Control. Any such deferral election (“</w:t>
            </w:r>
            <w:r>
              <w:rPr>
                <w:rFonts w:ascii="Times New Roman" w:hAnsi="Times New Roman"/>
                <w:b/>
                <w:i/>
                <w:color w:val="000000"/>
                <w:sz w:val="24"/>
              </w:rPr>
              <w:t>Deferral Election</w:t>
            </w:r>
            <w:r>
              <w:rPr>
                <w:rFonts w:ascii="Times New Roman" w:hAnsi="Times New Roman"/>
                <w:color w:val="000000"/>
                <w:sz w:val="24"/>
              </w:rPr>
              <w:t>”) shall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If an individual elects to defer the delivery of the shares underlying RSUs granted under this Program, settlement of the deferred RSUs shall be made in accordance with the terms of the Deferral Election.</w:t>
            </w:r>
          </w:p>
          <w:p>
            <w:pPr>
              <w:pStyle w:val="TableContents"/>
              <w:bidi w:val="0"/>
              <w:spacing w:before="0" w:after="283"/>
              <w:jc w:val="both"/>
              <w:rPr/>
            </w:pPr>
            <w:r>
              <w:rPr/>
              <w:t> </w:t>
            </w:r>
          </w:p>
        </w:tc>
      </w:tr>
      <w:tr>
        <w:trPr/>
        <w:tc>
          <w:tcPr>
            <w:tcW w:w="9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Election Method:</w:t>
            </w:r>
          </w:p>
        </w:tc>
        <w:tc>
          <w:tcPr>
            <w:tcW w:w="9246"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Each Deferral Election must be submitted to the Company in the form and manner specified by the Board or the Compensation Committee. Deferral Elections must comply with the following timing requirements:</w:t>
            </w:r>
          </w:p>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color w:val="000000"/>
                <w:sz w:val="24"/>
                <w:u w:val="single"/>
              </w:rPr>
              <w:t>Initial Deferral Election</w:t>
            </w:r>
            <w:r>
              <w:rPr>
                <w:rFonts w:ascii="Times New Roman" w:hAnsi="Times New Roman"/>
                <w:color w:val="000000"/>
                <w:sz w:val="24"/>
              </w:rPr>
              <w:t>. Each individual who first becomes a Non-Employee Director may make a Deferral Election with respect to the Non-Employee Director’s RSUs to be granted in the same calendar year as such individual first becomes a Non-Employee Director (the “</w:t>
            </w:r>
            <w:r>
              <w:rPr>
                <w:rFonts w:ascii="Times New Roman" w:hAnsi="Times New Roman"/>
                <w:b/>
                <w:i/>
                <w:color w:val="000000"/>
                <w:sz w:val="24"/>
              </w:rPr>
              <w:t>Initial Deferral Election</w:t>
            </w:r>
            <w:r>
              <w:rPr>
                <w:color w:val="000000"/>
              </w:rPr>
              <w:t>”</w:t>
            </w:r>
            <w:r>
              <w:rPr>
                <w:rFonts w:ascii="Times New Roman" w:hAnsi="Times New Roman"/>
                <w:color w:val="000000"/>
                <w:sz w:val="24"/>
              </w:rPr>
              <w:t>). The Initial Deferral Election must be submitted to the Company on or before the Initial Election Deadline, and the Initial Deferral Election shall become final and irrevocable as of the Initial Election Deadline.</w:t>
            </w:r>
          </w:p>
          <w:p>
            <w:pPr>
              <w:pStyle w:val="TableContents"/>
              <w:bidi w:val="0"/>
              <w:spacing w:before="240" w:after="283"/>
              <w:jc w:val="both"/>
              <w:rPr>
                <w:color w:val="000000"/>
              </w:rPr>
            </w:pPr>
            <w:r>
              <w:rPr>
                <w:color w:val="000000"/>
              </w:rPr>
              <w:t>●</w:t>
            </w:r>
          </w:p>
          <w:p>
            <w:pPr>
              <w:pStyle w:val="TableContents"/>
              <w:bidi w:val="0"/>
              <w:spacing w:before="240" w:after="283"/>
              <w:jc w:val="both"/>
              <w:rPr/>
            </w:pPr>
            <w:r>
              <w:rPr>
                <w:rFonts w:ascii="Times New Roman" w:hAnsi="Times New Roman"/>
                <w:color w:val="000000"/>
                <w:sz w:val="24"/>
                <w:u w:val="single"/>
              </w:rPr>
              <w:t>Annual Deferral Election</w:t>
            </w:r>
            <w:r>
              <w:rPr>
                <w:rFonts w:ascii="Times New Roman" w:hAnsi="Times New Roman"/>
                <w:color w:val="000000"/>
                <w:sz w:val="24"/>
              </w:rPr>
              <w:t>. No later than the Annual Election Deadline, each individual who is a Non-Employee Director as of immediately before the Annual Election Deadline may make a Deferral Election with respect to the RSUs to be granted in the following calendar year (the “</w:t>
            </w:r>
            <w:r>
              <w:rPr>
                <w:rFonts w:ascii="Times New Roman" w:hAnsi="Times New Roman"/>
                <w:b/>
                <w:i/>
                <w:color w:val="000000"/>
                <w:sz w:val="24"/>
              </w:rPr>
              <w:t>Annual Deferral Election</w:t>
            </w:r>
            <w:r>
              <w:rPr>
                <w:color w:val="000000"/>
              </w:rPr>
              <w:t>”</w:t>
            </w:r>
            <w:r>
              <w:rPr>
                <w:rFonts w:ascii="Times New Roman" w:hAnsi="Times New Roman"/>
                <w:color w:val="000000"/>
                <w:sz w:val="24"/>
              </w:rPr>
              <w:t>). The Annual Deferral Election must be submitted to the Company on or before the applicable Annual Election Deadline and shall become final and irrevocable for the subsequent calendar year as of the applicable Annual Election Deadline.</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portion of an Initial RSU Award or Annual RSU Award which is unvested at the time of a Non-Employee Director’s termination of service on the Board will become vested and exercisable thereafter.</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Change in Control</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Immediately prior to a Change in Control of the Company, all outstanding equity awards granted under the Plan and any other equity incentive plan maintained by the Company that are held by a Non-Employee Director will become fully vested and/or exercisable, irrespective of any other provisions of the Non-Employee Director’s Award Agreement.</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Certain Terminations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Directors who are Employees who subsequently terminate their employment with the Company and any Subsidiary and remain a Director will not receive an Initial RSU Award, but to the extent that they are otherwise eligible, will be eligible to receive, after termination from employment with the Company and any Subsidiary, Annual RSU Awards as described above.</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Reimbursements</w:t>
      </w:r>
    </w:p>
    <w:p>
      <w:pPr>
        <w:pStyle w:val="TextBody"/>
        <w:bidi w:val="0"/>
        <w:spacing w:before="240" w:after="283"/>
        <w:jc w:val="both"/>
        <w:rPr>
          <w:rFonts w:ascii="Times New Roman" w:hAnsi="Times New Roman"/>
          <w:sz w:val="20"/>
        </w:rPr>
      </w:pPr>
      <w:r>
        <w:rPr>
          <w:rFonts w:ascii="Times New Roman" w:hAnsi="Times New Roman"/>
          <w:color w:val="000000"/>
          <w:sz w:val="24"/>
        </w:rPr>
        <w:t>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Miscellaneous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All provisions of the Plan will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including, without limitation, the limits on Non-Employee Director compensation set forth in Section 5.5 of the Plan. The grant of RSUs under this Program will be made solely by and subject to the terms set forth in an Award Agreement in a form to be approved by the Board and duly executed by an executive officer of the Company.</w:t>
      </w:r>
    </w:p>
    <w:p>
      <w:pPr>
        <w:pStyle w:val="TextBody"/>
        <w:bidi w:val="0"/>
        <w:jc w:val="both"/>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 * * *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bll-ex31_1.htm"/>
      <w:bookmarkStart w:id="30" w:name="kscbllex31_1"/>
      <w:bookmarkEnd w:id="29"/>
      <w:bookmarkEnd w:id="30"/>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cbll-ex31_2.htm"/>
      <w:bookmarkStart w:id="32" w:name="kscbllex31_2"/>
      <w:bookmarkEnd w:id="31"/>
      <w:bookmarkEnd w:id="32"/>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1951"/>
        <w:gridCol w:w="146"/>
        <w:gridCol w:w="406"/>
        <w:gridCol w:w="25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cbll-ex32_1.htm"/>
      <w:bookmarkStart w:id="34" w:name="kscbllex32_1"/>
      <w:bookmarkEnd w:id="33"/>
      <w:bookmarkEnd w:id="34"/>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cbll-ex32_2.htm"/>
      <w:bookmarkStart w:id="36" w:name="kscbllex32_2"/>
      <w:bookmarkEnd w:id="35"/>
      <w:bookmarkEnd w:id="36"/>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CeriBell,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107/000095017024114767/cbll-ex3_1.htm" TargetMode="External"/><Relationship Id="rId3" Type="http://schemas.openxmlformats.org/officeDocument/2006/relationships/hyperlink" Target="https://www.sec.gov/Archives/edgar/data/1861107/000095017024114767/cbll-ex3_2.htm" TargetMode="External"/><Relationship Id="rId4" Type="http://schemas.openxmlformats.org/officeDocument/2006/relationships/hyperlink" Target="https://www.sec.gov/Archives/edgar/data/1861107/000095017024108128/cbll-ex4_01.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142901</Words>
  <Characters>773087</Characters>
  <CharactersWithSpaces>915378</CharactersWithSpaces>
  <Paragraphs>8746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