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139065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80" w:hanging="3639"/>
        <w:spacing w:after="0" w:line="365"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040" w:right="1600" w:hanging="4019"/>
        <w:spacing w:after="0" w:line="375" w:lineRule="auto"/>
        <w:tabs>
          <w:tab w:leader="none" w:pos="47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001-42364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CeriBell, Inc.</w:t>
      </w:r>
    </w:p>
    <w:p>
      <w:pPr>
        <w:sectPr>
          <w:pgSz w:w="11900" w:h="16838" w:orient="portrait"/>
          <w:cols w:equalWidth="0" w:num="1">
            <w:col w:w="11240"/>
          </w:cols>
          <w:pgMar w:left="320" w:top="225"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360 N. Pastoria Avenue</w:t>
      </w:r>
    </w:p>
    <w:p>
      <w:pPr>
        <w:spacing w:after="0" w:line="12"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Sunnyvale,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47-1785452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94085</w:t>
      </w:r>
    </w:p>
    <w:p>
      <w:pPr>
        <w:spacing w:after="0" w:line="27" w:lineRule="exact"/>
        <w:rPr>
          <w:sz w:val="24"/>
          <w:szCs w:val="24"/>
          <w:color w:val="auto"/>
        </w:rPr>
      </w:pPr>
    </w:p>
    <w:p>
      <w:pPr>
        <w:sectPr>
          <w:pgSz w:w="11900" w:h="16838" w:orient="portrait"/>
          <w:cols w:equalWidth="0" w:num="2">
            <w:col w:w="7700" w:space="240"/>
            <w:col w:w="3300"/>
          </w:cols>
          <w:pgMar w:left="320" w:top="225"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436-0826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CBLL</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spacing w:after="0" w:line="184" w:lineRule="exact"/>
        <w:tabs>
          <w:tab w:leader="none" w:pos="8060" w:val="left"/>
          <w:tab w:leader="none" w:pos="8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4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October 30, 2026, the registrant had 38,835,010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3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563C1"/>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Condensed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563C1"/>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563C1"/>
            </w:tcBorders>
            <w:shd w:val="clear" w:color="auto" w:fill="0000EE"/>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Notes to Condensed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680" w:type="dxa"/>
            <w:vAlign w:val="bottom"/>
            <w:gridSpan w:val="3"/>
            <w:shd w:val="clear" w:color="auto" w:fill="0563C1"/>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2120" w:type="dxa"/>
            <w:vAlign w:val="bottom"/>
            <w:tcBorders>
              <w:left w:val="single" w:sz="8" w:color="0563C1"/>
            </w:tcBorders>
            <w:gridSpan w:val="2"/>
            <w:shd w:val="clear" w:color="auto" w:fill="0563C1"/>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4960" w:type="dxa"/>
            <w:vAlign w:val="bottom"/>
            <w:tcBorders>
              <w:left w:val="single" w:sz="8" w:color="0563C1"/>
            </w:tcBorders>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vMerge w:val="continue"/>
          </w:tcPr>
          <w:p>
            <w:pPr>
              <w:spacing w:after="0"/>
              <w:rPr>
                <w:sz w:val="24"/>
                <w:szCs w:val="24"/>
                <w:color w:val="auto"/>
              </w:rPr>
            </w:pP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563C1"/>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20" w:type="dxa"/>
            <w:vAlign w:val="bottom"/>
            <w:tcBorders>
              <w:left w:val="single" w:sz="8" w:color="0563C1"/>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4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Signatures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about us and our industry that involve substantial risks and uncertainties. All statements other than statements of historical facts contained in this Quarterly Report, including statements regarding our strategy, future financial condition, future operations, projected costs, prospects, plans, objectives of management, and expected market growth, are forward-looking statements. In some cases, you can identify forward-looking statements by words such as “anticipates,” “believes,” “continue,” “could,” “estimates,” “expects,” “forecast,” “guidance,” “intends,” “likely,” “may,” “ongoing,” “plans,” “potential,” “predicts,” “projects,” “seeks,” “should,” “target,” “will,” or “would,” or the negative of these words or other similar terms or expressions.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Forward-looking statements in this Quarterly Report include statements regarding our growth strategy and plans for new features, indications, and markets, the timing and outcome of regulatory clearances, coverage and reimbursement, and our commercialization and manufacturing capabilities. They also include statements regarding the effect of tariffs, our legal proceedings, our capital requirements and compliance with our credit facility, and the period during which we will remain an emerging growth company under the Jumpstart Our Business Startups Act (the “JOBS Act”).</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these statements primarily on our current expectations and projections about future events and trends that we believe may affect our business, financial condition, results of operations, and prospects. Although we believe that we have a reasonable basis for each forward-looking statement, we cannot guarantee that the future results, levels of activity, performance, or events reflected in them will be achieved or occur at all. These statements are subject to risks, uncertainties, and other factors described in Part II, Item 1A. “Risk Factors” and elsewhere in this Quarterly Report, in our Annual Report on Form 10-K for the year ended December 31, 2025, and in our other filings with the Securities and Exchange Commission (the “SEC”). We operate in a very competitive and rapidly changing environment. New risks emerge from time to time, and it is not possible for us to predict all risks and uncertainties that could have an impact on the forward-looking statements contained in this Quarterly Report. Actual results, events, or circumstances could therefore differ materially from those described in our forward-looking statements.</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forward-looking statements speak only as of the date of this Quarterly Report, and, except as required by law, we undertake no obligation to update them to reflect later events or circumstances or new information. They do not reflect the potential impact of any future acquisitions, mergers, dispositions, joint ventures, or investments we may make. We intend our forward-looking statements to be covered by the safe harbor provisions of Section 27A of the Securities Act of 1933, as amended (the “Securities Act”), and Section 21E of the Securities Exchange Act of 1934, as amended (the “Exchange Act”).</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and the documents we have filed as exhibits with the understanding that our actual future results may be materially different from what we expect. We qualify all of our forward-looking statements by these cautionary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41,989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40,476</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75,478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118,785</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17,792</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15,053</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6,955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7,288</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Contract costs, current</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2,232</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2,210</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2,991</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2,906</w:t>
            </w: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147,437</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186,718</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1,774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2,030</w:t>
            </w: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1,516</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2,296</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Contract costs, long-term</w:t>
            </w:r>
          </w:p>
        </w:tc>
        <w:tc>
          <w:tcPr>
            <w:tcW w:w="20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1,503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1,847</w:t>
            </w: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4,140</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2,912</w:t>
            </w: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156,370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195,803</w:t>
            </w: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2,334</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2,838</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14,059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14,328</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230</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 current</w:t>
            </w:r>
          </w:p>
        </w:tc>
        <w:tc>
          <w:tcPr>
            <w:tcW w:w="20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1,218</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1,105</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193</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818</w:t>
            </w:r>
          </w:p>
        </w:tc>
      </w:tr>
      <w:tr>
        <w:trPr>
          <w:trHeight w:val="19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18,034</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19,190</w:t>
            </w: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Long-term liabilities</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Notes payable, long-term</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20,000</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19,811</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 long-term</w:t>
            </w:r>
          </w:p>
        </w:tc>
        <w:tc>
          <w:tcPr>
            <w:tcW w:w="20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106</w:t>
            </w:r>
          </w:p>
        </w:tc>
      </w:tr>
      <w:tr>
        <w:trPr>
          <w:trHeight w:val="203"/>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432</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1,360</w:t>
            </w: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long-term liabilities</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20,799</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21,277</w:t>
            </w: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38,833</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40,467</w:t>
            </w:r>
          </w:p>
        </w:tc>
      </w:tr>
      <w:tr>
        <w:trPr>
          <w:trHeight w:val="196"/>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 xml:space="preserve">Commitments and contingencies </w:t>
            </w:r>
            <w:r>
              <w:rPr>
                <w:rFonts w:ascii="Times New Roman" w:cs="Times New Roman" w:eastAsia="Times New Roman" w:hAnsi="Times New Roman"/>
                <w:sz w:val="16"/>
                <w:szCs w:val="16"/>
                <w:color w:val="auto"/>
              </w:rPr>
              <w:t>(Note 7)</w:t>
            </w: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Preferred stock, $0.001 par value;</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Authorized shares: 10,000,000 as of September 30, 2026 and December 31, 2025</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Issued and outstanding shares: none as of September 30, 2026 and December 31, 2025</w:t>
            </w:r>
          </w:p>
        </w:tc>
        <w:tc>
          <w:tcPr>
            <w:tcW w:w="20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Authorized shares: 500,000,000 as of September 30, 2026 and December 31, 2025</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Issued and outstanding shares: 38,820,703 and 37,485,124 as of September 30, 2026 and December 31, 2025,</w:t>
            </w: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398,353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375,495</w:t>
            </w:r>
          </w:p>
        </w:tc>
      </w:tr>
      <w:tr>
        <w:trPr>
          <w:trHeight w:val="202"/>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159</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(280,712)</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(220,356)</w:t>
            </w:r>
          </w:p>
        </w:tc>
      </w:tr>
      <w:tr>
        <w:trPr>
          <w:trHeight w:val="19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117,537</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155,336</w:t>
            </w: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156,370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195,803</w:t>
            </w:r>
          </w:p>
        </w:tc>
      </w:tr>
      <w:tr>
        <w:trPr>
          <w:trHeight w:val="20"/>
        </w:trPr>
        <w:tc>
          <w:tcPr>
            <w:tcW w:w="7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-3942715</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-2630805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-2108200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-1833880</wp:posOffset>
            </wp:positionV>
            <wp:extent cx="11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-144780</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22,235</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17,020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63,667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48,551</w:t>
            </w:r>
          </w:p>
        </w:tc>
      </w:tr>
      <w:tr>
        <w:trPr>
          <w:trHeight w:val="216"/>
        </w:trPr>
        <w:tc>
          <w:tcPr>
            <w:tcW w:w="5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Subscription revenue</w:t>
            </w: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7,106</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20,266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15,728</w:t>
            </w: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29,341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22,589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83,933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64,279</w:t>
            </w: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cost of goods sold</w:t>
            </w:r>
          </w:p>
        </w:tc>
        <w:tc>
          <w:tcPr>
            <w:tcW w:w="20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7,172</w:t>
            </w:r>
          </w:p>
        </w:tc>
      </w:tr>
      <w:tr>
        <w:trPr>
          <w:trHeight w:val="216"/>
        </w:trPr>
        <w:tc>
          <w:tcPr>
            <w:tcW w:w="5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476</w:t>
            </w: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3,001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2,647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8,533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7,648</w:t>
            </w:r>
          </w:p>
        </w:tc>
      </w:tr>
      <w:tr>
        <w:trPr>
          <w:trHeight w:val="209"/>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26,340</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19,942</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75,400</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56,631</w:t>
            </w: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7,403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20,311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14,081</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71,837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54,024</w:t>
            </w:r>
          </w:p>
        </w:tc>
      </w:tr>
      <w:tr>
        <w:trPr>
          <w:trHeight w:val="216"/>
        </w:trPr>
        <w:tc>
          <w:tcPr>
            <w:tcW w:w="5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14,453</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11,037</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44,526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32,332</w:t>
            </w: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46,888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34,589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136,674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100,437</w:t>
            </w: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(20,548)</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(14,647)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(61,274)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(43,806)</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16"/>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5,349</w:t>
            </w: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(60,357)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(39,885)</w:t>
            </w:r>
          </w:p>
        </w:tc>
      </w:tr>
      <w:tr>
        <w:trPr>
          <w:trHeight w:val="216"/>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(21,351)</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(60,357)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(39,885)</w:t>
            </w: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2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187"/>
        </w:trPr>
        <w:tc>
          <w:tcPr>
            <w:tcW w:w="53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Weighted-average shares used in computing net loss per share</w:t>
            </w: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238"/>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attributable to common stockholders:</w:t>
            </w: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38,500,027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36,806,918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38,068,145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36,326,792</w:t>
            </w: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00" w:type="dxa"/>
            <w:vAlign w:val="bottom"/>
            <w:shd w:val="clear" w:color="auto" w:fill="CAEEFB"/>
          </w:tcPr>
          <w:p>
            <w:pPr>
              <w:spacing w:after="0"/>
              <w:rPr>
                <w:sz w:val="18"/>
                <w:szCs w:val="18"/>
                <w:color w:val="auto"/>
              </w:rPr>
            </w:pPr>
          </w:p>
        </w:tc>
        <w:tc>
          <w:tcPr>
            <w:tcW w:w="1200" w:type="dxa"/>
            <w:vAlign w:val="bottom"/>
            <w:shd w:val="clear" w:color="auto" w:fill="CAEEFB"/>
          </w:tcPr>
          <w:p>
            <w:pPr>
              <w:spacing w:after="0"/>
              <w:rPr>
                <w:sz w:val="18"/>
                <w:szCs w:val="18"/>
                <w:color w:val="auto"/>
              </w:rPr>
            </w:pPr>
          </w:p>
        </w:tc>
        <w:tc>
          <w:tcPr>
            <w:tcW w:w="120" w:type="dxa"/>
            <w:vAlign w:val="bottom"/>
            <w:shd w:val="clear" w:color="auto" w:fill="CAEEFB"/>
          </w:tcPr>
          <w:p>
            <w:pPr>
              <w:spacing w:after="0"/>
              <w:rPr>
                <w:sz w:val="18"/>
                <w:szCs w:val="18"/>
                <w:color w:val="auto"/>
              </w:rPr>
            </w:pPr>
          </w:p>
        </w:tc>
        <w:tc>
          <w:tcPr>
            <w:tcW w:w="280" w:type="dxa"/>
            <w:vAlign w:val="bottom"/>
            <w:shd w:val="clear" w:color="auto" w:fill="CAEEFB"/>
          </w:tcPr>
          <w:p>
            <w:pPr>
              <w:spacing w:after="0"/>
              <w:rPr>
                <w:sz w:val="18"/>
                <w:szCs w:val="18"/>
                <w:color w:val="auto"/>
              </w:rPr>
            </w:pPr>
          </w:p>
        </w:tc>
        <w:tc>
          <w:tcPr>
            <w:tcW w:w="1120" w:type="dxa"/>
            <w:vAlign w:val="bottom"/>
            <w:shd w:val="clear" w:color="auto" w:fill="CAEEFB"/>
          </w:tcPr>
          <w:p>
            <w:pPr>
              <w:spacing w:after="0"/>
              <w:rPr>
                <w:sz w:val="18"/>
                <w:szCs w:val="18"/>
                <w:color w:val="auto"/>
              </w:rPr>
            </w:pPr>
          </w:p>
        </w:tc>
        <w:tc>
          <w:tcPr>
            <w:tcW w:w="100" w:type="dxa"/>
            <w:vAlign w:val="bottom"/>
            <w:shd w:val="clear" w:color="auto" w:fill="CAEEFB"/>
          </w:tcPr>
          <w:p>
            <w:pPr>
              <w:spacing w:after="0"/>
              <w:rPr>
                <w:sz w:val="18"/>
                <w:szCs w:val="18"/>
                <w:color w:val="auto"/>
              </w:rPr>
            </w:pPr>
          </w:p>
        </w:tc>
        <w:tc>
          <w:tcPr>
            <w:tcW w:w="200" w:type="dxa"/>
            <w:vAlign w:val="bottom"/>
            <w:shd w:val="clear" w:color="auto" w:fill="CAEEFB"/>
          </w:tcPr>
          <w:p>
            <w:pPr>
              <w:spacing w:after="0"/>
              <w:rPr>
                <w:sz w:val="18"/>
                <w:szCs w:val="18"/>
                <w:color w:val="auto"/>
              </w:rPr>
            </w:pPr>
          </w:p>
        </w:tc>
        <w:tc>
          <w:tcPr>
            <w:tcW w:w="1160" w:type="dxa"/>
            <w:vAlign w:val="bottom"/>
            <w:shd w:val="clear" w:color="auto" w:fill="CAEEFB"/>
          </w:tcPr>
          <w:p>
            <w:pPr>
              <w:spacing w:after="0"/>
              <w:rPr>
                <w:sz w:val="18"/>
                <w:szCs w:val="18"/>
                <w:color w:val="auto"/>
              </w:rPr>
            </w:pPr>
          </w:p>
        </w:tc>
        <w:tc>
          <w:tcPr>
            <w:tcW w:w="120" w:type="dxa"/>
            <w:vAlign w:val="bottom"/>
            <w:shd w:val="clear" w:color="auto" w:fill="CAEEFB"/>
          </w:tcPr>
          <w:p>
            <w:pPr>
              <w:spacing w:after="0"/>
              <w:rPr>
                <w:sz w:val="18"/>
                <w:szCs w:val="18"/>
                <w:color w:val="auto"/>
              </w:rPr>
            </w:pPr>
          </w:p>
        </w:tc>
        <w:tc>
          <w:tcPr>
            <w:tcW w:w="260" w:type="dxa"/>
            <w:vAlign w:val="bottom"/>
            <w:shd w:val="clear" w:color="auto" w:fill="CAEEFB"/>
          </w:tcPr>
          <w:p>
            <w:pPr>
              <w:spacing w:after="0"/>
              <w:rPr>
                <w:sz w:val="18"/>
                <w:szCs w:val="18"/>
                <w:color w:val="auto"/>
              </w:rPr>
            </w:pPr>
          </w:p>
        </w:tc>
        <w:tc>
          <w:tcPr>
            <w:tcW w:w="1100" w:type="dxa"/>
            <w:vAlign w:val="bottom"/>
            <w:shd w:val="clear" w:color="auto" w:fill="CAEEFB"/>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 (loss) on marketable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5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(21,402)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(13,331)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(60,659)</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(39,746)</w:t>
            </w: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-3565525</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-3565525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-3565525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-2999740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-2999740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-2999740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-2708275</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-2708275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-2708275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-2150745</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-2150745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-2150745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-1585595</wp:posOffset>
            </wp:positionV>
            <wp:extent cx="76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-1585595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-1585595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-1302385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-1302385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-1302385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820" w:type="dxa"/>
            <w:vAlign w:val="bottom"/>
          </w:tcPr>
          <w:p>
            <w:pPr>
              <w:spacing w:after="0"/>
              <w:rPr>
                <w:sz w:val="13"/>
                <w:szCs w:val="13"/>
                <w:color w:val="auto"/>
              </w:rPr>
            </w:pPr>
          </w:p>
        </w:tc>
        <w:tc>
          <w:tcPr>
            <w:tcW w:w="1880" w:type="dxa"/>
            <w:vAlign w:val="bottom"/>
            <w:gridSpan w:val="3"/>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3"/>
                <w:szCs w:val="13"/>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Accumulated 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8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78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89"/>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49"/>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37,485,124</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38</w:t>
            </w:r>
          </w:p>
        </w:tc>
        <w:tc>
          <w:tcPr>
            <w:tcW w:w="220" w:type="dxa"/>
            <w:vAlign w:val="bottom"/>
            <w:gridSpan w:val="2"/>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375,495</w:t>
            </w:r>
          </w:p>
        </w:tc>
        <w:tc>
          <w:tcPr>
            <w:tcW w:w="16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159</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(220,356)</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155,336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Issuance of restricted stock awards</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96,073</w:t>
            </w:r>
          </w:p>
        </w:tc>
        <w:tc>
          <w:tcPr>
            <w:tcW w:w="220" w:type="dxa"/>
            <w:vAlign w:val="bottom"/>
            <w:tcBorders>
              <w:top w:val="single" w:sz="8" w:color="CFF0F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278,483</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(19,737)</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(19,737)</w:t>
            </w:r>
          </w:p>
        </w:tc>
        <w:tc>
          <w:tcPr>
            <w:tcW w:w="0" w:type="dxa"/>
            <w:vAlign w:val="bottom"/>
          </w:tcPr>
          <w:p>
            <w:pPr>
              <w:spacing w:after="0"/>
              <w:rPr>
                <w:sz w:val="1"/>
                <w:szCs w:val="1"/>
                <w:color w:val="auto"/>
              </w:rPr>
            </w:pPr>
          </w:p>
        </w:tc>
      </w:tr>
      <w:tr>
        <w:trPr>
          <w:trHeight w:val="148"/>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2026</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37,859,680</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38</w:t>
            </w:r>
          </w:p>
        </w:tc>
        <w:tc>
          <w:tcPr>
            <w:tcW w:w="220" w:type="dxa"/>
            <w:vAlign w:val="bottom"/>
            <w:gridSpan w:val="2"/>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380,850</w:t>
            </w:r>
          </w:p>
        </w:tc>
        <w:tc>
          <w:tcPr>
            <w:tcW w:w="16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(240,093)</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140,813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Issuance of restricted stock awards</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204,451</w:t>
            </w:r>
          </w:p>
        </w:tc>
        <w:tc>
          <w:tcPr>
            <w:tcW w:w="220" w:type="dxa"/>
            <w:vAlign w:val="bottom"/>
            <w:tcBorders>
              <w:top w:val="single" w:sz="8" w:color="CFF0F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159,090</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5,998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(19,268)</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(19,268)</w:t>
            </w:r>
          </w:p>
        </w:tc>
        <w:tc>
          <w:tcPr>
            <w:tcW w:w="0" w:type="dxa"/>
            <w:vAlign w:val="bottom"/>
          </w:tcPr>
          <w:p>
            <w:pPr>
              <w:spacing w:after="0"/>
              <w:rPr>
                <w:sz w:val="1"/>
                <w:szCs w:val="1"/>
                <w:color w:val="auto"/>
              </w:rPr>
            </w:pPr>
          </w:p>
        </w:tc>
      </w:tr>
      <w:tr>
        <w:trPr>
          <w:trHeight w:val="148"/>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2026</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38,223,221</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39</w:t>
            </w:r>
          </w:p>
        </w:tc>
        <w:tc>
          <w:tcPr>
            <w:tcW w:w="220" w:type="dxa"/>
            <w:vAlign w:val="bottom"/>
            <w:gridSpan w:val="2"/>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387,727</w:t>
            </w:r>
          </w:p>
        </w:tc>
        <w:tc>
          <w:tcPr>
            <w:tcW w:w="16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(92)</w:t>
            </w:r>
          </w:p>
        </w:tc>
        <w:tc>
          <w:tcPr>
            <w:tcW w:w="200" w:type="dxa"/>
            <w:vAlign w:val="bottom"/>
            <w:gridSpan w:val="2"/>
            <w:shd w:val="clear" w:color="auto" w:fill="CFF0FC"/>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(259,361)</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128,313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Issuance of restricted stock awards</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183,176</w:t>
            </w:r>
          </w:p>
        </w:tc>
        <w:tc>
          <w:tcPr>
            <w:tcW w:w="220" w:type="dxa"/>
            <w:vAlign w:val="bottom"/>
            <w:tcBorders>
              <w:top w:val="single" w:sz="8" w:color="CFF0F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414,306</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7,099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(21,351)</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(21,351)</w:t>
            </w:r>
          </w:p>
        </w:tc>
        <w:tc>
          <w:tcPr>
            <w:tcW w:w="0" w:type="dxa"/>
            <w:vAlign w:val="bottom"/>
          </w:tcPr>
          <w:p>
            <w:pPr>
              <w:spacing w:after="0"/>
              <w:rPr>
                <w:sz w:val="1"/>
                <w:szCs w:val="1"/>
                <w:color w:val="auto"/>
              </w:rPr>
            </w:pPr>
          </w:p>
        </w:tc>
      </w:tr>
      <w:tr>
        <w:trPr>
          <w:trHeight w:val="148"/>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September 30, 2026</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38,820,703</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39</w:t>
            </w:r>
          </w:p>
        </w:tc>
        <w:tc>
          <w:tcPr>
            <w:tcW w:w="220" w:type="dxa"/>
            <w:vAlign w:val="bottom"/>
            <w:gridSpan w:val="2"/>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398,353</w:t>
            </w:r>
          </w:p>
        </w:tc>
        <w:tc>
          <w:tcPr>
            <w:tcW w:w="16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(143)</w:t>
            </w:r>
          </w:p>
        </w:tc>
        <w:tc>
          <w:tcPr>
            <w:tcW w:w="200" w:type="dxa"/>
            <w:vAlign w:val="bottom"/>
            <w:gridSpan w:val="2"/>
            <w:shd w:val="clear" w:color="auto" w:fill="CFF0FC"/>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(280,712)</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117,537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820" w:type="dxa"/>
            <w:vAlign w:val="bottom"/>
          </w:tcPr>
          <w:p>
            <w:pPr>
              <w:spacing w:after="0"/>
              <w:rPr>
                <w:sz w:val="24"/>
                <w:szCs w:val="24"/>
                <w:color w:val="auto"/>
              </w:rPr>
            </w:pPr>
          </w:p>
        </w:tc>
        <w:tc>
          <w:tcPr>
            <w:tcW w:w="1880" w:type="dxa"/>
            <w:vAlign w:val="bottom"/>
            <w:gridSpan w:val="3"/>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24"/>
                <w:szCs w:val="24"/>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Accumulated Other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10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35,850,606</w:t>
            </w: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358,073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(166,944)</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191,165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awards</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12,468</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withheld for taxes</w:t>
            </w:r>
          </w:p>
        </w:tc>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(4,303)</w:t>
            </w:r>
          </w:p>
        </w:tc>
        <w:tc>
          <w:tcPr>
            <w:tcW w:w="7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pursuant to stock option exercises</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38,291</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(12,777)</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(12,777)</w:t>
            </w:r>
          </w:p>
        </w:tc>
        <w:tc>
          <w:tcPr>
            <w:tcW w:w="0" w:type="dxa"/>
            <w:vAlign w:val="bottom"/>
          </w:tcPr>
          <w:p>
            <w:pPr>
              <w:spacing w:after="0"/>
              <w:rPr>
                <w:sz w:val="1"/>
                <w:szCs w:val="1"/>
                <w:color w:val="auto"/>
              </w:rPr>
            </w:pPr>
          </w:p>
        </w:tc>
      </w:tr>
      <w:tr>
        <w:trPr>
          <w:trHeight w:val="148"/>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2025</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35,897,062</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36</w:t>
            </w:r>
          </w:p>
        </w:tc>
        <w:tc>
          <w:tcPr>
            <w:tcW w:w="120" w:type="dxa"/>
            <w:vAlign w:val="bottom"/>
            <w:shd w:val="clear" w:color="auto" w:fill="CFF0FC"/>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360,572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(179,721)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180,881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awards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48,215</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Tax withholding related to settlement or vesting of equity</w:t>
            </w:r>
          </w:p>
        </w:tc>
        <w:tc>
          <w:tcPr>
            <w:tcW w:w="11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71"/>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awards</w:t>
            </w:r>
          </w:p>
        </w:tc>
        <w:tc>
          <w:tcPr>
            <w:tcW w:w="1100" w:type="dxa"/>
            <w:vAlign w:val="bottom"/>
            <w:gridSpan w:val="2"/>
            <w:vMerge w:val="continue"/>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pursuant to stock option exercises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654,386</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3,167</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(13,643)</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(13,643)</w:t>
            </w:r>
          </w:p>
        </w:tc>
        <w:tc>
          <w:tcPr>
            <w:tcW w:w="0" w:type="dxa"/>
            <w:vAlign w:val="bottom"/>
          </w:tcPr>
          <w:p>
            <w:pPr>
              <w:spacing w:after="0"/>
              <w:rPr>
                <w:sz w:val="1"/>
                <w:szCs w:val="1"/>
                <w:color w:val="auto"/>
              </w:rPr>
            </w:pPr>
          </w:p>
        </w:tc>
      </w:tr>
      <w:tr>
        <w:trPr>
          <w:trHeight w:val="149"/>
        </w:trPr>
        <w:tc>
          <w:tcPr>
            <w:tcW w:w="38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2025</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36,599,663</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365,477</w:t>
            </w:r>
          </w:p>
        </w:tc>
        <w:tc>
          <w:tcPr>
            <w:tcW w:w="16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Pr>
          <w:p>
            <w:pPr>
              <w:spacing w:after="0"/>
              <w:rPr>
                <w:sz w:val="12"/>
                <w:szCs w:val="12"/>
                <w:color w:val="auto"/>
              </w:rPr>
            </w:pPr>
          </w:p>
        </w:tc>
        <w:tc>
          <w:tcPr>
            <w:tcW w:w="200" w:type="dxa"/>
            <w:vAlign w:val="bottom"/>
            <w:gridSpan w:val="2"/>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(193,364)</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172,155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Issuance of restricted stock awards</w:t>
            </w: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60,927</w:t>
            </w:r>
          </w:p>
        </w:tc>
        <w:tc>
          <w:tcPr>
            <w:tcW w:w="22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Tax withholding related to settlement or vesting of equity</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(5,445)</w:t>
            </w:r>
          </w:p>
        </w:tc>
        <w:tc>
          <w:tcPr>
            <w:tcW w:w="7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11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393,252</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(13,465)</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(13,465)</w:t>
            </w: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37,048,397</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38</w:t>
            </w:r>
          </w:p>
        </w:tc>
        <w:tc>
          <w:tcPr>
            <w:tcW w:w="220" w:type="dxa"/>
            <w:vAlign w:val="bottom"/>
            <w:gridSpan w:val="2"/>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370,733</w:t>
            </w:r>
          </w:p>
        </w:tc>
        <w:tc>
          <w:tcPr>
            <w:tcW w:w="16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139</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(206,829)</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164,081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-4491355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-4491355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-4491355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-4491355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-4491355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-4491355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-3908425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-3908425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-3908425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-3908425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-3908425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-3908425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-3325495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-3325495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-3325495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-3325495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-3325495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-3325495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-2742565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-2742565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-2742565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-2742565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-2742565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-2742565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-882015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-882015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-882015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-882015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-882015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500" w:type="dxa"/>
            <w:vAlign w:val="bottom"/>
            <w:tcBorders>
              <w:bottom w:val="single" w:sz="8" w:color="auto"/>
            </w:tcBorders>
            <w:gridSpan w:val="5"/>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(60,357)</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(39,885)</w:t>
            </w: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r>
      <w:tr>
        <w:trPr>
          <w:trHeight w:val="216"/>
        </w:trPr>
        <w:tc>
          <w:tcPr>
            <w:tcW w:w="6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Noncash lease expense</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16,820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8,864</w:t>
            </w:r>
          </w:p>
        </w:tc>
      </w:tr>
      <w:tr>
        <w:trPr>
          <w:trHeight w:val="216"/>
        </w:trPr>
        <w:tc>
          <w:tcPr>
            <w:tcW w:w="6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 and accretion of premium on term loans</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Accretion (amortization) of discount and premium on marketable securities</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16"/>
        </w:trPr>
        <w:tc>
          <w:tcPr>
            <w:tcW w:w="6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on disposal of property and equipment and recorders</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16"/>
        </w:trPr>
        <w:tc>
          <w:tcPr>
            <w:tcW w:w="6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913</w:t>
            </w:r>
          </w:p>
        </w:tc>
      </w:tr>
      <w:tr>
        <w:trPr>
          <w:trHeight w:val="216"/>
        </w:trPr>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6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Contract costs</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interest on marketable securities</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1,156</w:t>
            </w:r>
          </w:p>
        </w:tc>
      </w:tr>
      <w:tr>
        <w:trPr>
          <w:trHeight w:val="216"/>
        </w:trPr>
        <w:tc>
          <w:tcPr>
            <w:tcW w:w="67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Contract liabilities and deferred revenue</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7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 liabilities, long-term</w:t>
            </w:r>
          </w:p>
        </w:tc>
        <w:tc>
          <w:tcPr>
            <w:tcW w:w="10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(45,238)</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(30,034)</w:t>
            </w:r>
          </w:p>
        </w:tc>
      </w:tr>
      <w:tr>
        <w:trPr>
          <w:trHeight w:val="21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recorder components and recorders</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(188,775)</w:t>
            </w: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15,299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0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117,500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45,500</w:t>
            </w:r>
          </w:p>
        </w:tc>
      </w:tr>
      <w:tr>
        <w:trPr>
          <w:trHeight w:val="210"/>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0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42,659</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(144,245)</w:t>
            </w:r>
          </w:p>
        </w:tc>
      </w:tr>
      <w:tr>
        <w:trPr>
          <w:trHeight w:val="21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related to employee stock plans</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6,039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3,798</w:t>
            </w: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revolving line of credit</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revolving line of credit</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on term loan debt</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debt extinguishment</w:t>
            </w:r>
          </w:p>
        </w:tc>
        <w:tc>
          <w:tcPr>
            <w:tcW w:w="10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4,092</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3,648</w:t>
            </w:r>
          </w:p>
        </w:tc>
      </w:tr>
      <w:tr>
        <w:trPr>
          <w:trHeight w:val="21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(170,631)</w:t>
            </w:r>
          </w:p>
        </w:tc>
      </w:tr>
      <w:tr>
        <w:trPr>
          <w:trHeight w:val="216"/>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40,476</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194,370</w:t>
            </w:r>
          </w:p>
        </w:tc>
      </w:tr>
      <w:tr>
        <w:trPr>
          <w:trHeight w:val="209"/>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9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41,989</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23,739</w:t>
            </w:r>
          </w:p>
        </w:tc>
      </w:tr>
      <w:tr>
        <w:trPr>
          <w:trHeight w:val="21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r>
      <w:tr>
        <w:trPr>
          <w:trHeight w:val="216"/>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9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1,141</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1,430</w:t>
            </w: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w:t>
            </w:r>
          </w:p>
        </w:tc>
        <w:tc>
          <w:tcPr>
            <w:tcW w:w="10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38"/>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Recorder components included in accounts payable and accrued expenses</w:t>
            </w: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-3236595</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-2113915</wp:posOffset>
            </wp:positionV>
            <wp:extent cx="1111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-999490</wp:posOffset>
            </wp:positionV>
            <wp:extent cx="1111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-716280</wp:posOffset>
            </wp:positionV>
            <wp:extent cx="111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CeriBell, Inc. (the “Company” or “Ceribell”) was incorporated in the state of Delaware as Brain Stethoscope, Inc., on August 29, 2014, and changed its name to CeriBell, Inc. on August 11, 2015, and maintains its principal office in Sunnyvale, California. The Company is a commercial-stage medical technology company focused on transforming the diagnosis and management of patients with serious neurological conditions.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developed the Ceribell System, a novel, point-of-care electroencephalography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Company’s principal sources of liquidity consisted of $117.5 million of cash, cash equivalents, and marketable securities.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operating losses and negative cash flows from operations since its inception. On September 30, 2026, the Company had an accumulated deficit of $280.7 million. Such losses primarily resulted from the costs incurred in the development and sales and marketing of the Company’s products and building the Company’s organization. The Company expects to incur losses in the near term as it continues to focus on the development and promotion of new and existing products and expand its corporate infrastructure, including the costs associated with being a public company.</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the Company’s current operating plan, the Company believes that its existing cash and cash equivalents and marketable securities will be sufficient to fund the Company’s planned operating expenses and capital expenditure requirements for at least the next 12 months from the date of issuance of these financial statements.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However, the Company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license other businesses, assets, or technologies. The Company’s future capital needs will depend upon many factors, including the market acceptance of the Company’s products, the cost and pace of developing new products, and the costs of supporting sales growth.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medical device industry, including, but not limited to, new technological innovations, dependence upon third-party payers to provide adequate coverage and reimbursement, dependence on key personnel, dependence on key suppliers, protection of proprietary technology, product liability, and compliance with government regulations. There can be no assurance that the Company’s products or services will be accepted in the marketplace, nor can there be any assurance that any future products or services can be developed or manufactured at an acceptable cost and with appropriate performance characteristics, or that such products or services will be successfully marketed, if at all. These factors could have a material adverse effect on the Company’s future financial results, financial position, and cash flow.</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inflationary and supply chain pressures may adversely impact the Company’s future financial results. The Company’s operating costs have increased and may continue to increase because of these pressures, and the Company may not be able to fully offset these cost increases by raising prices for products or subscription fees, which could result in downward pressure on margins.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Adverse economic conditions in the U.S., including any economic disruptions related to another or worsening global pandemic or a recession, could negatively impact the Company’s revenues and results of operations. The global credit and financial markets continue to experience volatility and disruptions, including diminished liquidity and credit availability, increased concerns about inflation, and uncertainty about economic stability. Events including a potential recession have caused economic, market, and political uncertainty. Volatility and disruption of financial markets could limit the Company’s customers’ ability to obtain adequate financing or credit to purchase and pay for products in a timely manner or to maintain operations, which could result in a decrease in sales volume that could harm the Company’s results of operations. General concerns about the fundamental soundness of the U.S. economy may also cause customers to reduce their purchases. Changes in governmental banking, monetary, and fiscal policies to address liquidity and increase credit availability may not be effective. Continuation or further deterioration of these financial and macroeconomic conditions could harm the Company’s sales, profitability, and results of operations.</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utilizes contract manufacturers in China and Vietnam to supply key sub-assemblies for its primary products. In addition, political instability or the deterioration of trade relations between the United States and either of these countries could adversely impact the Company’s business.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To minimize supply chain disruptions, the Company continues to maintain sufficient supplies of inventory of manufactured components and parts needed to meet forecast production demand.</w:t>
      </w:r>
    </w:p>
    <w:p>
      <w:pPr>
        <w:spacing w:after="0" w:line="200" w:lineRule="exact"/>
        <w:rPr>
          <w:sz w:val="20"/>
          <w:szCs w:val="20"/>
          <w:color w:val="auto"/>
        </w:rPr>
      </w:pPr>
    </w:p>
    <w:p>
      <w:pPr>
        <w:spacing w:after="0" w:line="2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and pursuant to the rules and regulations of the SEC.</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interim condensed financial statements have been prepared on the same basis as the annual financial statements and, in the opinion of management, reflect all adjustments, which include only normal recurring adjustments, necessary to a fair statement of the Company’s financial position as of September 30, 2026, and the results of its operations for the three and nine months ended September 30, 2026 and 2025 and cash flows for the nine months ended September 30, 2026 and 2025. The condensed balance sheet at December 31, 2025, was derived from audited annual financial statements but does not contain all of the footnote disclosures from the annual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Significant Judgments, and Use of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expenses during the reporting period. Actual results could differ from those estimates and assumptions, and such differences could be material to the Company’s financial position and results of operations. Significant estimates and assumptions include, but are not limited to, revenue recognition and valuation of the Company’s options to purchase common stock for purposes of accounting for stock-based compensation.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 The Company’s cash and cash equivalents are invested in checking accounts and money market funds. The Company has not experienced any losses to date.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are derived solely from product and subscription sales to customers located in the United States. The Company performs periodic evaluations of its customers’ financial condition and generally requires no collateral from its customers. Credit losses historically have not been significant. No customers comprised 10% or more of the Company’s revenue for the three and nine months ended September 30, 2026 and 2025. No customers comprised 10% or more of the Company’s accounts receivable balance as of September 30, 2026, or December 31, 2025.</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the Company maintains balances, could adversely impact liquidity and financial performance. There can be no assurance that the Company’s deposits in excess of the Federal Deposit Insurance Corporation (“FDIC”) or other comparable insurance limits will be backstopped by the U.S. or applicable foreign governments, or that any bank or financial institution with which the Company does business will be able to obtain needed liquidity from other banks,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government institutions, or by acquisition in the event of a failure or liquidity crisis. The Company’s cash and cash equivalents are primarily held in money market funds.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Segment and Geographic Areas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The Company generates revenue from two recurring sources. Product revenue is generated by the sale of the Company’s disposable headbands and headcaps (“Wearables”) that are intended for single patient use. Subscription revenue is generated by monthly subscription fees charged to the Company’s hospital customers for use of Clarity, recorders, and its portal. The Company has one reportable segment due to the similar customer base of its products and subscriptions and similarities in: economic characteristics; nature and compatibility of products and subscriptions; and procurement, manufacturing and distribution processes.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accordance with the “Segment Reporting” Topic of the Accounting Standards Codification (“ASC”), the Company’s Chief Executive Officer is the Chief Operating Decision Maker (“CODM”). The Company’s measure of segment profit or loss is loss from operations. The CODM utilizes the Company’s financial information such as loss from operations derived from revenues and operating expenses included in the Company forecast, performance metrics, and budget versus actual analyses on an aggregate basis for purposes of evaluating financial performance and how to best allocate resources across functions when developing and reviewing the annual budget to achieve the Company’s long-term objectives. Significant expenses regularly provided to the CODM within loss from operations include cost of revenue, research and development, sales and marketing, and general and administrative expenses, which are each separately presented on the Company’s Statements of Operations and Comprehensive Loss. The measure of segment assets is reported on the Balance Sheets as total assets. Since the Company operates in one segment, all accounting policies and financial information required by “Segment Reporting” can be found in the summary of significant accounting policies, the revenue footnote, and the annual financial statements. All of the Company’s revenue was in the United States for the three and nine months ended September 30, 2026 and 2025. Long-lived assets held outside of the United States were $0.9 million as of both September 30, 2026 and December 31,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an in-license arrangement with Stanford University whereby the Company owes low-single digit royalty percentages related to revenue that is derived pursuant to in-licensed technologies, subject to a minimum payment. Royalty obligations are expensed as cost of revenue in the statements of operations and comprehensive loss, when incurred or over the minimum royalty periods and have not been material. On June 12, 2025, the Company extended the exclusivity of the licensed patents to the date the last licensed patent expires in May 2036 for a term exercise fee of $250,000. As the in-licensed technologies are used to generate revenue, the exercise fee has been deferred in other assets and will be amortized to cost of revenue on a straight-line basis through May 2036.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Emergency Economic Powers Act (“IEEPA”) Tariffs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20, 2026, a U.S. Supreme Court ruling invalidated tariffs imposed under the IEEPA. The Company estimates it has paid approximately $1.6 million under the IEEPA tariffs. On April 20, 2026, the U.S. Customs and Border Protection (“CBP”) launched an online portal referred to as the Consolidated Administration and Processing of Entries (“CAPE”) that can be used to submit IEEPA tariff refund requests. All requests are reviewed by the CBP to determine validity prior to the issuance of refunds.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2026, the Company recognized refunds of $1.6 million under the requirements of ASC 450, Contingencies. Of this refund amount, $1.0 million was recognized as a reduction of cost of goods sold for product that had been sold and the remaining $0.6 million related to inventory on hand as of June 30,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paid Dr. Parvizi, a Director and Co-Founder of the Company, for consulting services and reimbursement of related expenses and recorded such amounts as general and administrative expenses within the statements of operations and comprehensive loss. Expenses related to Dr. Parvizi were $51,000 and $49,000 for the three months ended September 30, 2026 and 2025, respectively, and $148,000 and $146,000 for the nine months ended September 30, 2026 and 2025,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2024-03 Disaggregation of Income Statement Expenses. The amendment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w:t>
      </w:r>
    </w:p>
    <w:p>
      <w:pPr>
        <w:sectPr>
          <w:pgSz w:w="11900" w:h="16838" w:orient="portrait"/>
          <w:cols w:equalWidth="0" w:num="1">
            <w:col w:w="11240"/>
          </w:cols>
          <w:pgMar w:left="320" w:top="117" w:right="339" w:bottom="1440" w:gutter="0" w:footer="0" w:header="0"/>
        </w:sectPr>
      </w:pP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either (1) prospectively to financial statements issued for reporting periods after the effective date of this ASU or (2) retrospectively to all prior periods presented in the financial statements. The Company is currently evaluating the impact this ASU will have on the Company’s disclosures.</w:t>
      </w:r>
    </w:p>
    <w:p>
      <w:pPr>
        <w:spacing w:after="0" w:line="266"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disaggregated revenue from contracts with customers by the nature of products and services provided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4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5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EEG recorders and Wearables sales, point in time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22,235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17,020</w:t>
            </w:r>
          </w:p>
        </w:tc>
        <w:tc>
          <w:tcPr>
            <w:tcW w:w="160" w:type="dxa"/>
            <w:vAlign w:val="bottom"/>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63,667</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48,551</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EEG portal and Clarity subscriptions and recorder loans, over time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7,106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5,569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20,266</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15,728</w:t>
            </w:r>
          </w:p>
        </w:tc>
      </w:tr>
      <w:tr>
        <w:trPr>
          <w:trHeight w:val="209"/>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29,341</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22,589</w:t>
            </w:r>
          </w:p>
        </w:tc>
        <w:tc>
          <w:tcPr>
            <w:tcW w:w="160" w:type="dxa"/>
            <w:vAlign w:val="bottom"/>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83,933</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64,279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-7620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102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Currently, the Company’s customers are solely in the United States.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capitalizes sales commissions that are considered to be incremental to the acquisition of customer contracts and amortizes them over an estimated period of benefit. To determine the period of benefit of its deferred commissions, the Company evaluates the type of commissions, the nature of the related benefit, and the specific facts and circumstances of its arrangements. The Company determines the period of benefit for commissions paid for the acquisition of the initial subscription contract by taking into consideration its average customer life, which is generally assumed to be three years. The Company evaluates these assumptions at least annually and periodically reviews whether events or changes in circumstances have occurred that could impact the period of benefit.</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elected to utilize the practical expedient to expense sales commissions with an amortization period of less than one year and capitalize sales commissions that are considered to be incremental costs of obtaining contracts with an amortization period greater than one year.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breakdown of capitalized contract costs (in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cost balance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96646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646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costs capitalized during the period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costs amortized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96646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646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 as of period end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 and Performance Obligations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1055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9" w:lineRule="exact"/>
        <w:rPr>
          <w:sz w:val="20"/>
          <w:szCs w:val="20"/>
          <w:color w:val="auto"/>
        </w:rPr>
      </w:pPr>
    </w:p>
    <w:p>
      <w:pPr>
        <w:ind w:left="1220" w:hanging="1218"/>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3,736</w:t>
      </w:r>
    </w:p>
    <w:p>
      <w:pPr>
        <w:spacing w:after="0" w:line="19"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(666)</w:t>
      </w:r>
    </w:p>
    <w:p>
      <w:pPr>
        <w:spacing w:after="0" w:line="41" w:lineRule="exact"/>
        <w:rPr>
          <w:sz w:val="20"/>
          <w:szCs w:val="20"/>
          <w:color w:val="auto"/>
        </w:rPr>
      </w:pPr>
    </w:p>
    <w:p>
      <w:pPr>
        <w:ind w:left="1220" w:hanging="1218"/>
        <w:spacing w:after="0"/>
        <w:tabs>
          <w:tab w:leader="none" w:pos="12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11055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ind w:left="100" w:right="220" w:firstLine="2"/>
        <w:spacing w:after="0" w:line="264" w:lineRule="auto"/>
        <w:rPr>
          <w:sz w:val="20"/>
          <w:szCs w:val="20"/>
          <w:color w:val="auto"/>
        </w:rPr>
      </w:pPr>
      <w:r>
        <w:rPr>
          <w:rFonts w:ascii="Times New Roman" w:cs="Times New Roman" w:eastAsia="Times New Roman" w:hAnsi="Times New Roman"/>
          <w:sz w:val="14"/>
          <w:szCs w:val="14"/>
          <w:b w:val="1"/>
          <w:bCs w:val="1"/>
          <w:color w:val="auto"/>
        </w:rPr>
        <w:t>For the nine months ended September 30,</w:t>
      </w:r>
    </w:p>
    <w:p>
      <w:pPr>
        <w:spacing w:after="0" w:line="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02870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0" cy="154305"/>
                    </a:xfrm>
                    <a:prstGeom prst="rect">
                      <a:avLst/>
                    </a:prstGeom>
                    <a:noFill/>
                  </pic:spPr>
                </pic:pic>
              </a:graphicData>
            </a:graphic>
          </wp:anchor>
        </w:drawing>
      </w:r>
    </w:p>
    <w:p>
      <w:pPr>
        <w:spacing w:after="0" w:line="9" w:lineRule="exact"/>
        <w:rPr>
          <w:sz w:val="20"/>
          <w:szCs w:val="20"/>
          <w:color w:val="auto"/>
        </w:rPr>
      </w:pPr>
    </w:p>
    <w:p>
      <w:pPr>
        <w:ind w:left="1100" w:hanging="1100"/>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4,057</w:t>
      </w:r>
    </w:p>
    <w:p>
      <w:pPr>
        <w:spacing w:after="0" w:line="19"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02870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0" cy="154305"/>
                    </a:xfrm>
                    <a:prstGeom prst="rect">
                      <a:avLst/>
                    </a:prstGeom>
                    <a:noFill/>
                  </pic:spPr>
                </pic:pic>
              </a:graphicData>
            </a:graphic>
          </wp:anchor>
        </w:drawing>
      </w:r>
    </w:p>
    <w:p>
      <w:pPr>
        <w:spacing w:after="0" w:line="21" w:lineRule="exact"/>
        <w:rPr>
          <w:sz w:val="20"/>
          <w:szCs w:val="20"/>
          <w:color w:val="auto"/>
        </w:rPr>
      </w:pPr>
    </w:p>
    <w:p>
      <w:pPr>
        <w:ind w:left="1100" w:hanging="1100"/>
        <w:spacing w:after="0"/>
        <w:tabs>
          <w:tab w:leader="none" w:pos="11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028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701" w:lineRule="exact"/>
        <w:rPr>
          <w:sz w:val="20"/>
          <w:szCs w:val="20"/>
          <w:color w:val="auto"/>
        </w:rPr>
      </w:pPr>
    </w:p>
    <w:p>
      <w:pPr>
        <w:sectPr>
          <w:pgSz w:w="11900" w:h="16838" w:orient="portrait"/>
          <w:cols w:equalWidth="0" w:num="3">
            <w:col w:w="6940" w:space="720"/>
            <w:col w:w="1700" w:space="260"/>
            <w:col w:w="1620"/>
          </w:cols>
          <w:pgMar w:left="320" w:top="117"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Contract liabilities consist of up-front payments received from customers primarily for the Clarity subscriptions.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breakdown of contract liabilities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90"/>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213"/>
        </w:trPr>
        <w:tc>
          <w:tcPr>
            <w:tcW w:w="7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and deferred revenue balance beginning of the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Additional contract liabilities and deferred revenue during the period</w:t>
            </w:r>
          </w:p>
        </w:tc>
        <w:tc>
          <w:tcPr>
            <w:tcW w:w="120" w:type="dxa"/>
            <w:vAlign w:val="bottom"/>
          </w:tcPr>
          <w:p>
            <w:pPr>
              <w:spacing w:after="0"/>
              <w:rPr>
                <w:sz w:val="19"/>
                <w:szCs w:val="19"/>
                <w:color w:val="auto"/>
              </w:rPr>
            </w:pPr>
          </w:p>
        </w:tc>
        <w:tc>
          <w:tcPr>
            <w:tcW w:w="16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426</w:t>
            </w:r>
          </w:p>
        </w:tc>
      </w:tr>
      <w:tr>
        <w:trPr>
          <w:trHeight w:val="229"/>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and deferred revenue recognized during the period</w:t>
            </w:r>
          </w:p>
        </w:tc>
        <w:tc>
          <w:tcPr>
            <w:tcW w:w="1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liabilities and deferred revenue as of period end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230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0" w:right="220" w:firstLine="2"/>
        <w:spacing w:after="0" w:line="264" w:lineRule="auto"/>
        <w:rPr>
          <w:sz w:val="20"/>
          <w:szCs w:val="20"/>
          <w:color w:val="auto"/>
        </w:rPr>
      </w:pPr>
      <w:r>
        <w:rPr>
          <w:rFonts w:ascii="Times New Roman" w:cs="Times New Roman" w:eastAsia="Times New Roman" w:hAnsi="Times New Roman"/>
          <w:sz w:val="14"/>
          <w:szCs w:val="14"/>
          <w:b w:val="1"/>
          <w:bCs w:val="1"/>
          <w:color w:val="auto"/>
        </w:rPr>
        <w:t>For the nine months ended September 30,</w:t>
      </w:r>
    </w:p>
    <w:p>
      <w:pPr>
        <w:spacing w:after="0" w:line="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02870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0" cy="154305"/>
                    </a:xfrm>
                    <a:prstGeom prst="rect">
                      <a:avLst/>
                    </a:prstGeom>
                    <a:noFill/>
                  </pic:spPr>
                </pic:pic>
              </a:graphicData>
            </a:graphic>
          </wp:anchor>
        </w:drawing>
      </w:r>
    </w:p>
    <w:p>
      <w:pPr>
        <w:spacing w:after="0" w:line="9" w:lineRule="exact"/>
        <w:rPr>
          <w:sz w:val="20"/>
          <w:szCs w:val="20"/>
          <w:color w:val="auto"/>
        </w:rPr>
      </w:pPr>
    </w:p>
    <w:p>
      <w:pPr>
        <w:ind w:left="1220" w:hanging="1220"/>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p>
    <w:p>
      <w:pPr>
        <w:spacing w:after="0" w:line="19"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2870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0" cy="15430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(352)</w:t>
      </w:r>
    </w:p>
    <w:p>
      <w:pPr>
        <w:spacing w:after="0" w:line="27" w:lineRule="exact"/>
        <w:rPr>
          <w:sz w:val="20"/>
          <w:szCs w:val="20"/>
          <w:color w:val="auto"/>
        </w:rPr>
      </w:pPr>
    </w:p>
    <w:p>
      <w:pPr>
        <w:ind w:left="1220" w:hanging="1220"/>
        <w:spacing w:after="0"/>
        <w:tabs>
          <w:tab w:leader="none" w:pos="12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028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9400" w:space="220"/>
            <w:col w:w="1620"/>
          </w:cols>
          <w:pgMar w:left="320" w:top="117" w:right="339" w:bottom="1440" w:gutter="0" w:footer="0" w:header="0"/>
          <w:type w:val="continuous"/>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elected not to include unfulfilled performance obligations for contracts in which the amount of revenue it recognizes is equal to the amount which the Company has a right to invoice. No revenue was recognized in the reporting period from performance obligations satisfied in previous periods. The short-term remaining performance obligations are expected to be recognized within 12 months.</w:t>
      </w:r>
    </w:p>
    <w:p>
      <w:pPr>
        <w:spacing w:after="0" w:line="280"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determining the fair value, the Company utilizes valuation techniques that maximize the use of observable inputs and minimize the unobservable inputs to the extent possible, as well as considers counterparty credit risk in its assessments of fair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and Liabilities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financial assets and liabilities according to the fair value hierarchy, measured at fair value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980" w:type="dxa"/>
            <w:vAlign w:val="bottom"/>
            <w:shd w:val="clear" w:color="auto" w:fill="CFF0FC"/>
          </w:tcPr>
          <w:p>
            <w:pPr>
              <w:spacing w:after="0"/>
              <w:rPr>
                <w:sz w:val="18"/>
                <w:szCs w:val="18"/>
                <w:color w:val="auto"/>
              </w:rPr>
            </w:pPr>
          </w:p>
        </w:tc>
        <w:tc>
          <w:tcPr>
            <w:tcW w:w="220" w:type="dxa"/>
            <w:vAlign w:val="bottom"/>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AEEFB"/>
          </w:tcPr>
          <w:p>
            <w:pPr>
              <w:jc w:val="right"/>
              <w:ind w:right="34"/>
              <w:spacing w:after="0"/>
              <w:rPr>
                <w:sz w:val="20"/>
                <w:szCs w:val="20"/>
                <w:color w:val="auto"/>
              </w:rPr>
            </w:pPr>
            <w:r>
              <w:rPr>
                <w:rFonts w:ascii="Times New Roman" w:cs="Times New Roman" w:eastAsia="Times New Roman" w:hAnsi="Times New Roman"/>
                <w:sz w:val="18"/>
                <w:szCs w:val="18"/>
                <w:color w:val="auto"/>
              </w:rPr>
              <w:t>38,085</w:t>
            </w:r>
          </w:p>
        </w:tc>
        <w:tc>
          <w:tcPr>
            <w:tcW w:w="360" w:type="dxa"/>
            <w:vAlign w:val="bottom"/>
            <w:gridSpan w:val="2"/>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AEEFB"/>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AEEFB"/>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AEEFB"/>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AEEFB"/>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AEEFB"/>
          </w:tcPr>
          <w:p>
            <w:pPr>
              <w:jc w:val="right"/>
              <w:ind w:right="54"/>
              <w:spacing w:after="0"/>
              <w:rPr>
                <w:sz w:val="20"/>
                <w:szCs w:val="20"/>
                <w:color w:val="auto"/>
              </w:rPr>
            </w:pPr>
            <w:r>
              <w:rPr>
                <w:rFonts w:ascii="Times New Roman" w:cs="Times New Roman" w:eastAsia="Times New Roman" w:hAnsi="Times New Roman"/>
                <w:sz w:val="18"/>
                <w:szCs w:val="18"/>
                <w:color w:val="auto"/>
              </w:rPr>
              <w:t>38,085</w:t>
            </w: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U.S. Treasury Bills</w:t>
            </w:r>
          </w:p>
        </w:tc>
        <w:tc>
          <w:tcPr>
            <w:tcW w:w="1980" w:type="dxa"/>
            <w:vAlign w:val="bottom"/>
            <w:shd w:val="clear" w:color="auto" w:fill="CFF0FC"/>
          </w:tcPr>
          <w:p>
            <w:pPr>
              <w:spacing w:after="0"/>
              <w:rPr>
                <w:sz w:val="18"/>
                <w:szCs w:val="18"/>
                <w:color w:val="auto"/>
              </w:rPr>
            </w:pPr>
          </w:p>
        </w:tc>
        <w:tc>
          <w:tcPr>
            <w:tcW w:w="220" w:type="dxa"/>
            <w:vAlign w:val="bottom"/>
            <w:shd w:val="clear" w:color="auto" w:fill="CAEEFB"/>
          </w:tcPr>
          <w:p>
            <w:pPr>
              <w:spacing w:after="0"/>
              <w:rPr>
                <w:sz w:val="18"/>
                <w:szCs w:val="18"/>
                <w:color w:val="auto"/>
              </w:rPr>
            </w:pPr>
          </w:p>
        </w:tc>
        <w:tc>
          <w:tcPr>
            <w:tcW w:w="1020" w:type="dxa"/>
            <w:vAlign w:val="bottom"/>
            <w:shd w:val="clear" w:color="auto" w:fill="CAEEFB"/>
          </w:tcPr>
          <w:p>
            <w:pPr>
              <w:jc w:val="right"/>
              <w:ind w:right="34"/>
              <w:spacing w:after="0"/>
              <w:rPr>
                <w:sz w:val="20"/>
                <w:szCs w:val="20"/>
                <w:color w:val="auto"/>
              </w:rPr>
            </w:pPr>
            <w:r>
              <w:rPr>
                <w:rFonts w:ascii="Times New Roman" w:cs="Times New Roman" w:eastAsia="Times New Roman" w:hAnsi="Times New Roman"/>
                <w:sz w:val="18"/>
                <w:szCs w:val="18"/>
                <w:color w:val="auto"/>
              </w:rPr>
              <w:t>3,982</w:t>
            </w:r>
          </w:p>
        </w:tc>
        <w:tc>
          <w:tcPr>
            <w:tcW w:w="140" w:type="dxa"/>
            <w:vAlign w:val="bottom"/>
            <w:shd w:val="clear" w:color="auto" w:fill="CAEEFB"/>
          </w:tcPr>
          <w:p>
            <w:pPr>
              <w:spacing w:after="0"/>
              <w:rPr>
                <w:sz w:val="18"/>
                <w:szCs w:val="18"/>
                <w:color w:val="auto"/>
              </w:rPr>
            </w:pPr>
          </w:p>
        </w:tc>
        <w:tc>
          <w:tcPr>
            <w:tcW w:w="220" w:type="dxa"/>
            <w:vAlign w:val="bottom"/>
            <w:shd w:val="clear" w:color="auto" w:fill="CAEEFB"/>
          </w:tcPr>
          <w:p>
            <w:pPr>
              <w:spacing w:after="0"/>
              <w:rPr>
                <w:sz w:val="18"/>
                <w:szCs w:val="18"/>
                <w:color w:val="auto"/>
              </w:rPr>
            </w:pPr>
          </w:p>
        </w:tc>
        <w:tc>
          <w:tcPr>
            <w:tcW w:w="1020" w:type="dxa"/>
            <w:vAlign w:val="bottom"/>
            <w:shd w:val="clear" w:color="auto" w:fill="CAEEFB"/>
          </w:tcPr>
          <w:p>
            <w:pPr>
              <w:jc w:val="right"/>
              <w:ind w:right="34"/>
              <w:spacing w:after="0"/>
              <w:rPr>
                <w:sz w:val="20"/>
                <w:szCs w:val="20"/>
                <w:color w:val="auto"/>
              </w:rPr>
            </w:pPr>
            <w:r>
              <w:rPr>
                <w:rFonts w:ascii="Times New Roman" w:cs="Times New Roman" w:eastAsia="Times New Roman" w:hAnsi="Times New Roman"/>
                <w:sz w:val="18"/>
                <w:szCs w:val="18"/>
                <w:color w:val="auto"/>
              </w:rPr>
              <w:t>40,284</w:t>
            </w:r>
          </w:p>
        </w:tc>
        <w:tc>
          <w:tcPr>
            <w:tcW w:w="140" w:type="dxa"/>
            <w:vAlign w:val="bottom"/>
            <w:shd w:val="clear" w:color="auto" w:fill="CAEEFB"/>
          </w:tcPr>
          <w:p>
            <w:pPr>
              <w:spacing w:after="0"/>
              <w:rPr>
                <w:sz w:val="18"/>
                <w:szCs w:val="18"/>
                <w:color w:val="auto"/>
              </w:rPr>
            </w:pPr>
          </w:p>
        </w:tc>
        <w:tc>
          <w:tcPr>
            <w:tcW w:w="880" w:type="dxa"/>
            <w:vAlign w:val="bottom"/>
            <w:shd w:val="clear" w:color="auto" w:fill="CAEEFB"/>
          </w:tcPr>
          <w:p>
            <w:pPr>
              <w:spacing w:after="0"/>
              <w:rPr>
                <w:sz w:val="18"/>
                <w:szCs w:val="18"/>
                <w:color w:val="auto"/>
              </w:rPr>
            </w:pPr>
          </w:p>
        </w:tc>
        <w:tc>
          <w:tcPr>
            <w:tcW w:w="380" w:type="dxa"/>
            <w:vAlign w:val="bottom"/>
            <w:shd w:val="clear" w:color="auto" w:fill="CAEEFB"/>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AEEFB"/>
          </w:tcPr>
          <w:p>
            <w:pPr>
              <w:spacing w:after="0"/>
              <w:rPr>
                <w:sz w:val="18"/>
                <w:szCs w:val="18"/>
                <w:color w:val="auto"/>
              </w:rPr>
            </w:pPr>
          </w:p>
        </w:tc>
        <w:tc>
          <w:tcPr>
            <w:tcW w:w="240" w:type="dxa"/>
            <w:vAlign w:val="bottom"/>
            <w:shd w:val="clear" w:color="auto" w:fill="CAEEFB"/>
          </w:tcPr>
          <w:p>
            <w:pPr>
              <w:spacing w:after="0"/>
              <w:rPr>
                <w:sz w:val="18"/>
                <w:szCs w:val="18"/>
                <w:color w:val="auto"/>
              </w:rPr>
            </w:pPr>
          </w:p>
        </w:tc>
        <w:tc>
          <w:tcPr>
            <w:tcW w:w="1020" w:type="dxa"/>
            <w:vAlign w:val="bottom"/>
            <w:shd w:val="clear" w:color="auto" w:fill="CAEEFB"/>
          </w:tcPr>
          <w:p>
            <w:pPr>
              <w:jc w:val="right"/>
              <w:ind w:right="54"/>
              <w:spacing w:after="0"/>
              <w:rPr>
                <w:sz w:val="20"/>
                <w:szCs w:val="20"/>
                <w:color w:val="auto"/>
              </w:rPr>
            </w:pPr>
            <w:r>
              <w:rPr>
                <w:rFonts w:ascii="Times New Roman" w:cs="Times New Roman" w:eastAsia="Times New Roman" w:hAnsi="Times New Roman"/>
                <w:sz w:val="18"/>
                <w:szCs w:val="18"/>
                <w:color w:val="auto"/>
              </w:rPr>
              <w:t>44,266</w:t>
            </w: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Notes and Bonds</w:t>
            </w:r>
          </w:p>
        </w:tc>
        <w:tc>
          <w:tcPr>
            <w:tcW w:w="1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31,212</w:t>
            </w: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31,212</w:t>
            </w:r>
          </w:p>
        </w:tc>
      </w:tr>
      <w:tr>
        <w:trPr>
          <w:trHeight w:val="209"/>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assets, </w:t>
            </w:r>
            <w:r>
              <w:rPr>
                <w:rFonts w:ascii="Times New Roman" w:cs="Times New Roman" w:eastAsia="Times New Roman" w:hAnsi="Times New Roman"/>
                <w:sz w:val="18"/>
                <w:szCs w:val="18"/>
                <w:color w:val="auto"/>
              </w:rPr>
              <w:t>at fair value</w:t>
            </w:r>
          </w:p>
        </w:tc>
        <w:tc>
          <w:tcPr>
            <w:tcW w:w="19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AEEFB"/>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42,067</w:t>
            </w:r>
          </w:p>
        </w:tc>
        <w:tc>
          <w:tcPr>
            <w:tcW w:w="140" w:type="dxa"/>
            <w:vAlign w:val="bottom"/>
            <w:tcBorders>
              <w:bottom w:val="single" w:sz="8" w:color="CAEEFB"/>
            </w:tcBorders>
            <w:shd w:val="clear" w:color="auto" w:fill="CAEEFB"/>
          </w:tcPr>
          <w:p>
            <w:pPr>
              <w:spacing w:after="0"/>
              <w:rPr>
                <w:sz w:val="18"/>
                <w:szCs w:val="18"/>
                <w:color w:val="auto"/>
              </w:rPr>
            </w:pPr>
          </w:p>
        </w:tc>
        <w:tc>
          <w:tcPr>
            <w:tcW w:w="220" w:type="dxa"/>
            <w:vAlign w:val="bottom"/>
            <w:tcBorders>
              <w:bottom w:val="single" w:sz="8" w:color="auto"/>
            </w:tcBorders>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AEEFB"/>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71,496</w:t>
            </w:r>
          </w:p>
        </w:tc>
        <w:tc>
          <w:tcPr>
            <w:tcW w:w="140" w:type="dxa"/>
            <w:vAlign w:val="bottom"/>
            <w:tcBorders>
              <w:bottom w:val="single" w:sz="8" w:color="CAEEFB"/>
            </w:tcBorders>
            <w:shd w:val="clear" w:color="auto" w:fill="CAEEFB"/>
          </w:tcPr>
          <w:p>
            <w:pPr>
              <w:spacing w:after="0"/>
              <w:rPr>
                <w:sz w:val="18"/>
                <w:szCs w:val="18"/>
                <w:color w:val="auto"/>
              </w:rPr>
            </w:pPr>
          </w:p>
        </w:tc>
        <w:tc>
          <w:tcPr>
            <w:tcW w:w="880" w:type="dxa"/>
            <w:vAlign w:val="bottom"/>
            <w:tcBorders>
              <w:bottom w:val="single" w:sz="8" w:color="auto"/>
            </w:tcBorders>
            <w:shd w:val="clear" w:color="auto" w:fill="CAEEFB"/>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CAEEFB"/>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AEEFB"/>
            </w:tcBorders>
            <w:shd w:val="clear" w:color="auto" w:fill="CAEEFB"/>
          </w:tcPr>
          <w:p>
            <w:pPr>
              <w:spacing w:after="0"/>
              <w:rPr>
                <w:sz w:val="18"/>
                <w:szCs w:val="18"/>
                <w:color w:val="auto"/>
              </w:rPr>
            </w:pPr>
          </w:p>
        </w:tc>
        <w:tc>
          <w:tcPr>
            <w:tcW w:w="240" w:type="dxa"/>
            <w:vAlign w:val="bottom"/>
            <w:tcBorders>
              <w:bottom w:val="single" w:sz="8" w:color="auto"/>
            </w:tcBorders>
            <w:shd w:val="clear" w:color="auto" w:fill="CAEEFB"/>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AEEFB"/>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113,563</w:t>
            </w:r>
          </w:p>
        </w:tc>
      </w:tr>
      <w:tr>
        <w:trPr>
          <w:trHeight w:val="358"/>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34,918</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34,918</w:t>
            </w: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U.S. Treasury Bills</w:t>
            </w:r>
          </w:p>
        </w:tc>
        <w:tc>
          <w:tcPr>
            <w:tcW w:w="1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7,900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53,329</w:t>
            </w:r>
          </w:p>
        </w:tc>
        <w:tc>
          <w:tcPr>
            <w:tcW w:w="140" w:type="dxa"/>
            <w:vAlign w:val="bottom"/>
            <w:shd w:val="clear" w:color="auto" w:fill="CFF0FC"/>
          </w:tcPr>
          <w:p>
            <w:pPr>
              <w:spacing w:after="0"/>
              <w:rPr>
                <w:sz w:val="18"/>
                <w:szCs w:val="18"/>
                <w:color w:val="auto"/>
              </w:rPr>
            </w:pPr>
          </w:p>
        </w:tc>
        <w:tc>
          <w:tcPr>
            <w:tcW w:w="880" w:type="dxa"/>
            <w:vAlign w:val="bottom"/>
            <w:shd w:val="clear" w:color="auto" w:fill="CAEEFB"/>
          </w:tcPr>
          <w:p>
            <w:pPr>
              <w:spacing w:after="0"/>
              <w:rPr>
                <w:sz w:val="18"/>
                <w:szCs w:val="18"/>
                <w:color w:val="auto"/>
              </w:rPr>
            </w:pPr>
          </w:p>
        </w:tc>
        <w:tc>
          <w:tcPr>
            <w:tcW w:w="380" w:type="dxa"/>
            <w:vAlign w:val="bottom"/>
            <w:shd w:val="clear" w:color="auto" w:fill="CAEEFB"/>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61,229</w:t>
            </w: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Notes and Bonds</w:t>
            </w:r>
          </w:p>
        </w:tc>
        <w:tc>
          <w:tcPr>
            <w:tcW w:w="1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57,556</w:t>
            </w: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57,556</w:t>
            </w:r>
          </w:p>
        </w:tc>
      </w:tr>
      <w:tr>
        <w:trPr>
          <w:trHeight w:val="20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assets, </w:t>
            </w:r>
            <w:r>
              <w:rPr>
                <w:rFonts w:ascii="Times New Roman" w:cs="Times New Roman" w:eastAsia="Times New Roman" w:hAnsi="Times New Roman"/>
                <w:sz w:val="18"/>
                <w:szCs w:val="18"/>
                <w:color w:val="auto"/>
              </w:rPr>
              <w:t>at fair value</w:t>
            </w:r>
          </w:p>
        </w:tc>
        <w:tc>
          <w:tcPr>
            <w:tcW w:w="19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42,818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110,885</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153,703</w:t>
            </w:r>
          </w:p>
        </w:tc>
      </w:tr>
      <w:tr>
        <w:trPr>
          <w:trHeight w:val="20"/>
        </w:trPr>
        <w:tc>
          <w:tcPr>
            <w:tcW w:w="384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-1224915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-1224915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-1224915</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the Company’s notes payable is carried at amortized cost and approximates its fair value.</w:t>
      </w:r>
    </w:p>
    <w:p>
      <w:pPr>
        <w:spacing w:after="0" w:line="25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fair value and amortized cost of Level 1 and 2 available-for-sale marketable securities as of September 30, 2026 and December 31, 2025 are presented in the following table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40" w:type="dxa"/>
            <w:vAlign w:val="bottom"/>
            <w:gridSpan w:val="2"/>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Estimated Fair</w:t>
            </w:r>
          </w:p>
        </w:tc>
      </w:tr>
      <w:tr>
        <w:trPr>
          <w:trHeight w:val="173"/>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4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5"/>
                <w:szCs w:val="15"/>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22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44,351</w:t>
            </w:r>
          </w:p>
        </w:tc>
        <w:tc>
          <w:tcPr>
            <w:tcW w:w="6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44,266</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U.S. Notes and Bonds</w:t>
            </w:r>
          </w:p>
        </w:tc>
        <w:tc>
          <w:tcPr>
            <w:tcW w:w="1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31,270</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31,212</w:t>
            </w:r>
          </w:p>
        </w:tc>
      </w:tr>
      <w:tr>
        <w:trPr>
          <w:trHeight w:val="25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2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75,621</w:t>
            </w:r>
          </w:p>
        </w:tc>
        <w:tc>
          <w:tcPr>
            <w:tcW w:w="6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75,478</w:t>
            </w:r>
          </w:p>
        </w:tc>
      </w:tr>
      <w:tr>
        <w:trPr>
          <w:trHeight w:val="577"/>
        </w:trPr>
        <w:tc>
          <w:tcPr>
            <w:tcW w:w="384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spacing w:after="0"/>
              <w:rPr>
                <w:sz w:val="24"/>
                <w:szCs w:val="24"/>
                <w:color w:val="auto"/>
              </w:rPr>
            </w:pPr>
          </w:p>
        </w:tc>
        <w:tc>
          <w:tcPr>
            <w:tcW w:w="1240" w:type="dxa"/>
            <w:vAlign w:val="bottom"/>
            <w:tcBorders>
              <w:top w:val="single" w:sz="8" w:color="auto"/>
            </w:tcBorders>
            <w:gridSpan w:val="2"/>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Estimated Fair</w:t>
            </w:r>
          </w:p>
        </w:tc>
      </w:tr>
      <w:tr>
        <w:trPr>
          <w:trHeight w:val="173"/>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9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4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5"/>
                <w:szCs w:val="15"/>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22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61,178</w:t>
            </w:r>
          </w:p>
        </w:tc>
        <w:tc>
          <w:tcPr>
            <w:tcW w:w="6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61,229</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U.S. Notes and Bonds</w:t>
            </w:r>
          </w:p>
        </w:tc>
        <w:tc>
          <w:tcPr>
            <w:tcW w:w="1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57,448</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57,556</w:t>
            </w:r>
          </w:p>
        </w:tc>
      </w:tr>
      <w:tr>
        <w:trPr>
          <w:trHeight w:val="25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2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118,626</w:t>
            </w:r>
          </w:p>
        </w:tc>
        <w:tc>
          <w:tcPr>
            <w:tcW w:w="6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w:t>
            </w:r>
          </w:p>
        </w:tc>
        <w:tc>
          <w:tcPr>
            <w:tcW w:w="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118,785</w:t>
            </w:r>
          </w:p>
        </w:tc>
      </w:tr>
      <w:tr>
        <w:trPr>
          <w:trHeight w:val="547"/>
        </w:trPr>
        <w:tc>
          <w:tcPr>
            <w:tcW w:w="384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-1824990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-1808480</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-1824990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-1808480</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-1824990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-1808480</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-882015</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-865505</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-882015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-865505</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-882015</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-865505</wp:posOffset>
            </wp:positionV>
            <wp:extent cx="85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available-for-sale marketable securities by contractual maturities as of September 30, 2026 are presented in the following table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9020" w:type="dxa"/>
            <w:vAlign w:val="bottom"/>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37"/>
              <w:spacing w:after="0" w:line="127" w:lineRule="exact"/>
              <w:rPr>
                <w:sz w:val="20"/>
                <w:szCs w:val="20"/>
                <w:color w:val="auto"/>
              </w:rPr>
            </w:pPr>
            <w:r>
              <w:rPr>
                <w:rFonts w:ascii="Times New Roman" w:cs="Times New Roman" w:eastAsia="Times New Roman" w:hAnsi="Times New Roman"/>
                <w:sz w:val="14"/>
                <w:szCs w:val="14"/>
                <w:b w:val="1"/>
                <w:bCs w:val="1"/>
                <w:color w:val="auto"/>
              </w:rPr>
              <w:t>2026</w:t>
            </w:r>
          </w:p>
        </w:tc>
      </w:tr>
      <w:tr>
        <w:trPr>
          <w:trHeight w:val="209"/>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less than one year</w:t>
            </w:r>
          </w:p>
        </w:tc>
        <w:tc>
          <w:tcPr>
            <w:tcW w:w="5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75,478</w:t>
            </w:r>
          </w:p>
        </w:tc>
      </w:tr>
      <w:tr>
        <w:trPr>
          <w:trHeight w:val="243"/>
        </w:trPr>
        <w:tc>
          <w:tcPr>
            <w:tcW w:w="9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in one to two years</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20" w:type="dxa"/>
            <w:vAlign w:val="bottom"/>
            <w:tcBorders>
              <w:bottom w:val="single" w:sz="8" w:color="CCEEFF"/>
            </w:tcBorders>
            <w:shd w:val="clear" w:color="auto" w:fill="CAEEFB"/>
          </w:tcPr>
          <w:p>
            <w:pPr>
              <w:spacing w:after="0"/>
              <w:rPr>
                <w:sz w:val="18"/>
                <w:szCs w:val="18"/>
                <w:color w:val="auto"/>
              </w:rPr>
            </w:pPr>
          </w:p>
        </w:tc>
        <w:tc>
          <w:tcPr>
            <w:tcW w:w="300" w:type="dxa"/>
            <w:vAlign w:val="bottom"/>
            <w:tcBorders>
              <w:bottom w:val="single" w:sz="8" w:color="CAEEFB"/>
            </w:tcBorders>
            <w:shd w:val="clear" w:color="auto" w:fill="CAEEFB"/>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CAEEFB"/>
            </w:tcBorders>
            <w:shd w:val="clear" w:color="auto" w:fill="CAEEFB"/>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75,478</w:t>
            </w:r>
          </w:p>
        </w:tc>
      </w:tr>
      <w:tr>
        <w:trPr>
          <w:trHeight w:val="20"/>
        </w:trPr>
        <w:tc>
          <w:tcPr>
            <w:tcW w:w="9020" w:type="dxa"/>
            <w:vAlign w:val="bottom"/>
            <w:shd w:val="clear" w:color="auto" w:fill="CFF0FC"/>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Cash equivalents are comprised of Level 1 financial instruments of money market fund investments. Level 1 financial instruments are comprised of cash equivalents and certain U.S. Treasury bills. Level 2 financial instruments are comprised of certain U.S. Treasury bills and U.S. Notes and Bonds. The Company’s valuation technique used to measure the fair value of money market funds and Level 1 U.S. Treasury bills is derived from quoted prices in active markets for identical assets or liabilities. The fair value of Level 2 financial instruments is derived using observable inputs other than quoted prices.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Balance Sheet Details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2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Component materials</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5,021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4,985</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1,934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2,303</w:t>
            </w:r>
          </w:p>
        </w:tc>
      </w:tr>
      <w:tr>
        <w:trPr>
          <w:trHeight w:val="209"/>
        </w:trPr>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6,955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7,288</w:t>
            </w:r>
          </w:p>
        </w:tc>
      </w:tr>
      <w:tr>
        <w:trPr>
          <w:trHeight w:val="581"/>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6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and equipment are comprised of the following (in thousands):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0"/>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927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manufacturing equipment</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2,758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2,418</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852</w:t>
            </w:r>
          </w:p>
        </w:tc>
      </w:tr>
      <w:tr>
        <w:trPr>
          <w:trHeight w:val="216"/>
        </w:trPr>
        <w:tc>
          <w:tcPr>
            <w:tcW w:w="6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218</w:t>
            </w:r>
          </w:p>
        </w:tc>
      </w:tr>
      <w:tr>
        <w:trPr>
          <w:trHeight w:val="21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5,011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4,736</w:t>
            </w:r>
          </w:p>
        </w:tc>
      </w:tr>
      <w:tr>
        <w:trPr>
          <w:trHeight w:val="216"/>
        </w:trPr>
        <w:tc>
          <w:tcPr>
            <w:tcW w:w="6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3,237</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2,706</w:t>
            </w:r>
          </w:p>
        </w:tc>
      </w:tr>
      <w:tr>
        <w:trPr>
          <w:trHeight w:val="232"/>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1,774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-441960</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wp:posOffset>
            </wp:positionV>
            <wp:extent cx="1111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9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$0.2 million and $0.3 million for the three months ended September 30, 2026 and 2025, respectively, and $0.5 million and $0.8 million for the nine months ended September 30, 2026 and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assets are comprised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Recorders at customer locations</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2,241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1,838</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of recorders at customer locations</w:t>
            </w:r>
          </w:p>
        </w:tc>
        <w:tc>
          <w:tcPr>
            <w:tcW w:w="1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Recorders at customer locations, net</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1,143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805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Recorders and related components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1,141</w:t>
            </w: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debt financing cost</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631</w:t>
            </w: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non-current assets</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4,140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2,912</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Recorder depreciation expense was $0.1 million for both the three months ended September 30, 2026 and 2025, and $0.2 million and $0.3 million for the nine months ended September 30, 2026 and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are comprised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2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bonuses and payroll</w:t>
            </w:r>
          </w:p>
        </w:tc>
        <w:tc>
          <w:tcPr>
            <w:tcW w:w="2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5,756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6,082</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4,048</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 and other costs</w:t>
            </w:r>
          </w:p>
        </w:tc>
        <w:tc>
          <w:tcPr>
            <w:tcW w:w="2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2,469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1,994</w:t>
            </w: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 liability</w:t>
            </w: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1,200</w:t>
            </w:r>
          </w:p>
        </w:tc>
      </w:tr>
      <w:tr>
        <w:trPr>
          <w:trHeight w:val="232"/>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14,059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-159385</wp:posOffset>
            </wp:positionV>
            <wp:extent cx="111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offers its employees a tax-deferred savings plan, commonly referred to as a 401(k) plan. Employee contributions are withheld from payroll checks and are automatically withdrawn from the Company’s checking account and deposited into participants’ retirement accounts a few days following each payroll period. Beginning March 1, 2025, the Company provides a 50% match for employee contributions up to a certain limit. The Company contributed $0.3 million for both the three months ended September 30, 2026 and 2025, and $1.2 million and $0.8 million during the nine months ended September 30, 2026 and 2025, respectively, to its 401(k) plan.</w:t>
      </w:r>
    </w:p>
    <w:p>
      <w:pPr>
        <w:spacing w:after="0" w:line="287"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7, 2025, the Company filed patent infringement complaints against Natus Medical Incorporated and related subsidiaries (“Natus”) with the U.S. International Trade Commission (“USITC”) and the U.S. District Court for the District of Delaware (the “District Court”). On August 6, 2025, the USITC instituted an investigation of these claims pursuant to Section 337 of the Tariff Act of 1930 and on August 12, 2025, the District Court stayed the pending patent infringement action until the final determination of the USITC investigation.</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Legal fees are expensed in the period in which they are incurred and are included in accrued liabilities. In addition to expenses incurred, as of September 30, 2026, the Company has a commitment to pay $2.9 million in deferred legal fees contingent upon the earlier of settlement or favorable Initial Determination by the Administrative Law Judge related to the Natus patent infringement complaints. The Company records a provision for a liability when management believes that it is both probable that a liability has been incurred and the amount of the loss can be reasonably estimated. No provision or accrual has been recorded related to the deferred legal fees based on currently available information. As of September 30, 2026, and December 31, 2025, there were no litigation liabilities recorded for the contingent deferred legal fees described above.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IEEPA Tariff Refunds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expect future IEEPA tariff refunds to be material, but will recognize the refunds when the requirements under ASC 450, Contingencies, have been met.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Company’s right-of-use (“ROU”) asset relates to its leased corporate offices and warehouse in Sunnyvale, CA. Supplemental balance sheet information related to leases was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1,516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2,296</w:t>
            </w:r>
          </w:p>
        </w:tc>
      </w:tr>
      <w:tr>
        <w:trPr>
          <w:trHeight w:val="210"/>
        </w:trPr>
        <w:tc>
          <w:tcPr>
            <w:tcW w:w="7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1,218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1,360</w:t>
            </w: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1,650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2,465</w:t>
            </w:r>
          </w:p>
        </w:tc>
      </w:tr>
      <w:tr>
        <w:trPr>
          <w:trHeight w:val="210"/>
        </w:trPr>
        <w:tc>
          <w:tcPr>
            <w:tcW w:w="7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-1010920</wp:posOffset>
            </wp:positionV>
            <wp:extent cx="1111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-299720</wp:posOffset>
            </wp:positionV>
            <wp:extent cx="1111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111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total lease expense and other information for the periods relating to the Company’s operating leases was as follows (in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lease expense</w:t>
      </w:r>
    </w:p>
    <w:p>
      <w:pPr>
        <w:spacing w:after="0" w:line="2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Total cash payments for amounts included in the measurement of lease liabilities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258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1"/>
        </w:trPr>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8"/>
                <w:szCs w:val="18"/>
                <w:color w:val="auto"/>
              </w:rPr>
              <w:t>305</w:t>
            </w:r>
          </w:p>
        </w:tc>
        <w:tc>
          <w:tcPr>
            <w:tcW w:w="440" w:type="dxa"/>
            <w:vAlign w:val="bottom"/>
            <w:gridSpan w:val="2"/>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8"/>
                <w:szCs w:val="18"/>
                <w:color w:val="auto"/>
              </w:rPr>
              <w:t>282</w:t>
            </w:r>
          </w:p>
        </w:tc>
        <w:tc>
          <w:tcPr>
            <w:tcW w:w="200" w:type="dxa"/>
            <w:vAlign w:val="bottom"/>
          </w:tcPr>
          <w:p>
            <w:pPr>
              <w:spacing w:after="0"/>
              <w:rPr>
                <w:sz w:val="16"/>
                <w:szCs w:val="16"/>
                <w:color w:val="auto"/>
              </w:rPr>
            </w:pP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8"/>
                <w:szCs w:val="18"/>
                <w:color w:val="auto"/>
              </w:rPr>
              <w:t>916</w:t>
            </w:r>
          </w:p>
        </w:tc>
        <w:tc>
          <w:tcPr>
            <w:tcW w:w="460" w:type="dxa"/>
            <w:vAlign w:val="bottom"/>
            <w:gridSpan w:val="2"/>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8"/>
                <w:szCs w:val="18"/>
                <w:color w:val="auto"/>
              </w:rPr>
              <w:t>844</w:t>
            </w:r>
          </w:p>
        </w:tc>
      </w:tr>
      <w:tr>
        <w:trPr>
          <w:trHeight w:val="234"/>
        </w:trPr>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242</w:t>
            </w:r>
          </w:p>
        </w:tc>
      </w:tr>
      <w:tr>
        <w:trPr>
          <w:trHeight w:val="209"/>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408</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355</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1,219</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1,086</w:t>
            </w:r>
          </w:p>
        </w:tc>
      </w:tr>
      <w:tr>
        <w:trPr>
          <w:trHeight w:val="520"/>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313</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303</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936</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907</w:t>
            </w:r>
          </w:p>
        </w:tc>
      </w:tr>
      <w:tr>
        <w:trPr>
          <w:trHeight w:val="108"/>
        </w:trPr>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-839470</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-556895</wp:posOffset>
            </wp:positionV>
            <wp:extent cx="713232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-273685</wp:posOffset>
            </wp:positionV>
            <wp:extent cx="7132320" cy="274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5040" w:space="500"/>
            <w:col w:w="5700"/>
          </w:cols>
          <w:pgMar w:left="320" w:top="117" w:right="339" w:bottom="1440" w:gutter="0" w:footer="0" w:header="0"/>
          <w:type w:val="continuous"/>
        </w:sect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leases office space and warehouse space under non-cancelable operating leases. As of September 30, 2026, the future minimum lease payments under the non-cancelable operating lease are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5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040" w:type="dxa"/>
            <w:vAlign w:val="bottom"/>
            <w:vMerge w:val="continue"/>
          </w:tcPr>
          <w:p>
            <w:pPr>
              <w:spacing w:after="0"/>
              <w:rPr>
                <w:sz w:val="15"/>
                <w:szCs w:val="15"/>
                <w:color w:val="auto"/>
              </w:rPr>
            </w:pPr>
          </w:p>
        </w:tc>
        <w:tc>
          <w:tcPr>
            <w:tcW w:w="5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5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5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2"/>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Lease Liabilities</w:t>
            </w:r>
          </w:p>
        </w:tc>
        <w:tc>
          <w:tcPr>
            <w:tcW w:w="5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1,650</w:t>
            </w:r>
          </w:p>
        </w:tc>
        <w:tc>
          <w:tcPr>
            <w:tcW w:w="0" w:type="dxa"/>
            <w:vAlign w:val="bottom"/>
          </w:tcPr>
          <w:p>
            <w:pPr>
              <w:spacing w:after="0"/>
              <w:rPr>
                <w:sz w:val="1"/>
                <w:szCs w:val="1"/>
                <w:color w:val="auto"/>
              </w:rPr>
            </w:pPr>
          </w:p>
        </w:tc>
      </w:tr>
      <w:tr>
        <w:trPr>
          <w:trHeight w:val="518"/>
        </w:trPr>
        <w:tc>
          <w:tcPr>
            <w:tcW w:w="4040" w:type="dxa"/>
            <w:vAlign w:val="bottom"/>
          </w:tcPr>
          <w:p>
            <w:pPr>
              <w:spacing w:after="0"/>
              <w:rPr>
                <w:sz w:val="24"/>
                <w:szCs w:val="24"/>
                <w:color w:val="auto"/>
              </w:rPr>
            </w:pPr>
          </w:p>
        </w:tc>
        <w:tc>
          <w:tcPr>
            <w:tcW w:w="5200" w:type="dxa"/>
            <w:vAlign w:val="bottom"/>
          </w:tcPr>
          <w:p>
            <w:pPr>
              <w:jc w:val="right"/>
              <w:ind w:right="343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VLSA Term Loan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consideration of the 2024 principal loan repayment schedule and future operating cash flow requirements, effective February 6, 2024, the Company executed a Venture Loan and Security Agreement (“VLSA”) with Horizon Technology Finance Corporation (“Horizon”) as a lender and the collateral agent and Silicon Valley Bank (“SVB”) as a lender (collectively, the “Lenders”).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Upon execution of the VLSA, the Company drew down the entire first tranche of $20.0 million in principal (“VLSA Term Loan”), including $6.0 million from SVB (“SVB Loan”) and $14.0 million from Horizon (“Horizon Loan”). Subject to the VLSA terms, the Company was entitled to receive up to $30.0 million (“Outstanding Commitment”) in three additional tranches of $10.0 million each. On June 30, 2026, the first $10.0 million tranche expired and the Company did not draw down on the first tranche. $20.0 million remained available as of June 30, 2026. Each lender’s obligation to lend its undisbursed portion of the Outstanding Commitment to the Company would have terminated if, in such Lender’s sole good faith discretion, there was a material adverse change in the results of operations or financial condition of the Company, whether or not arising from transactions in the ordinary course of business, or there had been any material adverse deviation by the Company from the business plan of the Company presented to any Lender. No material adverse changes were identified through the termination of the VLSA.</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VLSA Term Loan was payable to the Lenders in twelve equal monthly installments between April 1, 2028 (“Amortization Date”) and March 1, 2029 (“Maturity Date”) subject to certain prepayment fees in accordance with the VLSA. The SVB Loan carried a variable per annum interest rate at the Prime Rate (as published in the Wall Street Journal), subject to the floor of 6.00%. The Horizon Loan carried a variable per annum interest rate at the Prime Rate plus 2.75%, subject to the floor of 9.25%. Collateral for the VLSA consisted of a security interest in all assets of the Company, excluding intellectual property.</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5, 2026, the Company entered into a Credit, Security and Guaranty Agreement (the “Credit Agreement”) with MidCap Funding IV Trust, as agent, MidCap Financial Trust, as term loan servicer, and the lenders party thereto (collectively, “MidCap”). Concurrently with entering into the Credit Agreement, the Company repaid in full and terminated its VLSA with the Lenders, under which $20.0 million of term loans were outstanding. The aggregate payoff of $21.4 million (excluding accrued interest) comprised of the $20.0 million principal balance, a $0.8 million end-of-term fee, and a $0.6 million prepayment fee. The Company recognized a loss on extinguishment of debt of $1.5 million in the three months ended September 30, 2026, consisting of the prepayment and end-of-term fees paid (net of amounts previously accreted) and the write-off of unamortized debt discounts and deferred financing costs associated with the VLSA. The loss is presented within Other income (expense), net, in the condensed statements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Revolving Facility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also executed a Loan and Security Agreement (“LSA”) with SVB to receive a senior revolving line of credit of up to $10.0 million (“Revolving Facility”). The Revolving Facility matured on February 6, 2026. No borrowings were made under the Revolving Facility, and the Revolving Facility is no longer available for borrowing.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MidCap Credit Facility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Credit Agreement provides for (i) a term loan facility, consisting of a $30.0 million commitment available to draw at the Company’s request at any time before December 31, 2028 in minimum increments of $5.0 million (“Term Loan Tranche 1”) and an additional $25.0 million of uncommitted capital that may be available at MidCap's discretion, and (ii) a revolving loan facility in an aggregate principal amount of up to $20.0 million, which may be increased to up to $30.0 million at the Company’s discretion upon satisfaction of certain conditions set forth therein (the “MidCap Revolving Facility”). The $20.0 million revolving credit facility operates on a non-formula basis through December 31, 2027, (or earlier upon an event of default), after which time, availability under the facility will be subject to a borrowing base based on eligible accounts receivable and inventory. All loans under the Credit Agreement mature on August 5, 2031.</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MidCap Revolving Facility bears interest at Term SOFR (subject to a 1.00% floor) plus 3.75% per annum, and term loans bear interest at Term SOFR (subject to 1.00% floor) plus 5.00% per annum, in each case payable monthly in arrears. The Company also pays a facility fee of 0.50% per annum on the revolving loan commitment, payable monthly, and a quarterly minimum balance fee equal to the shortfall, if any, between interest actually earned by the lenders on revolving loans and interest computed on 25% of the revolving loan commitment. If the Company terminates or permanently reduces the revolving commitment, or prepays term loans, before the third anniversary of closing, exit fees of 3.0%, 2.0%, or 1.0% of the amount terminated, reduced, or prepaid apply in years one, two, and three, respectively; no such fees apply thereafter or upon repayment at maturity, and none have been accrued because early termination is not considered probable. The Company’s obligations under the Credit Agreement are secured by a security interest in substantially all of the Company’s assets, including its intellectual property.</w:t>
      </w:r>
    </w:p>
    <w:p>
      <w:pPr>
        <w:spacing w:after="0" w:line="11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Credit Agreement contains affirmative, negative, and financial covenants. The financial covenants are tested only while outstanding term loans plus the revolving loan commitment exceed $35.0 million. Because no term loans were outstanding as of</w:t>
      </w:r>
    </w:p>
    <w:p>
      <w:pPr>
        <w:sectPr>
          <w:pgSz w:w="11900" w:h="16838" w:orient="portrait"/>
          <w:cols w:equalWidth="0" w:num="1">
            <w:col w:w="11240"/>
          </w:cols>
          <w:pgMar w:left="320" w:top="117" w:right="3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September 30, 2026, the Company was not in a financial covenant testing period. The Company was in compliance with all covenants under the Credit Agreement as of September 30, 2026.</w:t>
      </w:r>
    </w:p>
    <w:p>
      <w:pPr>
        <w:spacing w:after="0" w:line="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incurred $0.5 million of costs in connection with the Credit Agreement, of which $0.2 million was allocated to the MidCap Revolving Facility to be recognized as interest expense through the maturity date, and $0.3 million was allocated to the Term Loan Tranche 1 commitment to be recognized as interest expense through the end of its availability period on December 31, 2028, subject to reclassification upon any draw. As of September 30, 2026, unamortized deferred financing costs were recorded as assets, of which $0.1 million was included in prepaid expenses and other current assets and $0.4 million in other non-current assets on the condensed balance sheets.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closing, the Company borrowed $20.0 million under the MidCap Revolving Facility, the proceeds of which, together with cash on hand, were used to repay the VLSA. Future borrowings will be used for working capital and general corporate purposes. As of September 30, 2026, $20.0 million of revolving loans were outstanding, and no term loans had been drawn. The revolving loans are classified as long-term based on the August 2031 maturity.</w:t>
      </w:r>
    </w:p>
    <w:p>
      <w:pPr>
        <w:spacing w:after="0" w:line="9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August 18, 2026, the Company repaid $20.0 million on the MidCap Revolving Facility. On September 21, 2026, $20.0 million was again drawn by the Company under the MidCap Revolving Facility. The $20.0 million was repaid on October 7, 2026.</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Notes payable consists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 notes payable</w:t>
            </w:r>
          </w:p>
        </w:tc>
        <w:tc>
          <w:tcPr>
            <w:tcW w:w="2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20,000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End of term fee accretion</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2"/>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value of Notes Payable</w:t>
            </w:r>
          </w:p>
        </w:tc>
        <w:tc>
          <w:tcPr>
            <w:tcW w:w="2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20,000</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19,811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-159385</wp:posOffset>
            </wp:positionV>
            <wp:extent cx="1111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February 6, 2024, the Company, Horizon, and SVB entered into a $60.0 million financing commitment as discussed in Note 9. Warrants representing the right to purchase 41,345 shares of Series C-1 redeemable convertible preferred stock at a price of $11.49 per share were issued upon closing. Immediately prior to the Company’s initial public offering (“IPO”) on October 15, 2024, all warrants exercisable for redeemable convertible preferred stock were converted into warrants exercisable for common stock and reclassified from liabilities to equity. All warrants are currently exercisable, in whole or in part, and expire in 2030, 2032, and 2034. To the extent the warrants are not previously exercised, and if the fair market value of one share is greater than the exercise price under the warrants then in effect, the warrants shall be deemed automatically exercised immediately before expiration. The warrants issued to the lenders in connection with the VLSA survive its termination and remain outstanding and remain classified within stockholders’ equity.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 warrants</w:t>
            </w:r>
          </w:p>
        </w:tc>
      </w:tr>
      <w:tr>
        <w:trPr>
          <w:trHeight w:val="209"/>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2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45,726</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56,573</w:t>
            </w:r>
          </w:p>
        </w:tc>
        <w:tc>
          <w:tcPr>
            <w:tcW w:w="1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102,299</w:t>
            </w: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warrant</w:t>
            </w:r>
          </w:p>
        </w:tc>
        <w:tc>
          <w:tcPr>
            <w:tcW w:w="2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7.6540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2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2026</w:t>
            </w:r>
          </w:p>
        </w:tc>
        <w:tc>
          <w:tcPr>
            <w:tcW w:w="2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45,726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56,573</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102,299</w:t>
            </w: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 per warrant</w:t>
            </w:r>
          </w:p>
        </w:tc>
        <w:tc>
          <w:tcPr>
            <w:tcW w:w="2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7.6540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-728345</wp:posOffset>
            </wp:positionV>
            <wp:extent cx="93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-728345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-299720</wp:posOffset>
            </wp:positionV>
            <wp:extent cx="93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-299720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939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warrants are included in Additional paid-in capital as of September 30, 2026, and December 31, 2025.</w:t>
      </w:r>
    </w:p>
    <w:p>
      <w:pPr>
        <w:spacing w:after="0" w:line="329"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authorized to issue 500,000,000 shares of $0.001 par value common stock as of both September 30, 2026, and December 31, 2025.</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whenever funds and assets are legally available and when declared by the Board of Directors. As of September 30, 2026, no dividends had been declared.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 had reserved common stock for future issuance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7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7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80" w:type="dxa"/>
            <w:vAlign w:val="bottom"/>
          </w:tcPr>
          <w:p>
            <w:pPr>
              <w:spacing w:after="0"/>
              <w:rPr>
                <w:sz w:val="15"/>
                <w:szCs w:val="15"/>
                <w:color w:val="auto"/>
              </w:rPr>
            </w:pPr>
          </w:p>
        </w:tc>
        <w:tc>
          <w:tcPr>
            <w:tcW w:w="172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40" w:type="dxa"/>
            <w:vAlign w:val="bottom"/>
            <w:gridSpan w:val="2"/>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outstanding warrants</w:t>
            </w:r>
          </w:p>
        </w:tc>
        <w:tc>
          <w:tcPr>
            <w:tcW w:w="17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102,299</w:t>
            </w:r>
          </w:p>
        </w:tc>
        <w:tc>
          <w:tcPr>
            <w:tcW w:w="12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102,299</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4,003,933</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4,135,501</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2,523,076</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1,561,534</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Company's equity plans</w:t>
            </w: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5,383,325</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5,279,680</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12,012,633</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11,079,014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-702310</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Activity under the 2014 Stock Incentive Plan (the “2014 Plan”), 2024 Equity Incentive Plan (the “2024 EIP”), and 2024 Incentive Award Plan (the “2024 Plan”)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2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3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3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3"/>
        </w:trPr>
        <w:tc>
          <w:tcPr>
            <w:tcW w:w="57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2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00" w:type="dxa"/>
            <w:vAlign w:val="bottom"/>
          </w:tcPr>
          <w:p>
            <w:pPr>
              <w:spacing w:after="0"/>
              <w:rPr>
                <w:sz w:val="16"/>
                <w:szCs w:val="16"/>
                <w:color w:val="auto"/>
              </w:rPr>
            </w:pPr>
          </w:p>
        </w:tc>
        <w:tc>
          <w:tcPr>
            <w:tcW w:w="13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576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340" w:type="dxa"/>
            <w:vAlign w:val="bottom"/>
            <w:tcBorders>
              <w:top w:val="single" w:sz="8" w:color="auto"/>
            </w:tcBorders>
            <w:shd w:val="clear" w:color="auto" w:fill="CFF0FC"/>
          </w:tcPr>
          <w:p>
            <w:pPr>
              <w:jc w:val="right"/>
              <w:ind w:right="54"/>
              <w:spacing w:after="0" w:line="203" w:lineRule="exact"/>
              <w:rPr>
                <w:sz w:val="20"/>
                <w:szCs w:val="20"/>
                <w:color w:val="auto"/>
              </w:rPr>
            </w:pPr>
            <w:r>
              <w:rPr>
                <w:rFonts w:ascii="Times New Roman" w:cs="Times New Roman" w:eastAsia="Times New Roman" w:hAnsi="Times New Roman"/>
                <w:sz w:val="18"/>
                <w:szCs w:val="18"/>
                <w:b w:val="1"/>
                <w:bCs w:val="1"/>
                <w:color w:val="auto"/>
              </w:rPr>
              <w:t>4,135,501</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CFF0FC"/>
            </w:tcBorders>
            <w:shd w:val="clear" w:color="auto" w:fill="CFF0FC"/>
          </w:tcPr>
          <w:p>
            <w:pPr>
              <w:jc w:val="right"/>
              <w:ind w:right="35"/>
              <w:spacing w:after="0" w:line="203" w:lineRule="exact"/>
              <w:rPr>
                <w:sz w:val="20"/>
                <w:szCs w:val="20"/>
                <w:color w:val="auto"/>
              </w:rPr>
            </w:pPr>
            <w:r>
              <w:rPr>
                <w:rFonts w:ascii="Times New Roman" w:cs="Times New Roman" w:eastAsia="Times New Roman" w:hAnsi="Times New Roman"/>
                <w:sz w:val="18"/>
                <w:szCs w:val="18"/>
                <w:b w:val="1"/>
                <w:bCs w:val="1"/>
                <w:color w:val="auto"/>
              </w:rPr>
              <w:t>8.70</w:t>
            </w:r>
          </w:p>
        </w:tc>
        <w:tc>
          <w:tcPr>
            <w:tcW w:w="10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ind w:right="41"/>
              <w:spacing w:after="0" w:line="203" w:lineRule="exact"/>
              <w:rPr>
                <w:sz w:val="20"/>
                <w:szCs w:val="20"/>
                <w:color w:val="auto"/>
              </w:rPr>
            </w:pPr>
            <w:r>
              <w:rPr>
                <w:rFonts w:ascii="Times New Roman" w:cs="Times New Roman" w:eastAsia="Times New Roman" w:hAnsi="Times New Roman"/>
                <w:sz w:val="18"/>
                <w:szCs w:val="18"/>
                <w:b w:val="1"/>
                <w:bCs w:val="1"/>
                <w:color w:val="auto"/>
              </w:rPr>
              <w:t>7.38</w:t>
            </w:r>
          </w:p>
        </w:tc>
        <w:tc>
          <w:tcPr>
            <w:tcW w:w="10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ind w:right="40"/>
              <w:spacing w:after="0" w:line="203" w:lineRule="exact"/>
              <w:rPr>
                <w:sz w:val="20"/>
                <w:szCs w:val="20"/>
                <w:color w:val="auto"/>
              </w:rPr>
            </w:pPr>
            <w:r>
              <w:rPr>
                <w:rFonts w:ascii="Times New Roman" w:cs="Times New Roman" w:eastAsia="Times New Roman" w:hAnsi="Times New Roman"/>
                <w:sz w:val="18"/>
                <w:szCs w:val="18"/>
                <w:b w:val="1"/>
                <w:bCs w:val="1"/>
                <w:color w:val="auto"/>
              </w:rPr>
              <w:t>54,842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768,254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(706,006)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3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4,003,933</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10.93</w:t>
            </w: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6.91</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53,897</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September 30, 2026</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4,003,933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10.93</w:t>
            </w: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6.91</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53,897</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September 30, 2026</w:t>
            </w:r>
          </w:p>
        </w:tc>
        <w:tc>
          <w:tcPr>
            <w:tcW w:w="13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2,410,370</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-1465580</wp:posOffset>
            </wp:positionV>
            <wp:extent cx="93980" cy="4889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48895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-1465580</wp:posOffset>
            </wp:positionV>
            <wp:extent cx="68580" cy="4889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4889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-290830</wp:posOffset>
            </wp:positionV>
            <wp:extent cx="939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-290830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-290830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93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nine months ended September 30, 2026 and 2025 was $11.58 and $10.47 per share, respectively. The aggregate intrinsic value of options exercised during the nine months ended September 30, 2026 and 2025 was $10.8 million and $12.6 million,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Stock Unit activity under the plans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17145</wp:posOffset>
            </wp:positionV>
            <wp:extent cx="111125" cy="3003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30035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7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3"/>
        </w:trPr>
        <w:tc>
          <w:tcPr>
            <w:tcW w:w="7680" w:type="dxa"/>
            <w:vAlign w:val="bottom"/>
          </w:tcPr>
          <w:p>
            <w:pPr>
              <w:spacing w:after="0"/>
              <w:rPr>
                <w:sz w:val="16"/>
                <w:szCs w:val="16"/>
                <w:color w:val="auto"/>
              </w:rPr>
            </w:pPr>
          </w:p>
        </w:tc>
        <w:tc>
          <w:tcPr>
            <w:tcW w:w="172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03"/>
        </w:trPr>
        <w:tc>
          <w:tcPr>
            <w:tcW w:w="768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1720" w:type="dxa"/>
            <w:vAlign w:val="bottom"/>
            <w:tcBorders>
              <w:top w:val="single" w:sz="8" w:color="auto"/>
            </w:tcBorders>
            <w:shd w:val="clear" w:color="auto" w:fill="CFF0FC"/>
          </w:tcPr>
          <w:p>
            <w:pPr>
              <w:jc w:val="right"/>
              <w:ind w:right="35"/>
              <w:spacing w:after="0" w:line="203" w:lineRule="exact"/>
              <w:rPr>
                <w:sz w:val="20"/>
                <w:szCs w:val="20"/>
                <w:color w:val="auto"/>
              </w:rPr>
            </w:pPr>
            <w:r>
              <w:rPr>
                <w:rFonts w:ascii="Times New Roman" w:cs="Times New Roman" w:eastAsia="Times New Roman" w:hAnsi="Times New Roman"/>
                <w:sz w:val="18"/>
                <w:szCs w:val="18"/>
                <w:b w:val="1"/>
                <w:bCs w:val="1"/>
                <w:color w:val="auto"/>
              </w:rPr>
              <w:t>1,561,534</w:t>
            </w:r>
          </w:p>
        </w:tc>
        <w:tc>
          <w:tcPr>
            <w:tcW w:w="300" w:type="dxa"/>
            <w:vAlign w:val="bottom"/>
            <w:tcBorders>
              <w:top w:val="single" w:sz="8" w:color="CFF0FC"/>
            </w:tcBorders>
            <w:gridSpan w:val="2"/>
            <w:shd w:val="clear" w:color="auto" w:fill="CFF0FC"/>
          </w:tcPr>
          <w:p>
            <w:pPr>
              <w:jc w:val="right"/>
              <w:ind w:right="4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CFF0FC"/>
            </w:tcBorders>
            <w:shd w:val="clear" w:color="auto" w:fill="CFF0FC"/>
          </w:tcPr>
          <w:p>
            <w:pPr>
              <w:jc w:val="right"/>
              <w:ind w:right="35"/>
              <w:spacing w:after="0" w:line="203" w:lineRule="exact"/>
              <w:rPr>
                <w:sz w:val="20"/>
                <w:szCs w:val="20"/>
                <w:color w:val="auto"/>
              </w:rPr>
            </w:pPr>
            <w:r>
              <w:rPr>
                <w:rFonts w:ascii="Times New Roman" w:cs="Times New Roman" w:eastAsia="Times New Roman" w:hAnsi="Times New Roman"/>
                <w:sz w:val="18"/>
                <w:szCs w:val="18"/>
                <w:b w:val="1"/>
                <w:bCs w:val="1"/>
                <w:color w:val="auto"/>
              </w:rPr>
              <w:t>17.94</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1,769,197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19.37</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(483,700)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18.56</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(323,955)</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18.66</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2026</w:t>
            </w: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2,523,076</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18.74</w:t>
            </w:r>
          </w:p>
        </w:tc>
      </w:tr>
    </w:tbl>
    <w:p>
      <w:pPr>
        <w:spacing w:after="0" w:line="198" w:lineRule="exact"/>
        <w:rPr>
          <w:sz w:val="20"/>
          <w:szCs w:val="20"/>
          <w:color w:val="auto"/>
        </w:rPr>
      </w:pPr>
    </w:p>
    <w:p>
      <w:pPr>
        <w:ind w:right="280" w:firstLine="509"/>
        <w:spacing w:after="0" w:line="454" w:lineRule="auto"/>
        <w:rPr>
          <w:sz w:val="20"/>
          <w:szCs w:val="20"/>
          <w:color w:val="auto"/>
        </w:rPr>
      </w:pPr>
      <w:r>
        <w:rPr>
          <w:rFonts w:ascii="Times New Roman" w:cs="Times New Roman" w:eastAsia="Times New Roman" w:hAnsi="Times New Roman"/>
          <w:sz w:val="18"/>
          <w:szCs w:val="18"/>
          <w:color w:val="auto"/>
        </w:rPr>
        <w:t xml:space="preserve">The total fair value of shares vested during the nine months ended September 30, 2026 and 2025 was $9.0 million and $2.7 million, respectively. </w:t>
      </w:r>
      <w:r>
        <w:rPr>
          <w:rFonts w:ascii="Times New Roman" w:cs="Times New Roman" w:eastAsia="Times New Roman" w:hAnsi="Times New Roman"/>
          <w:sz w:val="18"/>
          <w:szCs w:val="18"/>
          <w:b w:val="1"/>
          <w:bCs w:val="1"/>
          <w:i w:val="1"/>
          <w:iCs w:val="1"/>
          <w:color w:val="auto"/>
        </w:rPr>
        <w:t>Stock-Based Compensation</w:t>
      </w:r>
    </w:p>
    <w:p>
      <w:pPr>
        <w:spacing w:after="0" w:line="1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 aggregate unrecognized compensation costs related to outstanding unvested options and RSUs under the 2014 Plan, 2024 EIP, and 2024 Plan was $56.8 million. The Company expects to recognize those costs over a weighted average period of 3.0 years.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RSUs is based on the Company’s closing stock price on the date of grant. The fair value of service-based stock options and RSUs are amortized on a straight-line basis over the requisite service period of the awards.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employee stock options granted was estimated using the following weighted-average assumptions for the three and nine months ended September 30, 2026 and 2025: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8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60" w:type="dxa"/>
            <w:vAlign w:val="bottom"/>
            <w:gridSpan w:val="2"/>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4580" w:type="dxa"/>
            <w:vAlign w:val="bottom"/>
          </w:tcPr>
          <w:p>
            <w:pPr>
              <w:spacing w:after="0"/>
              <w:rPr>
                <w:sz w:val="15"/>
                <w:szCs w:val="15"/>
                <w:color w:val="auto"/>
              </w:rPr>
            </w:pPr>
          </w:p>
        </w:tc>
        <w:tc>
          <w:tcPr>
            <w:tcW w:w="19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92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FF0FC"/>
          </w:tcPr>
          <w:p>
            <w:pPr>
              <w:jc w:val="right"/>
              <w:ind w:right="462"/>
              <w:spacing w:after="0"/>
              <w:rPr>
                <w:sz w:val="20"/>
                <w:szCs w:val="20"/>
                <w:color w:val="auto"/>
              </w:rPr>
            </w:pPr>
            <w:r>
              <w:rPr>
                <w:rFonts w:ascii="Times New Roman" w:cs="Times New Roman" w:eastAsia="Times New Roman" w:hAnsi="Times New Roman"/>
                <w:sz w:val="18"/>
                <w:szCs w:val="18"/>
                <w:color w:val="auto"/>
              </w:rPr>
              <w:t>4.7</w:t>
            </w:r>
          </w:p>
        </w:tc>
        <w:tc>
          <w:tcPr>
            <w:tcW w:w="13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71.0%</w:t>
            </w:r>
          </w:p>
        </w:tc>
        <w:tc>
          <w:tcPr>
            <w:tcW w:w="9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71.0%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2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4.4%</w:t>
            </w: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FF0FC"/>
          </w:tcPr>
          <w:p>
            <w:pPr>
              <w:jc w:val="right"/>
              <w:ind w:right="302"/>
              <w:spacing w:after="0"/>
              <w:rPr>
                <w:sz w:val="20"/>
                <w:szCs w:val="20"/>
                <w:color w:val="auto"/>
              </w:rPr>
            </w:pPr>
            <w:r>
              <w:rPr>
                <w:rFonts w:ascii="Times New Roman" w:cs="Times New Roman" w:eastAsia="Times New Roman" w:hAnsi="Times New Roman"/>
                <w:sz w:val="18"/>
                <w:szCs w:val="18"/>
                <w:color w:val="auto"/>
              </w:rPr>
              <w:t>4.0%</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9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80" w:type="dxa"/>
            <w:vAlign w:val="bottom"/>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r>
    </w:tbl>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options granted for the three months ended September 30, 2025</w:t>
      </w:r>
    </w:p>
    <w:p>
      <w:pPr>
        <w:spacing w:after="0" w:line="30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expected term is based on an average of the midpoint of the requisite service period and the contractual term, and the historical exercise behavior. The expected stock price volatility assumption was determined by examining the historical volatilities for industry peers, as well as the Company’s historical volatility. The Company will continue to analyze the historical stock price volatility and expected term assumptions as more historical data for the Company’s common stock becomes available. The risk-free interest rate assumption is based on the U.S. Treasury instruments whose term was consistent with the expected term of the Company’s stock options. The expected dividend assumption is based on the Company’s history and expectation of no dividend payouts.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total stock-based compensation expense was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80" w:type="dxa"/>
            <w:vAlign w:val="bottom"/>
            <w:gridSpan w:val="3"/>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4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176</w:t>
            </w:r>
          </w:p>
        </w:tc>
        <w:tc>
          <w:tcPr>
            <w:tcW w:w="4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913</w:t>
            </w:r>
          </w:p>
        </w:tc>
        <w:tc>
          <w:tcPr>
            <w:tcW w:w="110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2,561</w:t>
            </w:r>
          </w:p>
        </w:tc>
        <w:tc>
          <w:tcPr>
            <w:tcW w:w="48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1,489</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2,328</w:t>
            </w:r>
          </w:p>
        </w:tc>
        <w:tc>
          <w:tcPr>
            <w:tcW w:w="11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1,336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6,433</w:t>
            </w: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3,316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3,841</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1,366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7,650</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3,837</w:t>
            </w: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7,099</w:t>
            </w:r>
          </w:p>
        </w:tc>
        <w:tc>
          <w:tcPr>
            <w:tcW w:w="110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3"/>
              </w:rPr>
              <w:t>3,349</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16,820</w:t>
            </w:r>
          </w:p>
        </w:tc>
        <w:tc>
          <w:tcPr>
            <w:tcW w:w="4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8,864</w:t>
            </w:r>
          </w:p>
        </w:tc>
      </w:tr>
    </w:tbl>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Stock-based compensation expense does not include the impact of estimated forfeitures. Forfeitures are taken as a reduction in expense in the period in which they occur. No compensation cost is recorded for awards that do not vest. Option awards included performance-based awards which are subject to the achievement of performance goals. For options subject to performance goals, the Company recognizes expense when it is probable that the performance condition will be achieved. These performance-based awards represent 27,236 and 40,854 of option awards outstanding as of September 30, 2026 and December 31, 2025, respectively and stock-based compensation related to performance-based awards was not material. Total stock-based compensation expense includes non-employee stock-based compensation of $0.3 million and $0.2 million for the three months ended September 30, 2026 and 2025, respectively, and $0.8 million and $0.9 million for the nine months ended September 30, 2026 and 2025,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97"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In February 2025, the Company adopted the Employee Stock Purchase Plan (the “ESPP”). The Company allows eligible employees to purchase shares of the Company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common stock through payroll deductions at a price equal to 85% of the lesser of the fair market value of the stock as of the first date or the ending date of each offering period, which is typically six months. In January 2026, the number of shares of common stock available for issuance under the ESPP was increased by 374,848 shares as a result of the automatic increase provision in the ESPP.</w:t>
      </w:r>
    </w:p>
    <w:p>
      <w:pPr>
        <w:spacing w:after="0" w:line="261"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2026, 1,001,501 shares under the ESPP remain available for purchase. The offering period and purchase period is determined by the Board of Directors. Stock-based compensation related to the ESPP was not material and is included in the Company’s total stock-based compensation expense table above.</w:t>
      </w:r>
    </w:p>
    <w:p>
      <w:pPr>
        <w:spacing w:after="0" w:line="200" w:lineRule="exact"/>
        <w:rPr>
          <w:sz w:val="20"/>
          <w:szCs w:val="20"/>
          <w:color w:val="auto"/>
        </w:rPr>
      </w:pPr>
    </w:p>
    <w:p>
      <w:pPr>
        <w:spacing w:after="0" w:line="296"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attributable to common stockholders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attributable to the Company’s common stockholders is computed by dividing the net loss attributable to the Company’s common stockholders by the weighted-average number of shares of common stock outstanding during the period.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Diluted net loss per share is the same as basic net loss per share for all periods presented because the effects of potentially dilutive items were anti-dilutive given the Company’s net loss position in each period presented.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3"/>
                <w:szCs w:val="13"/>
                <w:color w:val="auto"/>
              </w:rPr>
            </w:pPr>
          </w:p>
        </w:tc>
        <w:tc>
          <w:tcPr>
            <w:tcW w:w="2460" w:type="dxa"/>
            <w:vAlign w:val="bottom"/>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4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(60,357)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(39,885)</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38,500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36,807</w:t>
            </w:r>
          </w:p>
        </w:tc>
        <w:tc>
          <w:tcPr>
            <w:tcW w:w="240" w:type="dxa"/>
            <w:vAlign w:val="bottom"/>
          </w:tcPr>
          <w:p>
            <w:pPr>
              <w:spacing w:after="0"/>
              <w:rPr>
                <w:sz w:val="18"/>
                <w:szCs w:val="18"/>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38,068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36,327</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(0.55)</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weighted-average shares outstanding because such securities have an antidilutive impact due to losses reported (in common stock equivalent shares,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72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3"/>
                <w:szCs w:val="13"/>
                <w:color w:val="auto"/>
              </w:rPr>
            </w:pPr>
          </w:p>
        </w:tc>
        <w:tc>
          <w:tcPr>
            <w:tcW w:w="268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57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102</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plan stock options outstanding</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4,004</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4,495</w:t>
            </w:r>
          </w:p>
        </w:tc>
        <w:tc>
          <w:tcPr>
            <w:tcW w:w="13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4,004</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4,495</w:t>
            </w:r>
          </w:p>
        </w:tc>
      </w:tr>
      <w:tr>
        <w:trPr>
          <w:trHeight w:val="216"/>
        </w:trPr>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2,523</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1,451</w:t>
            </w:r>
          </w:p>
        </w:tc>
        <w:tc>
          <w:tcPr>
            <w:tcW w:w="13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2,523</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1,451</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6,660</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6,081</w:t>
            </w:r>
          </w:p>
        </w:tc>
        <w:tc>
          <w:tcPr>
            <w:tcW w:w="13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6,660</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6,081</w:t>
            </w:r>
          </w:p>
        </w:tc>
      </w:tr>
    </w:tbl>
    <w:p>
      <w:pPr>
        <w:spacing w:after="0" w:line="342"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had an effective tax rate of 0.0% for both of the three and nine months ended September 30, 2026 and 2025. The Company continues to incur operating losses.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2025, the Company evaluated all available evidence, both positive and negative, including historical levels of income, expectations and risks associated with estimates of future taxable income and determined that it is more likely than not that its net deferred tax assets will not be realized. Due to uncertainties surrounding the realization of the deferred tax assets, the Company continues to maintain a full valuation allowance against its net deferred tax assets.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financial statements and related notes included elsewhere in this Quarterly Report and our audited financial statements and the related notes and the discussion under the heading “Management’s Discussion and Analysis of Financial Condition and Results of Operations” for the year ended December 31, 2025 included in our Annual Report on Form 10-K. In addition to historical financial information, the following discussion contains forward-looking statements that reflect our plans, estimates, and beliefs that involve significant risks and uncertainties. Our actual results could differ materially from those discussed in the forward-looking statements. Factors that could cause or contribute to those differences include those discussed below and elsewhere in this Quarterly Report, particularly in “Risk Factors” and “Special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medical technology company focused on transforming the diagnosis and management of patients with serious neurological conditions. We have developed the Ceribell System, a novel, point-of-care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 We initially focused on becoming the standard of care for the detection and management of seizures in the acute care setting, where the technological and operational limitations of conventional EEG systems have contributed to significant delays in seizure and delirium diagnosis and suboptimal patient care and clinical outcomes, as well as a high economic burden for hospitals and the healthcare system. By making EEG more accessible and enabling continuous monitoring through the power of AI, the Ceribell System enables clinicians to more rapidly and accurately diagnose and manage patients at risk of seizure and delirium in the acute care setting, resulting in improved patient outcomes and hospital and payer economics. As of September 30, 2026, the Ceribell System has been adopted by more than 700 hospitals, ranging from top academic centers to small community hospitals. For information regarding how patient care and clinical outcomes are measured, see “Business—Market Overview—Challenges of Managing Seizures in the Acute Care Setting” included in our Annual Report on Form 10-K filed with the SEC on February 24, 2026.</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specifically designed the Ceribell System to address the limitations of conventional EEG in the acute care setting and dramatically improve clinical outcomes of critically ill patients at high risk of seizures. The Ceribell System integrates proprietary, highly portable hardware with AI-powered algorithms to aid in the detection and management of seizures. Our hardware is composed of disposable, flexible headbands and headcaps (“Wearables”) and a pocket-sized, rechargeable battery-operated recorder used to capture and wirelessly transmit EEG signals. The hardware is simple to use and, after approximately one hour of training, can be applied within minutes by any non-specialized healthcare professional. The recorder is integrated with a proprietary web-based portal that allows neurologists to remotely access EEG data in real time from any web-enabled device. EEG data captured by the recorder is interpreted by our proprietary AI-powered seizure detection algorithms, which continuously monitor the patient’s EEG signal and can support the clinician’s real-time assessment of seizure activity and delirium.</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currently focused on becoming the standard of care for the detection and management of seizures in the acute care setting. In May 2023, Clarity® became the first device to receive 510(k) clearance from the U.S. Food and Drug Administration (“FDA”) for diagnosing electrographic status epilepticus. In December 2025, the FDA granted 510(k) clearance for Ceribell’s proprietary Delirium Monitor System, the first and only FDA-cleared delirium screening and monitoring device. In June 2026, we received FDA 510(k) clearance that encompasses two separate neurology focused algorithms, EEG Artifact Reduction and Epileptiform Abnormality Detection. We also received FDA clearance on the full next-generation hardware platform that we anticipate will support our expansion into new indications and new application areas. In September 2026, we received FDA 510(k) clearance for Quantitative EEG Trending and Amplitude-Integrated EEG Analysis software that is designed to make it easier and faster for clinicians to interpret longitudinal brain activity and make appropriate clinical decisions.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are approximately 6,000 acute care facilities in the United States that we believe could benefit from the Ceribell System. We intend to expand the size of our direct sales organization in the United States to support our efforts to drive further adoption and utilization of the Ceribell System. While our current commercial focus is on the United States, we have received a CE Mark for the Ceribell System in Europe and we intend to pursue additional regulatory clearances in Europe and elsewhere outside of the United States in the future.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manage all aspects of manufacturing, supply chain, and distribution of the Wearables and recorder from our facilities in Sunnyvale, California. Contract manufacturers in China and Vietnam assemble the headbands, with final inspection and labeling completed at our California facilities. We have dual sources for major components of the Wearables. The components for our recorder are procured from various suppliers and shipped to our facilities for final testing and assembly.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our company, research and development activities, obtaining FDA clearances and other regulatory milestones, business planning, raising capital, establishing and maintaining our intellectual property portfolio, conducting direct sales efforts and marketing initiatives, conducting clinical studies, and providing general and administrative support for these operations.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2026, we had an accumulated deficit of $280.7 million. To date, we have funded our operations primarily through proceeds from the sale of shares of our stock, including common stock and redeemable convertible preferred stock, term loan and revolver proceeds, and cash generated from the sale of Wearables and subscriptions. As of September 30, 2026, we had $117.5 million in cash, cash equivalents, and marketable securities. Based on our current operating plan, we believe that our existing cash and cash equivalents and marketable securities, together with the expected cash generated from revenue transactions with customers,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w:t>
      </w:r>
    </w:p>
    <w:p>
      <w:pPr>
        <w:spacing w:after="0" w:line="18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incurred operating losses since the commencement of our operations and we expect to continue to incur losses as we grow and continue the transition to operating as a public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 and Performance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for the foreseeable future. These factors include:</w:t>
      </w:r>
    </w:p>
    <w:p>
      <w:pPr>
        <w:spacing w:after="0" w:line="50" w:lineRule="exact"/>
        <w:rPr>
          <w:sz w:val="20"/>
          <w:szCs w:val="20"/>
          <w:color w:val="auto"/>
        </w:rPr>
      </w:pPr>
    </w:p>
    <w:p>
      <w:pPr>
        <w:jc w:val="both"/>
        <w:ind w:left="1020" w:hanging="503"/>
        <w:spacing w:after="0" w:line="25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Adoption of the Ceribell System by new accounts. </w:t>
      </w:r>
      <w:r>
        <w:rPr>
          <w:rFonts w:ascii="Times New Roman" w:cs="Times New Roman" w:eastAsia="Times New Roman" w:hAnsi="Times New Roman"/>
          <w:sz w:val="18"/>
          <w:szCs w:val="18"/>
          <w:color w:val="auto"/>
        </w:rPr>
        <w:t>There are approximately 6,000 acute care facilities with an Intensive Care Unit (“ICU”)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Emergency Department (“ED”) or both in the United States that we believe could benefit from the Ceribell System because the patients arriving at such facilities may experience seizures or delirium triggered by the conditions leading them to seek acute medical care. As of September 30, 2026, we have successfully deployed the Ceribell System to more than 700 hospitals, ranging from top academic centers to small community hospitals. We believe that all acute care facilities in the United States can benefit from the Ceribell System, and our goal is to establish the Ceribell System as the standard of care for the detection and management of seizures in critically ill patients. To drive further adoption of the Ceribell System, we leverage our commercial infrastructure including Territory Managers (“TMs”), who focus on new account acquisition and onboarding, and Clinical Account Managers (“CAMs”), who focus on ongoing account coverage to increase utilization and further support hospital onboarding. Our commercial team engages with customers to communicate the value proposition of the Ceribell System, leveraging our large base of clinical evidence.</w:t>
      </w:r>
    </w:p>
    <w:p>
      <w:pPr>
        <w:spacing w:after="0" w:line="7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Utilization of the Ceribell System within our existing customer base. </w:t>
      </w:r>
      <w:r>
        <w:rPr>
          <w:rFonts w:ascii="Times New Roman" w:cs="Times New Roman" w:eastAsia="Times New Roman" w:hAnsi="Times New Roman"/>
          <w:sz w:val="18"/>
          <w:szCs w:val="18"/>
          <w:color w:val="auto"/>
        </w:rPr>
        <w:t>We believe there are over three million acute care patients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who should be monitored with EEG each year due to high risk of seizures. Currently, many of these patients are not promptly monitored by EEG, as a physician may not be aware of the risk of seizures in a given patient population. Our CAMs work to educate our customers to raise awareness of our technology, non-convulsive seizures, and the risks of delayed treatment. Even at facilities with access to the Ceribell System, clinicians may not use Ceribell on all eligible patients if they are not fully aware of the risks of seizures and the benefits of our solution. We aim to support hospitals in their efforts to integrate Ceribell into protocols for different patient populations, based on established guidelines. We are also continuing our efforts to expand to new hospital departments and provide training to more providers.</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 in research and development to drive innovation and expand our addressable market. </w:t>
      </w:r>
      <w:r>
        <w:rPr>
          <w:rFonts w:ascii="Times New Roman" w:cs="Times New Roman" w:eastAsia="Times New Roman" w:hAnsi="Times New Roman"/>
          <w:sz w:val="18"/>
          <w:szCs w:val="18"/>
          <w:color w:val="auto"/>
        </w:rPr>
        <w:t>Our research and development initiatives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focused on introducing enhancements, features, and improvements aimed at increasing the value provided by the Ceribell System for diagnosing and monitoring seizures and delirium in the acute care setting. We believe the platform nature of the Ceribell System will enable us to efficiently deploy it for use in other serious neurological conditions beyond seizures and delirium to additional indications.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generate revenue from two recurring sources. Product revenue is generated by the sale of our disposable Wearables that are intended for single patient use. Subscription revenue is generated by monthly subscription fees charged to our hospital customers for use of Clarity, recorders, and our portal. Revenue from sales of Wearables is recognized at a point in time upon transfer of control of the product. We generally recognize subscription revenue ratably over the related contractual term beginning on the date that the Ceribell System is made available to a customer. Our revenue fluctuates primarily based on the number of active accounts and the volume of Wearable usage.</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revenue will continue to fluctuate quarter-to-quarter due to a variety of factors, including the potential success of our sales force in extending adoption of the Ceribell System to new accounts and expanding the utilization of the Ceribell System in existing accounts. For purposes of managing our business, we do not separately track increases in revenue solely attributable to new accounts. We may experience fluctuations in the number of Wearables used by our customers based on seasonal factors that impact the number of patients in the acute care setting. For example, the number of patients in the intensive care unit is typically lower during the summer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Cost of revenue consists primarily of the cost of materials and labor to manufacture Wearables and depreciation of the manufacturing cost of recorders, as well as third-party hosting fees and personnel-related expenses for our subscription cost of revenue. Cost of revenue also includes expenses related to manufacturing overhead comprising compensation for personnel, manufacturing supervision, facilities, utilities, quality assurance, property tax, and certain direct costs such as tariffs and shipping costs. As we acquire new customers and existing customers increase their use of our product and software, we expect that our cost of revenue will continue to increase.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Gross profit, or revenue less cost of revenue, and gross margin, or gross profit as a percentage of revenue, have been and will continue to be affected by various factors that may cause gross margins to fluctuate. These include the product mix between product and subscription revenues, potential changes to sales prices, the timing of our acquisition of new customers, renewals of and follow-on sales to existing customers, costs associated with third-party hosting fees, costs associated with third-party manufacturing and supply chain purchases of inventory, and other direct costs such as tariffs and shipping. Our gross margin may fluctuate from period to period, based upon the factors described above and in the section titled “Risk Factors” included elsewhere in this Quarterly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are incurred in connection with the advancement of the Ceribell System with the goal to improve and expand on the existing Ceribell System and indications. Research and development expenses consist primarily of engineering, product development, regulatory activities, consulting services, materials, depreciation, and other costs associated with products and technologies being developed. These expenses include employee and non-employee compensation, including benefits, stock-based compensation, supplies, materials, consulting, related travel expenses, and facilities expenses. Our research and development team includes clinical study experts as well as hardware and software engineers with deep expertise in mechanical and electrical engineering, data science, AI, embedded software design, and cloud-based data and security architecture. We invest in research and development efforts with the goal of driving continuous improvements in our current system and solutions and expanding the clinical application of the Ceribell System and AI algorithms, in the acute care setting and beyond. Research and development expenses are recognized as incurred and payments made prior to the receipt of goods or services to be used in research and development are capitalized and are recognized as expense as the goods are delivered or as related services are performed.</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record research and development expenses in the periods in which they are incurred. Costs for certain activities, such as clinical studies and clinical trials, are generally recognized based on an evaluation of the progress to completion of specific tasks using information and data provided to us by our vendors and collaborators.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continue to improve and optimize our products, leverage our platform to expand indications, and develop products for use beyond the acute care setting.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costs, including salaries, commissions, bonuses, benefits, travel, and stock-based compensation as well as investments in marketing initiatives to increase market awareness of our technology and the prevalence of seizures and delirium in critically ill patient populations, including expenses related to travel, conferences, trade shows, and consulting services.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sales and marketing expenses to increase for the foreseeable future as we continue to increase the size of our sales organization and market penetration in the United States, expand indications, and potentially establish an international presence by pursuing marketing authorizations and engaging in other market access initiatives in international regions in which we see significant potential opportunity.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including salaries, benefits, and stock-based compensation expense for personnel in executive, finance, accounting, commercial operations, legal, human resource, IT, and administrative functions. General and administrative expenses also include direct or allocated expenses for rent and maintenance of facilities and insurance, not otherwise included in research and development expenses, sales and marketing expenses, or cost of revenue, as well as professional fees for legal, patent, and consulting services.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and intellectual property enforcement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and other income (expense), net is primarily interest income on our cash, cash equivalents, and marketable securities. Interest expense primarily consists of interest on our term loans and revolver and a non-cash interest charge related to amortization of debt issuance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recorded any U.S. federal or state income tax expense. We have recorded deferred tax assets for U.S. federal income taxes for which we provide a full valuation allowance. These deferred tax assets primarily include net operating loss carryforwards and we expect to maintain this full valuation allowance for the foreseeable future as it is not more likely than not the deferred tax assets will be realized based on our history of losses.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2026 and 2025</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(in thousands). The period-to-period comparison of financial results is not necessarily indicative of financial results to be achieved in future periods.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140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22,235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5,215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Subscription revenue</w:t>
            </w:r>
          </w:p>
        </w:tc>
        <w:tc>
          <w:tcPr>
            <w:tcW w:w="14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7,106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5,569</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29,341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22,589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6,752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cost of goods sold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14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3,001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2,647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354</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26,340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19,942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6,398</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7,403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4,983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2,420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6,463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14,453</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11,037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43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46,888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34,589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12,299</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(20,548)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(14,647)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(5,901)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(21,351)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(13,465)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(7,886)</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20" w:type="dxa"/>
            <w:vAlign w:val="bottom"/>
            <w:shd w:val="clear" w:color="auto" w:fill="CFF0FC"/>
          </w:tcPr>
          <w:p>
            <w:pPr>
              <w:spacing w:after="0"/>
              <w:rPr>
                <w:sz w:val="18"/>
                <w:szCs w:val="18"/>
                <w:color w:val="auto"/>
              </w:rPr>
            </w:pPr>
          </w:p>
        </w:tc>
        <w:tc>
          <w:tcPr>
            <w:tcW w:w="1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(21,351)</w:t>
            </w:r>
          </w:p>
        </w:tc>
        <w:tc>
          <w:tcPr>
            <w:tcW w:w="380" w:type="dxa"/>
            <w:vAlign w:val="bottom"/>
            <w:gridSpan w:val="2"/>
            <w:shd w:val="clear" w:color="auto" w:fill="CAEEFB"/>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(13,465)</w:t>
            </w:r>
          </w:p>
        </w:tc>
        <w:tc>
          <w:tcPr>
            <w:tcW w:w="120" w:type="dxa"/>
            <w:vAlign w:val="bottom"/>
            <w:shd w:val="clear" w:color="auto" w:fill="CFF0FC"/>
          </w:tcPr>
          <w:p>
            <w:pPr>
              <w:spacing w:after="0"/>
              <w:rPr>
                <w:sz w:val="18"/>
                <w:szCs w:val="18"/>
                <w:color w:val="auto"/>
              </w:rPr>
            </w:pPr>
          </w:p>
        </w:tc>
        <w:tc>
          <w:tcPr>
            <w:tcW w:w="1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(7,886)</w:t>
            </w:r>
          </w:p>
        </w:tc>
        <w:tc>
          <w:tcPr>
            <w:tcW w:w="150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340"/>
        </w:trPr>
        <w:tc>
          <w:tcPr>
            <w:tcW w:w="4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4"/>
                <w:szCs w:val="24"/>
                <w:color w:val="auto"/>
              </w:rPr>
            </w:pPr>
          </w:p>
        </w:tc>
        <w:tc>
          <w:tcPr>
            <w:tcW w:w="140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shd w:val="clear" w:color="auto" w:fill="CAEEFB"/>
          </w:tcPr>
          <w:p>
            <w:pPr>
              <w:spacing w:after="0"/>
              <w:rPr>
                <w:sz w:val="18"/>
                <w:szCs w:val="18"/>
                <w:color w:val="auto"/>
              </w:rPr>
            </w:pPr>
          </w:p>
        </w:tc>
        <w:tc>
          <w:tcPr>
            <w:tcW w:w="120" w:type="dxa"/>
            <w:vAlign w:val="bottom"/>
            <w:shd w:val="clear" w:color="auto" w:fill="CAEEFB"/>
          </w:tcPr>
          <w:p>
            <w:pPr>
              <w:spacing w:after="0"/>
              <w:rPr>
                <w:sz w:val="18"/>
                <w:szCs w:val="18"/>
                <w:color w:val="auto"/>
              </w:rPr>
            </w:pPr>
          </w:p>
        </w:tc>
        <w:tc>
          <w:tcPr>
            <w:tcW w:w="1120" w:type="dxa"/>
            <w:vAlign w:val="bottom"/>
            <w:shd w:val="clear" w:color="auto" w:fill="CAEEFB"/>
          </w:tcPr>
          <w:p>
            <w:pPr>
              <w:spacing w:after="0"/>
              <w:rPr>
                <w:sz w:val="18"/>
                <w:szCs w:val="18"/>
                <w:color w:val="auto"/>
              </w:rPr>
            </w:pPr>
          </w:p>
        </w:tc>
        <w:tc>
          <w:tcPr>
            <w:tcW w:w="120" w:type="dxa"/>
            <w:vAlign w:val="bottom"/>
            <w:shd w:val="clear" w:color="auto" w:fill="CAEEFB"/>
          </w:tcPr>
          <w:p>
            <w:pPr>
              <w:spacing w:after="0"/>
              <w:rPr>
                <w:sz w:val="18"/>
                <w:szCs w:val="18"/>
                <w:color w:val="auto"/>
              </w:rPr>
            </w:pPr>
          </w:p>
        </w:tc>
        <w:tc>
          <w:tcPr>
            <w:tcW w:w="260" w:type="dxa"/>
            <w:vAlign w:val="bottom"/>
            <w:shd w:val="clear" w:color="auto" w:fill="CAEEFB"/>
          </w:tcPr>
          <w:p>
            <w:pPr>
              <w:spacing w:after="0"/>
              <w:rPr>
                <w:sz w:val="18"/>
                <w:szCs w:val="18"/>
                <w:color w:val="auto"/>
              </w:rPr>
            </w:pPr>
          </w:p>
        </w:tc>
        <w:tc>
          <w:tcPr>
            <w:tcW w:w="1000" w:type="dxa"/>
            <w:vAlign w:val="bottom"/>
            <w:shd w:val="clear" w:color="auto" w:fill="CAEEFB"/>
          </w:tcPr>
          <w:p>
            <w:pPr>
              <w:spacing w:after="0"/>
              <w:rPr>
                <w:sz w:val="18"/>
                <w:szCs w:val="18"/>
                <w:color w:val="auto"/>
              </w:rPr>
            </w:pPr>
          </w:p>
        </w:tc>
        <w:tc>
          <w:tcPr>
            <w:tcW w:w="120" w:type="dxa"/>
            <w:vAlign w:val="bottom"/>
            <w:shd w:val="clear" w:color="auto" w:fill="CAEEFB"/>
          </w:tcPr>
          <w:p>
            <w:pPr>
              <w:spacing w:after="0"/>
              <w:rPr>
                <w:sz w:val="18"/>
                <w:szCs w:val="18"/>
                <w:color w:val="auto"/>
              </w:rPr>
            </w:pPr>
          </w:p>
        </w:tc>
        <w:tc>
          <w:tcPr>
            <w:tcW w:w="180" w:type="dxa"/>
            <w:vAlign w:val="bottom"/>
            <w:shd w:val="clear" w:color="auto" w:fill="CAEEFB"/>
          </w:tcPr>
          <w:p>
            <w:pPr>
              <w:spacing w:after="0"/>
              <w:rPr>
                <w:sz w:val="18"/>
                <w:szCs w:val="18"/>
                <w:color w:val="auto"/>
              </w:rPr>
            </w:pPr>
          </w:p>
        </w:tc>
        <w:tc>
          <w:tcPr>
            <w:tcW w:w="1040" w:type="dxa"/>
            <w:vAlign w:val="bottom"/>
            <w:shd w:val="clear" w:color="auto" w:fill="CAEEFB"/>
          </w:tcPr>
          <w:p>
            <w:pPr>
              <w:spacing w:after="0"/>
              <w:rPr>
                <w:sz w:val="18"/>
                <w:szCs w:val="18"/>
                <w:color w:val="auto"/>
              </w:rPr>
            </w:pPr>
          </w:p>
        </w:tc>
        <w:tc>
          <w:tcPr>
            <w:tcW w:w="100" w:type="dxa"/>
            <w:vAlign w:val="bottom"/>
            <w:shd w:val="clear" w:color="auto" w:fill="CAEEFB"/>
          </w:tcPr>
          <w:p>
            <w:pPr>
              <w:spacing w:after="0"/>
              <w:rPr>
                <w:sz w:val="18"/>
                <w:szCs w:val="18"/>
                <w:color w:val="auto"/>
              </w:rPr>
            </w:pPr>
          </w:p>
        </w:tc>
        <w:tc>
          <w:tcPr>
            <w:tcW w:w="1400" w:type="dxa"/>
            <w:vAlign w:val="bottom"/>
            <w:shd w:val="clear" w:color="auto" w:fill="CAEEF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63,667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48,551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15,116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AEEFB"/>
            </w:tcBorders>
            <w:shd w:val="clear" w:color="auto" w:fill="CAEEFB"/>
          </w:tcPr>
          <w:p>
            <w:pPr>
              <w:ind w:left="120"/>
              <w:spacing w:after="0"/>
              <w:rPr>
                <w:sz w:val="20"/>
                <w:szCs w:val="20"/>
                <w:color w:val="auto"/>
              </w:rPr>
            </w:pPr>
            <w:r>
              <w:rPr>
                <w:rFonts w:ascii="Times New Roman" w:cs="Times New Roman" w:eastAsia="Times New Roman" w:hAnsi="Times New Roman"/>
                <w:sz w:val="18"/>
                <w:szCs w:val="18"/>
                <w:color w:val="auto"/>
              </w:rPr>
              <w:t>Subscription revenue</w:t>
            </w:r>
          </w:p>
        </w:tc>
        <w:tc>
          <w:tcPr>
            <w:tcW w:w="1420" w:type="dxa"/>
            <w:vAlign w:val="bottom"/>
            <w:tcBorders>
              <w:bottom w:val="single" w:sz="8" w:color="CAEEFB"/>
            </w:tcBorders>
            <w:shd w:val="clear" w:color="auto" w:fill="CAEEFB"/>
          </w:tcPr>
          <w:p>
            <w:pPr>
              <w:spacing w:after="0"/>
              <w:rPr>
                <w:sz w:val="18"/>
                <w:szCs w:val="18"/>
                <w:color w:val="auto"/>
              </w:rPr>
            </w:pPr>
          </w:p>
        </w:tc>
        <w:tc>
          <w:tcPr>
            <w:tcW w:w="120" w:type="dxa"/>
            <w:vAlign w:val="bottom"/>
            <w:tcBorders>
              <w:bottom w:val="single" w:sz="8" w:color="auto"/>
            </w:tcBorders>
            <w:shd w:val="clear" w:color="auto" w:fill="CAEEFB"/>
          </w:tcPr>
          <w:p>
            <w:pPr>
              <w:spacing w:after="0"/>
              <w:rPr>
                <w:sz w:val="18"/>
                <w:szCs w:val="18"/>
                <w:color w:val="auto"/>
              </w:rPr>
            </w:pPr>
          </w:p>
        </w:tc>
        <w:tc>
          <w:tcPr>
            <w:tcW w:w="1120" w:type="dxa"/>
            <w:vAlign w:val="bottom"/>
            <w:tcBorders>
              <w:bottom w:val="single" w:sz="8" w:color="auto"/>
            </w:tcBorders>
            <w:shd w:val="clear" w:color="auto" w:fill="CAEEFB"/>
          </w:tcPr>
          <w:p>
            <w:pPr>
              <w:jc w:val="right"/>
              <w:ind w:right="32"/>
              <w:spacing w:after="0"/>
              <w:rPr>
                <w:sz w:val="20"/>
                <w:szCs w:val="20"/>
                <w:color w:val="auto"/>
              </w:rPr>
            </w:pPr>
            <w:r>
              <w:rPr>
                <w:rFonts w:ascii="Times New Roman" w:cs="Times New Roman" w:eastAsia="Times New Roman" w:hAnsi="Times New Roman"/>
                <w:sz w:val="18"/>
                <w:szCs w:val="18"/>
                <w:color w:val="auto"/>
              </w:rPr>
              <w:t>20,266</w:t>
            </w:r>
          </w:p>
        </w:tc>
        <w:tc>
          <w:tcPr>
            <w:tcW w:w="120" w:type="dxa"/>
            <w:vAlign w:val="bottom"/>
            <w:tcBorders>
              <w:bottom w:val="single" w:sz="8" w:color="CAEEFB"/>
            </w:tcBorders>
            <w:shd w:val="clear" w:color="auto" w:fill="CAEEFB"/>
          </w:tcPr>
          <w:p>
            <w:pPr>
              <w:spacing w:after="0"/>
              <w:rPr>
                <w:sz w:val="18"/>
                <w:szCs w:val="18"/>
                <w:color w:val="auto"/>
              </w:rPr>
            </w:pPr>
          </w:p>
        </w:tc>
        <w:tc>
          <w:tcPr>
            <w:tcW w:w="260" w:type="dxa"/>
            <w:vAlign w:val="bottom"/>
            <w:tcBorders>
              <w:bottom w:val="single" w:sz="8" w:color="auto"/>
            </w:tcBorders>
            <w:shd w:val="clear" w:color="auto" w:fill="CAEEFB"/>
          </w:tcPr>
          <w:p>
            <w:pPr>
              <w:spacing w:after="0"/>
              <w:rPr>
                <w:sz w:val="18"/>
                <w:szCs w:val="18"/>
                <w:color w:val="auto"/>
              </w:rPr>
            </w:pPr>
          </w:p>
        </w:tc>
        <w:tc>
          <w:tcPr>
            <w:tcW w:w="1000" w:type="dxa"/>
            <w:vAlign w:val="bottom"/>
            <w:tcBorders>
              <w:bottom w:val="single" w:sz="8" w:color="auto"/>
            </w:tcBorders>
            <w:shd w:val="clear" w:color="auto" w:fill="CAEEFB"/>
          </w:tcPr>
          <w:p>
            <w:pPr>
              <w:jc w:val="right"/>
              <w:ind w:right="31"/>
              <w:spacing w:after="0"/>
              <w:rPr>
                <w:sz w:val="20"/>
                <w:szCs w:val="20"/>
                <w:color w:val="auto"/>
              </w:rPr>
            </w:pPr>
            <w:r>
              <w:rPr>
                <w:rFonts w:ascii="Times New Roman" w:cs="Times New Roman" w:eastAsia="Times New Roman" w:hAnsi="Times New Roman"/>
                <w:sz w:val="18"/>
                <w:szCs w:val="18"/>
                <w:color w:val="auto"/>
              </w:rPr>
              <w:t>15,728</w:t>
            </w:r>
          </w:p>
        </w:tc>
        <w:tc>
          <w:tcPr>
            <w:tcW w:w="120" w:type="dxa"/>
            <w:vAlign w:val="bottom"/>
            <w:tcBorders>
              <w:bottom w:val="single" w:sz="8" w:color="CAEEFB"/>
            </w:tcBorders>
            <w:shd w:val="clear" w:color="auto" w:fill="CAEEFB"/>
          </w:tcPr>
          <w:p>
            <w:pPr>
              <w:spacing w:after="0"/>
              <w:rPr>
                <w:sz w:val="18"/>
                <w:szCs w:val="18"/>
                <w:color w:val="auto"/>
              </w:rPr>
            </w:pPr>
          </w:p>
        </w:tc>
        <w:tc>
          <w:tcPr>
            <w:tcW w:w="180" w:type="dxa"/>
            <w:vAlign w:val="bottom"/>
            <w:tcBorders>
              <w:bottom w:val="single" w:sz="8" w:color="auto"/>
            </w:tcBorders>
            <w:shd w:val="clear" w:color="auto" w:fill="CAEEFB"/>
          </w:tcPr>
          <w:p>
            <w:pPr>
              <w:spacing w:after="0"/>
              <w:rPr>
                <w:sz w:val="18"/>
                <w:szCs w:val="18"/>
                <w:color w:val="auto"/>
              </w:rPr>
            </w:pPr>
          </w:p>
        </w:tc>
        <w:tc>
          <w:tcPr>
            <w:tcW w:w="1040" w:type="dxa"/>
            <w:vAlign w:val="bottom"/>
            <w:tcBorders>
              <w:bottom w:val="single" w:sz="8" w:color="auto"/>
            </w:tcBorders>
            <w:shd w:val="clear" w:color="auto" w:fill="CAEEFB"/>
          </w:tcPr>
          <w:p>
            <w:pPr>
              <w:jc w:val="right"/>
              <w:ind w:right="31"/>
              <w:spacing w:after="0"/>
              <w:rPr>
                <w:sz w:val="20"/>
                <w:szCs w:val="20"/>
                <w:color w:val="auto"/>
              </w:rPr>
            </w:pPr>
            <w:r>
              <w:rPr>
                <w:rFonts w:ascii="Times New Roman" w:cs="Times New Roman" w:eastAsia="Times New Roman" w:hAnsi="Times New Roman"/>
                <w:sz w:val="18"/>
                <w:szCs w:val="18"/>
                <w:color w:val="auto"/>
              </w:rPr>
              <w:t>4,538</w:t>
            </w:r>
          </w:p>
        </w:tc>
        <w:tc>
          <w:tcPr>
            <w:tcW w:w="100" w:type="dxa"/>
            <w:vAlign w:val="bottom"/>
            <w:tcBorders>
              <w:bottom w:val="single" w:sz="8" w:color="CAEEFB"/>
            </w:tcBorders>
            <w:shd w:val="clear" w:color="auto" w:fill="CAEEFB"/>
          </w:tcPr>
          <w:p>
            <w:pPr>
              <w:spacing w:after="0"/>
              <w:rPr>
                <w:sz w:val="18"/>
                <w:szCs w:val="18"/>
                <w:color w:val="auto"/>
              </w:rPr>
            </w:pPr>
          </w:p>
        </w:tc>
        <w:tc>
          <w:tcPr>
            <w:tcW w:w="140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83,933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64,279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19,654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16"/>
        </w:trPr>
        <w:tc>
          <w:tcPr>
            <w:tcW w:w="436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20" w:type="dxa"/>
            <w:vAlign w:val="bottom"/>
            <w:shd w:val="clear" w:color="auto" w:fill="CAEEFB"/>
          </w:tcPr>
          <w:p>
            <w:pPr>
              <w:spacing w:after="0"/>
              <w:rPr>
                <w:sz w:val="18"/>
                <w:szCs w:val="18"/>
                <w:color w:val="auto"/>
              </w:rPr>
            </w:pPr>
          </w:p>
        </w:tc>
        <w:tc>
          <w:tcPr>
            <w:tcW w:w="120" w:type="dxa"/>
            <w:vAlign w:val="bottom"/>
            <w:shd w:val="clear" w:color="auto" w:fill="CAEEFB"/>
          </w:tcPr>
          <w:p>
            <w:pPr>
              <w:spacing w:after="0"/>
              <w:rPr>
                <w:sz w:val="18"/>
                <w:szCs w:val="18"/>
                <w:color w:val="auto"/>
              </w:rPr>
            </w:pPr>
          </w:p>
        </w:tc>
        <w:tc>
          <w:tcPr>
            <w:tcW w:w="1120" w:type="dxa"/>
            <w:vAlign w:val="bottom"/>
            <w:shd w:val="clear" w:color="auto" w:fill="CAEEFB"/>
          </w:tcPr>
          <w:p>
            <w:pPr>
              <w:spacing w:after="0"/>
              <w:rPr>
                <w:sz w:val="18"/>
                <w:szCs w:val="18"/>
                <w:color w:val="auto"/>
              </w:rPr>
            </w:pPr>
          </w:p>
        </w:tc>
        <w:tc>
          <w:tcPr>
            <w:tcW w:w="120" w:type="dxa"/>
            <w:vAlign w:val="bottom"/>
            <w:shd w:val="clear" w:color="auto" w:fill="CAEEFB"/>
          </w:tcPr>
          <w:p>
            <w:pPr>
              <w:spacing w:after="0"/>
              <w:rPr>
                <w:sz w:val="18"/>
                <w:szCs w:val="18"/>
                <w:color w:val="auto"/>
              </w:rPr>
            </w:pPr>
          </w:p>
        </w:tc>
        <w:tc>
          <w:tcPr>
            <w:tcW w:w="260" w:type="dxa"/>
            <w:vAlign w:val="bottom"/>
            <w:shd w:val="clear" w:color="auto" w:fill="CAEEFB"/>
          </w:tcPr>
          <w:p>
            <w:pPr>
              <w:spacing w:after="0"/>
              <w:rPr>
                <w:sz w:val="18"/>
                <w:szCs w:val="18"/>
                <w:color w:val="auto"/>
              </w:rPr>
            </w:pPr>
          </w:p>
        </w:tc>
        <w:tc>
          <w:tcPr>
            <w:tcW w:w="1000" w:type="dxa"/>
            <w:vAlign w:val="bottom"/>
            <w:shd w:val="clear" w:color="auto" w:fill="CAEEFB"/>
          </w:tcPr>
          <w:p>
            <w:pPr>
              <w:spacing w:after="0"/>
              <w:rPr>
                <w:sz w:val="18"/>
                <w:szCs w:val="18"/>
                <w:color w:val="auto"/>
              </w:rPr>
            </w:pPr>
          </w:p>
        </w:tc>
        <w:tc>
          <w:tcPr>
            <w:tcW w:w="120" w:type="dxa"/>
            <w:vAlign w:val="bottom"/>
            <w:shd w:val="clear" w:color="auto" w:fill="CAEEFB"/>
          </w:tcPr>
          <w:p>
            <w:pPr>
              <w:spacing w:after="0"/>
              <w:rPr>
                <w:sz w:val="18"/>
                <w:szCs w:val="18"/>
                <w:color w:val="auto"/>
              </w:rPr>
            </w:pPr>
          </w:p>
        </w:tc>
        <w:tc>
          <w:tcPr>
            <w:tcW w:w="180" w:type="dxa"/>
            <w:vAlign w:val="bottom"/>
            <w:shd w:val="clear" w:color="auto" w:fill="CAEEFB"/>
          </w:tcPr>
          <w:p>
            <w:pPr>
              <w:spacing w:after="0"/>
              <w:rPr>
                <w:sz w:val="18"/>
                <w:szCs w:val="18"/>
                <w:color w:val="auto"/>
              </w:rPr>
            </w:pPr>
          </w:p>
        </w:tc>
        <w:tc>
          <w:tcPr>
            <w:tcW w:w="1040" w:type="dxa"/>
            <w:vAlign w:val="bottom"/>
            <w:shd w:val="clear" w:color="auto" w:fill="CAEEFB"/>
          </w:tcPr>
          <w:p>
            <w:pPr>
              <w:spacing w:after="0"/>
              <w:rPr>
                <w:sz w:val="18"/>
                <w:szCs w:val="18"/>
                <w:color w:val="auto"/>
              </w:rPr>
            </w:pPr>
          </w:p>
        </w:tc>
        <w:tc>
          <w:tcPr>
            <w:tcW w:w="100" w:type="dxa"/>
            <w:vAlign w:val="bottom"/>
            <w:shd w:val="clear" w:color="auto" w:fill="CAEEFB"/>
          </w:tcPr>
          <w:p>
            <w:pPr>
              <w:spacing w:after="0"/>
              <w:rPr>
                <w:sz w:val="18"/>
                <w:szCs w:val="18"/>
                <w:color w:val="auto"/>
              </w:rPr>
            </w:pPr>
          </w:p>
        </w:tc>
        <w:tc>
          <w:tcPr>
            <w:tcW w:w="1400" w:type="dxa"/>
            <w:vAlign w:val="bottom"/>
            <w:shd w:val="clear" w:color="auto" w:fill="CAEEF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cost of goods sold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AEEFB"/>
            </w:tcBorders>
            <w:shd w:val="clear" w:color="auto" w:fill="CAEEFB"/>
          </w:tcPr>
          <w:p>
            <w:pPr>
              <w:ind w:left="1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1420" w:type="dxa"/>
            <w:vAlign w:val="bottom"/>
            <w:tcBorders>
              <w:bottom w:val="single" w:sz="8" w:color="CAEEFB"/>
            </w:tcBorders>
            <w:shd w:val="clear" w:color="auto" w:fill="CAEEFB"/>
          </w:tcPr>
          <w:p>
            <w:pPr>
              <w:spacing w:after="0"/>
              <w:rPr>
                <w:sz w:val="18"/>
                <w:szCs w:val="18"/>
                <w:color w:val="auto"/>
              </w:rPr>
            </w:pPr>
          </w:p>
        </w:tc>
        <w:tc>
          <w:tcPr>
            <w:tcW w:w="120" w:type="dxa"/>
            <w:vAlign w:val="bottom"/>
            <w:tcBorders>
              <w:bottom w:val="single" w:sz="8" w:color="auto"/>
            </w:tcBorders>
            <w:shd w:val="clear" w:color="auto" w:fill="CAEEFB"/>
          </w:tcPr>
          <w:p>
            <w:pPr>
              <w:spacing w:after="0"/>
              <w:rPr>
                <w:sz w:val="18"/>
                <w:szCs w:val="18"/>
                <w:color w:val="auto"/>
              </w:rPr>
            </w:pPr>
          </w:p>
        </w:tc>
        <w:tc>
          <w:tcPr>
            <w:tcW w:w="1120" w:type="dxa"/>
            <w:vAlign w:val="bottom"/>
            <w:tcBorders>
              <w:bottom w:val="single" w:sz="8" w:color="auto"/>
            </w:tcBorders>
            <w:shd w:val="clear" w:color="auto" w:fill="CAEEFB"/>
          </w:tcPr>
          <w:p>
            <w:pPr>
              <w:jc w:val="right"/>
              <w:ind w:right="32"/>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AEEFB"/>
            </w:tcBorders>
            <w:shd w:val="clear" w:color="auto" w:fill="CAEEFB"/>
          </w:tcPr>
          <w:p>
            <w:pPr>
              <w:spacing w:after="0"/>
              <w:rPr>
                <w:sz w:val="18"/>
                <w:szCs w:val="18"/>
                <w:color w:val="auto"/>
              </w:rPr>
            </w:pPr>
          </w:p>
        </w:tc>
        <w:tc>
          <w:tcPr>
            <w:tcW w:w="260" w:type="dxa"/>
            <w:vAlign w:val="bottom"/>
            <w:tcBorders>
              <w:bottom w:val="single" w:sz="8" w:color="auto"/>
            </w:tcBorders>
            <w:shd w:val="clear" w:color="auto" w:fill="CAEEFB"/>
          </w:tcPr>
          <w:p>
            <w:pPr>
              <w:spacing w:after="0"/>
              <w:rPr>
                <w:sz w:val="18"/>
                <w:szCs w:val="18"/>
                <w:color w:val="auto"/>
              </w:rPr>
            </w:pPr>
          </w:p>
        </w:tc>
        <w:tc>
          <w:tcPr>
            <w:tcW w:w="1000" w:type="dxa"/>
            <w:vAlign w:val="bottom"/>
            <w:tcBorders>
              <w:bottom w:val="single" w:sz="8" w:color="auto"/>
            </w:tcBorders>
            <w:shd w:val="clear" w:color="auto" w:fill="CAEEFB"/>
          </w:tcPr>
          <w:p>
            <w:pPr>
              <w:jc w:val="right"/>
              <w:ind w:right="31"/>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Borders>
              <w:bottom w:val="single" w:sz="8" w:color="CAEEFB"/>
            </w:tcBorders>
            <w:shd w:val="clear" w:color="auto" w:fill="CAEEFB"/>
          </w:tcPr>
          <w:p>
            <w:pPr>
              <w:spacing w:after="0"/>
              <w:rPr>
                <w:sz w:val="18"/>
                <w:szCs w:val="18"/>
                <w:color w:val="auto"/>
              </w:rPr>
            </w:pPr>
          </w:p>
        </w:tc>
        <w:tc>
          <w:tcPr>
            <w:tcW w:w="180" w:type="dxa"/>
            <w:vAlign w:val="bottom"/>
            <w:tcBorders>
              <w:bottom w:val="single" w:sz="8" w:color="auto"/>
            </w:tcBorders>
            <w:shd w:val="clear" w:color="auto" w:fill="CAEEFB"/>
          </w:tcPr>
          <w:p>
            <w:pPr>
              <w:spacing w:after="0"/>
              <w:rPr>
                <w:sz w:val="18"/>
                <w:szCs w:val="18"/>
                <w:color w:val="auto"/>
              </w:rPr>
            </w:pPr>
          </w:p>
        </w:tc>
        <w:tc>
          <w:tcPr>
            <w:tcW w:w="1040" w:type="dxa"/>
            <w:vAlign w:val="bottom"/>
            <w:tcBorders>
              <w:bottom w:val="single" w:sz="8" w:color="auto"/>
            </w:tcBorders>
            <w:shd w:val="clear" w:color="auto" w:fill="CAEEFB"/>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AEEFB"/>
            </w:tcBorders>
            <w:shd w:val="clear" w:color="auto" w:fill="CAEEFB"/>
          </w:tcPr>
          <w:p>
            <w:pPr>
              <w:spacing w:after="0"/>
              <w:rPr>
                <w:sz w:val="18"/>
                <w:szCs w:val="18"/>
                <w:color w:val="auto"/>
              </w:rPr>
            </w:pPr>
          </w:p>
        </w:tc>
        <w:tc>
          <w:tcPr>
            <w:tcW w:w="140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8,533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7,648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885</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10"/>
        </w:trPr>
        <w:tc>
          <w:tcPr>
            <w:tcW w:w="4360" w:type="dxa"/>
            <w:vAlign w:val="bottom"/>
            <w:shd w:val="clear" w:color="auto" w:fill="CAEEFB"/>
          </w:tcPr>
          <w:p>
            <w:pPr>
              <w:ind w:left="2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20" w:type="dxa"/>
            <w:vAlign w:val="bottom"/>
            <w:shd w:val="clear" w:color="auto" w:fill="CAEEFB"/>
          </w:tcPr>
          <w:p>
            <w:pPr>
              <w:spacing w:after="0"/>
              <w:rPr>
                <w:sz w:val="18"/>
                <w:szCs w:val="18"/>
                <w:color w:val="auto"/>
              </w:rPr>
            </w:pPr>
          </w:p>
        </w:tc>
        <w:tc>
          <w:tcPr>
            <w:tcW w:w="120" w:type="dxa"/>
            <w:vAlign w:val="bottom"/>
            <w:shd w:val="clear" w:color="auto" w:fill="CAEEFB"/>
          </w:tcPr>
          <w:p>
            <w:pPr>
              <w:spacing w:after="0"/>
              <w:rPr>
                <w:sz w:val="18"/>
                <w:szCs w:val="18"/>
                <w:color w:val="auto"/>
              </w:rPr>
            </w:pPr>
          </w:p>
        </w:tc>
        <w:tc>
          <w:tcPr>
            <w:tcW w:w="1120" w:type="dxa"/>
            <w:vAlign w:val="bottom"/>
            <w:shd w:val="clear" w:color="auto" w:fill="CAEEFB"/>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75,400</w:t>
            </w:r>
          </w:p>
        </w:tc>
        <w:tc>
          <w:tcPr>
            <w:tcW w:w="120" w:type="dxa"/>
            <w:vAlign w:val="bottom"/>
            <w:shd w:val="clear" w:color="auto" w:fill="CAEEFB"/>
          </w:tcPr>
          <w:p>
            <w:pPr>
              <w:spacing w:after="0"/>
              <w:rPr>
                <w:sz w:val="18"/>
                <w:szCs w:val="18"/>
                <w:color w:val="auto"/>
              </w:rPr>
            </w:pPr>
          </w:p>
        </w:tc>
        <w:tc>
          <w:tcPr>
            <w:tcW w:w="260" w:type="dxa"/>
            <w:vAlign w:val="bottom"/>
            <w:shd w:val="clear" w:color="auto" w:fill="CAEEFB"/>
          </w:tcPr>
          <w:p>
            <w:pPr>
              <w:spacing w:after="0"/>
              <w:rPr>
                <w:sz w:val="18"/>
                <w:szCs w:val="18"/>
                <w:color w:val="auto"/>
              </w:rPr>
            </w:pPr>
          </w:p>
        </w:tc>
        <w:tc>
          <w:tcPr>
            <w:tcW w:w="1000" w:type="dxa"/>
            <w:vAlign w:val="bottom"/>
            <w:shd w:val="clear" w:color="auto" w:fill="CAEEFB"/>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56,631</w:t>
            </w:r>
          </w:p>
        </w:tc>
        <w:tc>
          <w:tcPr>
            <w:tcW w:w="120" w:type="dxa"/>
            <w:vAlign w:val="bottom"/>
            <w:shd w:val="clear" w:color="auto" w:fill="CAEEFB"/>
          </w:tcPr>
          <w:p>
            <w:pPr>
              <w:spacing w:after="0"/>
              <w:rPr>
                <w:sz w:val="18"/>
                <w:szCs w:val="18"/>
                <w:color w:val="auto"/>
              </w:rPr>
            </w:pPr>
          </w:p>
        </w:tc>
        <w:tc>
          <w:tcPr>
            <w:tcW w:w="180" w:type="dxa"/>
            <w:vAlign w:val="bottom"/>
            <w:shd w:val="clear" w:color="auto" w:fill="CAEEFB"/>
          </w:tcPr>
          <w:p>
            <w:pPr>
              <w:spacing w:after="0"/>
              <w:rPr>
                <w:sz w:val="18"/>
                <w:szCs w:val="18"/>
                <w:color w:val="auto"/>
              </w:rPr>
            </w:pPr>
          </w:p>
        </w:tc>
        <w:tc>
          <w:tcPr>
            <w:tcW w:w="1040" w:type="dxa"/>
            <w:vAlign w:val="bottom"/>
            <w:shd w:val="clear" w:color="auto" w:fill="CAEEFB"/>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18,769</w:t>
            </w:r>
          </w:p>
        </w:tc>
        <w:tc>
          <w:tcPr>
            <w:tcW w:w="150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AEEFB"/>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shd w:val="clear" w:color="auto" w:fill="CAEEFB"/>
          </w:tcPr>
          <w:p>
            <w:pPr>
              <w:spacing w:after="0"/>
              <w:rPr>
                <w:sz w:val="18"/>
                <w:szCs w:val="18"/>
                <w:color w:val="auto"/>
              </w:rPr>
            </w:pPr>
          </w:p>
        </w:tc>
        <w:tc>
          <w:tcPr>
            <w:tcW w:w="120" w:type="dxa"/>
            <w:vAlign w:val="bottom"/>
            <w:shd w:val="clear" w:color="auto" w:fill="CAEEFB"/>
          </w:tcPr>
          <w:p>
            <w:pPr>
              <w:spacing w:after="0"/>
              <w:rPr>
                <w:sz w:val="18"/>
                <w:szCs w:val="18"/>
                <w:color w:val="auto"/>
              </w:rPr>
            </w:pPr>
          </w:p>
        </w:tc>
        <w:tc>
          <w:tcPr>
            <w:tcW w:w="1120" w:type="dxa"/>
            <w:vAlign w:val="bottom"/>
            <w:shd w:val="clear" w:color="auto" w:fill="CAEEFB"/>
          </w:tcPr>
          <w:p>
            <w:pPr>
              <w:jc w:val="right"/>
              <w:ind w:right="32"/>
              <w:spacing w:after="0"/>
              <w:rPr>
                <w:sz w:val="20"/>
                <w:szCs w:val="20"/>
                <w:color w:val="auto"/>
              </w:rPr>
            </w:pPr>
            <w:r>
              <w:rPr>
                <w:rFonts w:ascii="Times New Roman" w:cs="Times New Roman" w:eastAsia="Times New Roman" w:hAnsi="Times New Roman"/>
                <w:sz w:val="18"/>
                <w:szCs w:val="18"/>
                <w:color w:val="auto"/>
              </w:rPr>
              <w:t>20,311</w:t>
            </w:r>
          </w:p>
        </w:tc>
        <w:tc>
          <w:tcPr>
            <w:tcW w:w="120" w:type="dxa"/>
            <w:vAlign w:val="bottom"/>
            <w:shd w:val="clear" w:color="auto" w:fill="CAEEFB"/>
          </w:tcPr>
          <w:p>
            <w:pPr>
              <w:spacing w:after="0"/>
              <w:rPr>
                <w:sz w:val="18"/>
                <w:szCs w:val="18"/>
                <w:color w:val="auto"/>
              </w:rPr>
            </w:pPr>
          </w:p>
        </w:tc>
        <w:tc>
          <w:tcPr>
            <w:tcW w:w="260" w:type="dxa"/>
            <w:vAlign w:val="bottom"/>
            <w:shd w:val="clear" w:color="auto" w:fill="CAEEFB"/>
          </w:tcPr>
          <w:p>
            <w:pPr>
              <w:spacing w:after="0"/>
              <w:rPr>
                <w:sz w:val="18"/>
                <w:szCs w:val="18"/>
                <w:color w:val="auto"/>
              </w:rPr>
            </w:pPr>
          </w:p>
        </w:tc>
        <w:tc>
          <w:tcPr>
            <w:tcW w:w="1000" w:type="dxa"/>
            <w:vAlign w:val="bottom"/>
            <w:shd w:val="clear" w:color="auto" w:fill="CAEEFB"/>
          </w:tcPr>
          <w:p>
            <w:pPr>
              <w:jc w:val="right"/>
              <w:ind w:right="31"/>
              <w:spacing w:after="0"/>
              <w:rPr>
                <w:sz w:val="20"/>
                <w:szCs w:val="20"/>
                <w:color w:val="auto"/>
              </w:rPr>
            </w:pPr>
            <w:r>
              <w:rPr>
                <w:rFonts w:ascii="Times New Roman" w:cs="Times New Roman" w:eastAsia="Times New Roman" w:hAnsi="Times New Roman"/>
                <w:sz w:val="18"/>
                <w:szCs w:val="18"/>
                <w:color w:val="auto"/>
              </w:rPr>
              <w:t>14,081</w:t>
            </w:r>
          </w:p>
        </w:tc>
        <w:tc>
          <w:tcPr>
            <w:tcW w:w="120" w:type="dxa"/>
            <w:vAlign w:val="bottom"/>
            <w:shd w:val="clear" w:color="auto" w:fill="CAEEFB"/>
          </w:tcPr>
          <w:p>
            <w:pPr>
              <w:spacing w:after="0"/>
              <w:rPr>
                <w:sz w:val="18"/>
                <w:szCs w:val="18"/>
                <w:color w:val="auto"/>
              </w:rPr>
            </w:pPr>
          </w:p>
        </w:tc>
        <w:tc>
          <w:tcPr>
            <w:tcW w:w="180" w:type="dxa"/>
            <w:vAlign w:val="bottom"/>
            <w:shd w:val="clear" w:color="auto" w:fill="CAEEFB"/>
          </w:tcPr>
          <w:p>
            <w:pPr>
              <w:spacing w:after="0"/>
              <w:rPr>
                <w:sz w:val="18"/>
                <w:szCs w:val="18"/>
                <w:color w:val="auto"/>
              </w:rPr>
            </w:pPr>
          </w:p>
        </w:tc>
        <w:tc>
          <w:tcPr>
            <w:tcW w:w="1040" w:type="dxa"/>
            <w:vAlign w:val="bottom"/>
            <w:shd w:val="clear" w:color="auto" w:fill="CAEEFB"/>
          </w:tcPr>
          <w:p>
            <w:pPr>
              <w:jc w:val="right"/>
              <w:ind w:right="31"/>
              <w:spacing w:after="0"/>
              <w:rPr>
                <w:sz w:val="20"/>
                <w:szCs w:val="20"/>
                <w:color w:val="auto"/>
              </w:rPr>
            </w:pPr>
            <w:r>
              <w:rPr>
                <w:rFonts w:ascii="Times New Roman" w:cs="Times New Roman" w:eastAsia="Times New Roman" w:hAnsi="Times New Roman"/>
                <w:sz w:val="18"/>
                <w:szCs w:val="18"/>
                <w:color w:val="auto"/>
              </w:rPr>
              <w:t>6,230</w:t>
            </w:r>
          </w:p>
        </w:tc>
        <w:tc>
          <w:tcPr>
            <w:tcW w:w="150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71,837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17,813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AEEFB"/>
            </w:tcBorders>
            <w:shd w:val="clear" w:color="auto" w:fill="CAEEFB"/>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CAEEFB"/>
            </w:tcBorders>
            <w:shd w:val="clear" w:color="auto" w:fill="CAEEFB"/>
          </w:tcPr>
          <w:p>
            <w:pPr>
              <w:spacing w:after="0"/>
              <w:rPr>
                <w:sz w:val="18"/>
                <w:szCs w:val="18"/>
                <w:color w:val="auto"/>
              </w:rPr>
            </w:pPr>
          </w:p>
        </w:tc>
        <w:tc>
          <w:tcPr>
            <w:tcW w:w="120" w:type="dxa"/>
            <w:vAlign w:val="bottom"/>
            <w:tcBorders>
              <w:bottom w:val="single" w:sz="8" w:color="auto"/>
            </w:tcBorders>
            <w:shd w:val="clear" w:color="auto" w:fill="CAEEFB"/>
          </w:tcPr>
          <w:p>
            <w:pPr>
              <w:spacing w:after="0"/>
              <w:rPr>
                <w:sz w:val="18"/>
                <w:szCs w:val="18"/>
                <w:color w:val="auto"/>
              </w:rPr>
            </w:pPr>
          </w:p>
        </w:tc>
        <w:tc>
          <w:tcPr>
            <w:tcW w:w="1120" w:type="dxa"/>
            <w:vAlign w:val="bottom"/>
            <w:tcBorders>
              <w:bottom w:val="single" w:sz="8" w:color="auto"/>
            </w:tcBorders>
            <w:shd w:val="clear" w:color="auto" w:fill="CAEEFB"/>
          </w:tcPr>
          <w:p>
            <w:pPr>
              <w:jc w:val="right"/>
              <w:ind w:right="32"/>
              <w:spacing w:after="0"/>
              <w:rPr>
                <w:sz w:val="20"/>
                <w:szCs w:val="20"/>
                <w:color w:val="auto"/>
              </w:rPr>
            </w:pPr>
            <w:r>
              <w:rPr>
                <w:rFonts w:ascii="Times New Roman" w:cs="Times New Roman" w:eastAsia="Times New Roman" w:hAnsi="Times New Roman"/>
                <w:sz w:val="18"/>
                <w:szCs w:val="18"/>
                <w:color w:val="auto"/>
              </w:rPr>
              <w:t>44,526</w:t>
            </w:r>
          </w:p>
        </w:tc>
        <w:tc>
          <w:tcPr>
            <w:tcW w:w="120" w:type="dxa"/>
            <w:vAlign w:val="bottom"/>
            <w:tcBorders>
              <w:bottom w:val="single" w:sz="8" w:color="CAEEFB"/>
            </w:tcBorders>
            <w:shd w:val="clear" w:color="auto" w:fill="CAEEFB"/>
          </w:tcPr>
          <w:p>
            <w:pPr>
              <w:spacing w:after="0"/>
              <w:rPr>
                <w:sz w:val="18"/>
                <w:szCs w:val="18"/>
                <w:color w:val="auto"/>
              </w:rPr>
            </w:pPr>
          </w:p>
        </w:tc>
        <w:tc>
          <w:tcPr>
            <w:tcW w:w="260" w:type="dxa"/>
            <w:vAlign w:val="bottom"/>
            <w:tcBorders>
              <w:bottom w:val="single" w:sz="8" w:color="auto"/>
            </w:tcBorders>
            <w:shd w:val="clear" w:color="auto" w:fill="CAEEFB"/>
          </w:tcPr>
          <w:p>
            <w:pPr>
              <w:spacing w:after="0"/>
              <w:rPr>
                <w:sz w:val="18"/>
                <w:szCs w:val="18"/>
                <w:color w:val="auto"/>
              </w:rPr>
            </w:pPr>
          </w:p>
        </w:tc>
        <w:tc>
          <w:tcPr>
            <w:tcW w:w="1000" w:type="dxa"/>
            <w:vAlign w:val="bottom"/>
            <w:tcBorders>
              <w:bottom w:val="single" w:sz="8" w:color="auto"/>
            </w:tcBorders>
            <w:shd w:val="clear" w:color="auto" w:fill="CAEEFB"/>
          </w:tcPr>
          <w:p>
            <w:pPr>
              <w:jc w:val="right"/>
              <w:ind w:right="31"/>
              <w:spacing w:after="0"/>
              <w:rPr>
                <w:sz w:val="20"/>
                <w:szCs w:val="20"/>
                <w:color w:val="auto"/>
              </w:rPr>
            </w:pPr>
            <w:r>
              <w:rPr>
                <w:rFonts w:ascii="Times New Roman" w:cs="Times New Roman" w:eastAsia="Times New Roman" w:hAnsi="Times New Roman"/>
                <w:sz w:val="18"/>
                <w:szCs w:val="18"/>
                <w:color w:val="auto"/>
              </w:rPr>
              <w:t>32,332</w:t>
            </w:r>
          </w:p>
        </w:tc>
        <w:tc>
          <w:tcPr>
            <w:tcW w:w="120" w:type="dxa"/>
            <w:vAlign w:val="bottom"/>
            <w:tcBorders>
              <w:bottom w:val="single" w:sz="8" w:color="CAEEFB"/>
            </w:tcBorders>
            <w:shd w:val="clear" w:color="auto" w:fill="CAEEFB"/>
          </w:tcPr>
          <w:p>
            <w:pPr>
              <w:spacing w:after="0"/>
              <w:rPr>
                <w:sz w:val="18"/>
                <w:szCs w:val="18"/>
                <w:color w:val="auto"/>
              </w:rPr>
            </w:pPr>
          </w:p>
        </w:tc>
        <w:tc>
          <w:tcPr>
            <w:tcW w:w="180" w:type="dxa"/>
            <w:vAlign w:val="bottom"/>
            <w:tcBorders>
              <w:bottom w:val="single" w:sz="8" w:color="auto"/>
            </w:tcBorders>
            <w:shd w:val="clear" w:color="auto" w:fill="CAEEFB"/>
          </w:tcPr>
          <w:p>
            <w:pPr>
              <w:spacing w:after="0"/>
              <w:rPr>
                <w:sz w:val="18"/>
                <w:szCs w:val="18"/>
                <w:color w:val="auto"/>
              </w:rPr>
            </w:pPr>
          </w:p>
        </w:tc>
        <w:tc>
          <w:tcPr>
            <w:tcW w:w="1040" w:type="dxa"/>
            <w:vAlign w:val="bottom"/>
            <w:tcBorders>
              <w:bottom w:val="single" w:sz="8" w:color="auto"/>
            </w:tcBorders>
            <w:shd w:val="clear" w:color="auto" w:fill="CAEEFB"/>
          </w:tcPr>
          <w:p>
            <w:pPr>
              <w:jc w:val="right"/>
              <w:ind w:right="31"/>
              <w:spacing w:after="0"/>
              <w:rPr>
                <w:sz w:val="20"/>
                <w:szCs w:val="20"/>
                <w:color w:val="auto"/>
              </w:rPr>
            </w:pPr>
            <w:r>
              <w:rPr>
                <w:rFonts w:ascii="Times New Roman" w:cs="Times New Roman" w:eastAsia="Times New Roman" w:hAnsi="Times New Roman"/>
                <w:sz w:val="18"/>
                <w:szCs w:val="18"/>
                <w:color w:val="auto"/>
              </w:rPr>
              <w:t>12,194</w:t>
            </w:r>
          </w:p>
        </w:tc>
        <w:tc>
          <w:tcPr>
            <w:tcW w:w="100" w:type="dxa"/>
            <w:vAlign w:val="bottom"/>
            <w:tcBorders>
              <w:bottom w:val="single" w:sz="8" w:color="CAEEFB"/>
            </w:tcBorders>
            <w:shd w:val="clear" w:color="auto" w:fill="CAEEFB"/>
          </w:tcPr>
          <w:p>
            <w:pPr>
              <w:spacing w:after="0"/>
              <w:rPr>
                <w:sz w:val="18"/>
                <w:szCs w:val="18"/>
                <w:color w:val="auto"/>
              </w:rPr>
            </w:pPr>
          </w:p>
        </w:tc>
        <w:tc>
          <w:tcPr>
            <w:tcW w:w="140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43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136,674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100,437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36,237</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10"/>
        </w:trPr>
        <w:tc>
          <w:tcPr>
            <w:tcW w:w="436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20" w:type="dxa"/>
            <w:vAlign w:val="bottom"/>
            <w:shd w:val="clear" w:color="auto" w:fill="CAEEFB"/>
          </w:tcPr>
          <w:p>
            <w:pPr>
              <w:spacing w:after="0"/>
              <w:rPr>
                <w:sz w:val="18"/>
                <w:szCs w:val="18"/>
                <w:color w:val="auto"/>
              </w:rPr>
            </w:pPr>
          </w:p>
        </w:tc>
        <w:tc>
          <w:tcPr>
            <w:tcW w:w="120" w:type="dxa"/>
            <w:vAlign w:val="bottom"/>
            <w:shd w:val="clear" w:color="auto" w:fill="CAEEFB"/>
          </w:tcPr>
          <w:p>
            <w:pPr>
              <w:spacing w:after="0"/>
              <w:rPr>
                <w:sz w:val="18"/>
                <w:szCs w:val="18"/>
                <w:color w:val="auto"/>
              </w:rPr>
            </w:pPr>
          </w:p>
        </w:tc>
        <w:tc>
          <w:tcPr>
            <w:tcW w:w="11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(61,274)</w:t>
            </w:r>
          </w:p>
        </w:tc>
        <w:tc>
          <w:tcPr>
            <w:tcW w:w="120" w:type="dxa"/>
            <w:vAlign w:val="bottom"/>
            <w:shd w:val="clear" w:color="auto" w:fill="CAEEFB"/>
          </w:tcPr>
          <w:p>
            <w:pPr>
              <w:spacing w:after="0"/>
              <w:rPr>
                <w:sz w:val="18"/>
                <w:szCs w:val="18"/>
                <w:color w:val="auto"/>
              </w:rPr>
            </w:pPr>
          </w:p>
        </w:tc>
        <w:tc>
          <w:tcPr>
            <w:tcW w:w="260" w:type="dxa"/>
            <w:vAlign w:val="bottom"/>
            <w:shd w:val="clear" w:color="auto" w:fill="CAEEFB"/>
          </w:tcPr>
          <w:p>
            <w:pPr>
              <w:spacing w:after="0"/>
              <w:rPr>
                <w:sz w:val="18"/>
                <w:szCs w:val="18"/>
                <w:color w:val="auto"/>
              </w:rPr>
            </w:pPr>
          </w:p>
        </w:tc>
        <w:tc>
          <w:tcPr>
            <w:tcW w:w="10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(43,806)</w:t>
            </w:r>
          </w:p>
        </w:tc>
        <w:tc>
          <w:tcPr>
            <w:tcW w:w="120" w:type="dxa"/>
            <w:vAlign w:val="bottom"/>
            <w:shd w:val="clear" w:color="auto" w:fill="CAEEFB"/>
          </w:tcPr>
          <w:p>
            <w:pPr>
              <w:spacing w:after="0"/>
              <w:rPr>
                <w:sz w:val="18"/>
                <w:szCs w:val="18"/>
                <w:color w:val="auto"/>
              </w:rPr>
            </w:pPr>
          </w:p>
        </w:tc>
        <w:tc>
          <w:tcPr>
            <w:tcW w:w="180" w:type="dxa"/>
            <w:vAlign w:val="bottom"/>
            <w:shd w:val="clear" w:color="auto" w:fill="CAEEFB"/>
          </w:tcPr>
          <w:p>
            <w:pPr>
              <w:spacing w:after="0"/>
              <w:rPr>
                <w:sz w:val="18"/>
                <w:szCs w:val="18"/>
                <w:color w:val="auto"/>
              </w:rPr>
            </w:pPr>
          </w:p>
        </w:tc>
        <w:tc>
          <w:tcPr>
            <w:tcW w:w="10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(17,468)</w:t>
            </w:r>
          </w:p>
        </w:tc>
        <w:tc>
          <w:tcPr>
            <w:tcW w:w="150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AEEFB"/>
          </w:tcPr>
          <w:p>
            <w:pPr>
              <w:ind w:left="220"/>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420" w:type="dxa"/>
            <w:vAlign w:val="bottom"/>
            <w:shd w:val="clear" w:color="auto" w:fill="CAEEFB"/>
          </w:tcPr>
          <w:p>
            <w:pPr>
              <w:spacing w:after="0"/>
              <w:rPr>
                <w:sz w:val="18"/>
                <w:szCs w:val="18"/>
                <w:color w:val="auto"/>
              </w:rPr>
            </w:pPr>
          </w:p>
        </w:tc>
        <w:tc>
          <w:tcPr>
            <w:tcW w:w="120" w:type="dxa"/>
            <w:vAlign w:val="bottom"/>
            <w:shd w:val="clear" w:color="auto" w:fill="CAEEFB"/>
          </w:tcPr>
          <w:p>
            <w:pPr>
              <w:spacing w:after="0"/>
              <w:rPr>
                <w:sz w:val="18"/>
                <w:szCs w:val="18"/>
                <w:color w:val="auto"/>
              </w:rPr>
            </w:pPr>
          </w:p>
        </w:tc>
        <w:tc>
          <w:tcPr>
            <w:tcW w:w="11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(60,357)</w:t>
            </w:r>
          </w:p>
        </w:tc>
        <w:tc>
          <w:tcPr>
            <w:tcW w:w="120" w:type="dxa"/>
            <w:vAlign w:val="bottom"/>
            <w:shd w:val="clear" w:color="auto" w:fill="CAEEFB"/>
          </w:tcPr>
          <w:p>
            <w:pPr>
              <w:spacing w:after="0"/>
              <w:rPr>
                <w:sz w:val="18"/>
                <w:szCs w:val="18"/>
                <w:color w:val="auto"/>
              </w:rPr>
            </w:pPr>
          </w:p>
        </w:tc>
        <w:tc>
          <w:tcPr>
            <w:tcW w:w="260" w:type="dxa"/>
            <w:vAlign w:val="bottom"/>
            <w:shd w:val="clear" w:color="auto" w:fill="CAEEFB"/>
          </w:tcPr>
          <w:p>
            <w:pPr>
              <w:spacing w:after="0"/>
              <w:rPr>
                <w:sz w:val="18"/>
                <w:szCs w:val="18"/>
                <w:color w:val="auto"/>
              </w:rPr>
            </w:pPr>
          </w:p>
        </w:tc>
        <w:tc>
          <w:tcPr>
            <w:tcW w:w="10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(39,885)</w:t>
            </w:r>
          </w:p>
        </w:tc>
        <w:tc>
          <w:tcPr>
            <w:tcW w:w="120" w:type="dxa"/>
            <w:vAlign w:val="bottom"/>
            <w:shd w:val="clear" w:color="auto" w:fill="CAEEFB"/>
          </w:tcPr>
          <w:p>
            <w:pPr>
              <w:spacing w:after="0"/>
              <w:rPr>
                <w:sz w:val="18"/>
                <w:szCs w:val="18"/>
                <w:color w:val="auto"/>
              </w:rPr>
            </w:pPr>
          </w:p>
        </w:tc>
        <w:tc>
          <w:tcPr>
            <w:tcW w:w="180" w:type="dxa"/>
            <w:vAlign w:val="bottom"/>
            <w:shd w:val="clear" w:color="auto" w:fill="CAEEFB"/>
          </w:tcPr>
          <w:p>
            <w:pPr>
              <w:spacing w:after="0"/>
              <w:rPr>
                <w:sz w:val="18"/>
                <w:szCs w:val="18"/>
                <w:color w:val="auto"/>
              </w:rPr>
            </w:pPr>
          </w:p>
        </w:tc>
        <w:tc>
          <w:tcPr>
            <w:tcW w:w="10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(20,472)</w:t>
            </w:r>
          </w:p>
        </w:tc>
        <w:tc>
          <w:tcPr>
            <w:tcW w:w="150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AEEFB"/>
          </w:tcPr>
          <w:p>
            <w:pPr>
              <w:ind w:left="3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4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(60,357)</w:t>
            </w:r>
          </w:p>
        </w:tc>
        <w:tc>
          <w:tcPr>
            <w:tcW w:w="380" w:type="dxa"/>
            <w:vAlign w:val="bottom"/>
            <w:gridSpan w:val="2"/>
            <w:shd w:val="clear" w:color="auto" w:fill="CAEEFB"/>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(39,885)</w:t>
            </w:r>
          </w:p>
        </w:tc>
        <w:tc>
          <w:tcPr>
            <w:tcW w:w="30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(20,472)</w:t>
            </w:r>
          </w:p>
        </w:tc>
        <w:tc>
          <w:tcPr>
            <w:tcW w:w="150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0" w:type="dxa"/>
            <w:vAlign w:val="bottom"/>
          </w:tcPr>
          <w:p>
            <w:pPr>
              <w:spacing w:after="0"/>
              <w:rPr>
                <w:sz w:val="1"/>
                <w:szCs w:val="1"/>
                <w:color w:val="auto"/>
              </w:rPr>
            </w:pPr>
          </w:p>
        </w:tc>
      </w:tr>
      <w:tr>
        <w:trPr>
          <w:trHeight w:val="580"/>
        </w:trPr>
        <w:tc>
          <w:tcPr>
            <w:tcW w:w="4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-6668770</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-6668770</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-6668770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-6111240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-6111240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-6111240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-5271135</wp:posOffset>
            </wp:positionV>
            <wp:extent cx="85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-5271135</wp:posOffset>
            </wp:positionV>
            <wp:extent cx="857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-5271135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-3394075</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-3394075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-3394075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-2836545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-2836545</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-2836545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-1996440</wp:posOffset>
            </wp:positionV>
            <wp:extent cx="85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-1996440</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-1996440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542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the three and nine months ended September 30, 2026 and 2025 </w:t>
      </w:r>
      <w:r>
        <w:rPr>
          <w:rFonts w:ascii="Times New Roman" w:cs="Times New Roman" w:eastAsia="Times New Roman" w:hAnsi="Times New Roman"/>
          <w:sz w:val="18"/>
          <w:szCs w:val="18"/>
          <w:i w:val="1"/>
          <w:iCs w:val="1"/>
          <w:color w:val="auto"/>
        </w:rPr>
        <w:t>Revenue</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Product revenue for the three and nine months ended September 30, 2026, increased $5.2 million and $15.1 million, or 31% and 31%, respectively, compared to the same period of fiscal year 2025. Product revenue growth was primarily driven by the addition of new customers and an increase in utilization of Wearables and resulting sales of Wearables, driven by continued customer education that resulted in increased awareness and adoption of our products.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Subscription revenue for the three and nine months ended September 30, 2026, increased $1.5 million and $4.5 million, respectively, or 28% and 29%, respectively, compared to the same period of fiscal year 2025. Subscription revenue growth was primarily driven by the addition of new customers.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Product cost of revenue for the three months ended September 30, 2026, increased $0.2 million, or 8% compared to the same period of fiscal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Product cost of revenue for the nine months ended September 30, 2026 increased $0.4 million, or 5%, compared to the same period of fiscal year</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2025. The increase in cost of goods sold for products for the three and nine months ended September 30, 2026 was primarily due to an increase in Wearables sales to new and existing active accounts. The increase in cost of goods sold for products was partially offset by tariff refunds for the nine months ended September 30, 2026.</w:t>
      </w:r>
    </w:p>
    <w:p>
      <w:pPr>
        <w:spacing w:after="0" w:line="1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Subscription cost of revenue for three and nine months ended September 30, 2026, increased $0.2 million and $0.5 million, or 84% and 105%, respectively, compared to the same period of fiscal year 2025. The increase in subscription cost of revenue was primarily due to increased hosting costs for new and existing active accounts for subscriptions and incremental recorder depreciation associated with new subscriptions.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(in thousands) and Gross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3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26,340</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19,942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6,398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gross profit</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19,577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14,559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5,018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Product gross margin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gross profit</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6,763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5,383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1,380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gross margin</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46"/>
        </w:trPr>
        <w:tc>
          <w:tcPr>
            <w:tcW w:w="5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4"/>
                <w:szCs w:val="24"/>
                <w:color w:val="auto"/>
              </w:rPr>
            </w:pPr>
          </w:p>
        </w:tc>
        <w:tc>
          <w:tcPr>
            <w:tcW w:w="13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75,400</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56,631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18,769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gross profit</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56,110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41,379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14,731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Product gross margin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gross profit</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19,290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15,252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4,038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gross margin</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Gross profit for the three and nine months ended September 30, 2026 increased $6.4 million and $18.8 million, or 32% and 33%, respectively, compared to the same period of fiscal year 2025. The increase is primarily due to increased revenue and decreased cost of sales per unit due to cost reduction strategies.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$2.4 million, or 49%, for the three months ended September 30, 2026, compared to the same period of fiscal year 2025. The increase was primarily due to an increase of $1.4 million in personnel and related expenses directly associated with an increase in headcount as well as an increase of $0.7 million for consultants and materials driven by increased research activity.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$6.2 million, or 44%, for the nine months ended September 30, 2026, compared to the same period of fiscal year 2025. The increase was primarily due to an increase of $4.6 million in personnel and related expenses directly associated with an increase in headcount as well as an increase of $1.3 million for consultants and materials driven by increased research activity.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$6.5 million, or 35%, for the three months ended September 30, 2026, compared to the same period of fiscal year 2025. The increase was primarily due to an increase in personnel and related expenses directly associated with an increase in headcount.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$17.8 million, or 33%, for the nine months ended September 30, 2026, compared to the same period of fiscal year 2025. The increase was primarily due to an increase in personnel and related expenses directly associated with an increase in headcount.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$3.4 million, or 31%, for the three months ended September 30, 2026, compared to the same period of fiscal year 2025. The increase was primarily due to an increase in personnel and related expenses directly associated with an increase in headcount and stock modification.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$12.2 million, or 38%, for the nine months ended September 30, 2026, compared to the same period of fiscal year 2025. The increase was primarily due to an increase of $5.6 million in personnel and related expenses directly associated with an increase in headcount and stock modification, as well as an increase in professional services of $6.7 million driven by legal costs associated with intellectual property enforcement activities, including a patent infringement suit initiated in July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Interest and other income (expense), net decreased $2.0 million, or 168% for the three months ended September 30, 2026, compared to the same period for fiscal year 2025. The decrease in interest and other income, net was primarily due to a $1.5 million loss on debt extinguishment and lower balances of cash equivalents and marketable securities, compared to the same period of the prior year. This was partially offset by lower interest expense compared to the prior year, as interest on the MidCap Revolving Facility is less than that of the VLSA, which terminated on August 5, 2026.</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and other income, net decreased $3.0 million, or 77% for the nine months ended September 30, 2026, compared to the same period for fiscal year 2025. The decrease in interest and other income, net was primarily due to lower balances of cash equivalents and marketable securities, compared to the same period of the prior year, as well as a $1.5 million loss on debt extinguishment.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presented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0" w:type="dxa"/>
            <w:vAlign w:val="bottom"/>
          </w:tcPr>
          <w:p>
            <w:pPr>
              <w:spacing w:after="0"/>
              <w:rPr>
                <w:sz w:val="12"/>
                <w:szCs w:val="12"/>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(45,238)</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(30,034)</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42,659</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(144,245)</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4,092</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3,648</w:t>
            </w: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2026, consisted primarily of our net loss of $60.4 million and net amortization premiums on marketable securities of $1.7 million, offset by non-cash charges of stock-based compensation of $16.8 million and depreciation and amortization of $0.7 million. Additionally, we had a $1.5 million loss on debt extinguishment and a net increase in operating assets of $1.9 million and a net decrease in operating liabilities of $0.8 million. Net operating assets increased and net operating liabilities decreased primarily due to timing of payments.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2025, consisted primarily of our net loss of $39.9 million, offset by non-cash charges of stock-based compensation of $8.9 million, and depreciation and amortization of $1.1 million. Additionally, we had a net increase in operating assets of $0.9 million and a net increase in operating liabilities of $1.9 million.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operating assets increased due to increases in accounts receivable and inventory due to higher inventory purchases in the nine months ended September 30, 2025. Net operating liabilities increased primarily due to timing of payments.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September 30, 2026 was $42.7 million, and consisted of maturities and sales of marketable securities, offset by purchases of marketable securities, equipment, and recorders provided to customers.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2025 was $144.2 million, and consisted of purchases of marketable securities and equipment and recorders provided to customers.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2026, consisted of proceeds from the exercise of options and purchase of shares in accordance with our ESPP and proceeds from the MidCap Revolving Facility, offset by payments made for the debt extinguishment, payments made on the VLSA, and payments made on the MidCap Revolving Facility.</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2025, consisted of proceeds from the exercise of options, offset by debt issuance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IEEPA Tariffs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April 2025, the U.S. government announced new tariffs on goods imported into the U.S. from dozens of countries, including China and the European Union member states. In response, governments have threatened or imposed reciprocal tariffs or taken other measures, and the United States is in the process of negotiating trade agreements with certain governments. In February 2026, the U.S. Supreme Court ruled to invalidate the U.S. administration’s tariff program implemented under IEEPA. In the three months ended June 30, 2026, we recognized refunds of $1.6 million. Of this refund amount, $1.0 million was recognized as a reduction of cost of goods sold for product that had been sold and the remaining $0.6 million related to inventory on hand and remains capitalized in inventory as of June 30,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the following EBITDA and Adjusted EBITDA non-GAAP measures are useful in evaluating our operating performance. We use EBITDA and Adjusted EBITDA to evaluate our ongoing operations and for internal planning and forecasting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 However, non-GAAP financial information is presented for supplemental informational purposes only, has limitations as an analytical tool, and should not be considered in isolation or as a substitute for financial information presented in accordance with GAAP. Investors are encouraged to review the related GAAP financial measures and the reconciliation of these non-GAAP financial measures to its most directly comparable GAAP financial measure set forth below, and not to rely on any single financial measure to evaluate our business.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EBITDA and Adjusted EBITDA are key performance measures that we use to assess our operating performance. Because EBITDA and Adjusted EBITDA facilitate internal comparisons of our historical operating performance on a more consistent basis, we use these measures for business planning purposes.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calculate EBITDA as net loss adjusted to exclude (i) provision for income taxes (zero for each of the periods presented), (ii) depreciation and amortization expense, and (iii) interest income and interest expense, net (which consists primarily of interest income on our cash equivalents and marketable securities and interest expense on our term loans and revolver and non-cash interest charges related to amortization of debt issuance costs). We then adjust EBITDA to exclude (iv) stock-based compensation expense, (v) legal fees and related professional services costs incurred in connection with the patent infringement action we filed against Natus in July 2025, as further described in Part II, Item 1 — Legal Proceedings of this Quarterly Report (the “Natus IP Matter”), and (vi) the loss on debt extinguishment, to arrive at Adjusted EBITDA.</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involved from time to time in routine intellectual property activities in the ordinary course of business, including patent prosecution and portfolio maintenance, and the costs of those activities are not excluded from Adjusted EBITDA. The expenses excluded as the “Natus IP Matter” relate solely to that specific, discrete enforcement action, which we believe is outside the ordinary course of our business and materially larger in magnitude than our historical intellectual property enforcement spending. Management excludes these expenses from Adjusted EBITDA because they are not representative of our underlying operating performance and because excluding them facilitates more meaningful period-over-period comparison of our results. We periodically reassess whether the costs associated with this matter continue to be appropriately excluded from Adjusted EBITDA.</w:t>
      </w:r>
    </w:p>
    <w:p>
      <w:pPr>
        <w:sectPr>
          <w:pgSz w:w="11900" w:h="16838" w:orient="portrait"/>
          <w:cols w:equalWidth="0" w:num="1">
            <w:col w:w="11240"/>
          </w:cols>
          <w:pgMar w:left="320" w:top="117" w:right="33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use of EBITDA and Adjusted EBITDA has limitations as an analytical tool and should not be considered in isolation or as a substitute for analysis of our results as reported under GAAP. Some of these limitations are:</w:t>
      </w:r>
    </w:p>
    <w:p>
      <w:pPr>
        <w:spacing w:after="0" w:line="5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capital expenditure requirements for such replacements;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expense on our outstanding indebtedness or interest income earned on our cash equivalents and marketable securities;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any provision for, or cash requirements associated with, income taxes that we may be required to pay in future periods;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EBITDA and Adjusted EBITDA measures differently, which reduces their usefulness as a comparative measure.</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evaluating EBITDA and Adjusted EBITDA, we anticipate that we will continue to incur expenses similar to those reflected in the adjustments above. Accordingly, our presentation of EBITDA and Adjusted EBITDA should not be construed as suggesting that our future results will be unaffected by these expenses. When evaluating our financial results, EBITDA and Adjusted EBITDA should be considered alongside other financial performance measures, including our net loss and other GAAP results.</w:t>
      </w:r>
    </w:p>
    <w:p>
      <w:pPr>
        <w:spacing w:after="0" w:line="2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EBITDA and Adjusted EBITDA to our net loss, the most directly comparable U.S. GAAP financial measure, for each of the periods indicated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5"/>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2"/>
        </w:trPr>
        <w:tc>
          <w:tcPr>
            <w:tcW w:w="4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3"/>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(GAAP)</w:t>
            </w:r>
          </w:p>
        </w:tc>
        <w:tc>
          <w:tcPr>
            <w:tcW w:w="2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(21,351)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(13,465)</w:t>
            </w:r>
          </w:p>
        </w:tc>
        <w:tc>
          <w:tcPr>
            <w:tcW w:w="140" w:type="dxa"/>
            <w:vAlign w:val="bottom"/>
            <w:shd w:val="clear" w:color="auto" w:fill="CAEEFB"/>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(60,357)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(39,885)</w:t>
            </w:r>
          </w:p>
        </w:tc>
      </w:tr>
      <w:tr>
        <w:trPr>
          <w:trHeight w:val="23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and expense, net</w:t>
            </w:r>
          </w:p>
        </w:tc>
        <w:tc>
          <w:tcPr>
            <w:tcW w:w="2040" w:type="dxa"/>
            <w:vAlign w:val="bottom"/>
            <w:shd w:val="clear" w:color="auto" w:fill="CFF0FC"/>
          </w:tcPr>
          <w:p>
            <w:pPr>
              <w:spacing w:after="0"/>
              <w:rPr>
                <w:sz w:val="19"/>
                <w:szCs w:val="19"/>
                <w:color w:val="auto"/>
              </w:rPr>
            </w:pPr>
          </w:p>
        </w:tc>
        <w:tc>
          <w:tcPr>
            <w:tcW w:w="140" w:type="dxa"/>
            <w:vAlign w:val="bottom"/>
            <w:shd w:val="clear" w:color="auto" w:fill="CAEEFB"/>
          </w:tcPr>
          <w:p>
            <w:pPr>
              <w:spacing w:after="0"/>
              <w:rPr>
                <w:sz w:val="19"/>
                <w:szCs w:val="19"/>
                <w:color w:val="auto"/>
              </w:rPr>
            </w:pPr>
          </w:p>
        </w:tc>
        <w:tc>
          <w:tcPr>
            <w:tcW w:w="220" w:type="dxa"/>
            <w:vAlign w:val="bottom"/>
            <w:shd w:val="clear" w:color="auto" w:fill="CAEEFB"/>
          </w:tcPr>
          <w:p>
            <w:pPr>
              <w:spacing w:after="0"/>
              <w:rPr>
                <w:sz w:val="19"/>
                <w:szCs w:val="19"/>
                <w:color w:val="auto"/>
              </w:rPr>
            </w:pPr>
          </w:p>
        </w:tc>
        <w:tc>
          <w:tcPr>
            <w:tcW w:w="8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60" w:type="dxa"/>
            <w:vAlign w:val="bottom"/>
            <w:shd w:val="clear" w:color="auto" w:fill="CAEEFB"/>
          </w:tcPr>
          <w:p>
            <w:pPr>
              <w:spacing w:after="0"/>
              <w:rPr>
                <w:sz w:val="19"/>
                <w:szCs w:val="19"/>
                <w:color w:val="auto"/>
              </w:rPr>
            </w:pPr>
          </w:p>
        </w:tc>
        <w:tc>
          <w:tcPr>
            <w:tcW w:w="220" w:type="dxa"/>
            <w:vAlign w:val="bottom"/>
            <w:shd w:val="clear" w:color="auto" w:fill="CAEEFB"/>
          </w:tcPr>
          <w:p>
            <w:pPr>
              <w:spacing w:after="0"/>
              <w:rPr>
                <w:sz w:val="19"/>
                <w:szCs w:val="19"/>
                <w:color w:val="auto"/>
              </w:rPr>
            </w:pPr>
          </w:p>
        </w:tc>
        <w:tc>
          <w:tcPr>
            <w:tcW w:w="9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40" w:type="dxa"/>
            <w:vAlign w:val="bottom"/>
            <w:shd w:val="clear" w:color="auto" w:fill="CAEEFB"/>
          </w:tcPr>
          <w:p>
            <w:pPr>
              <w:spacing w:after="0"/>
              <w:rPr>
                <w:sz w:val="19"/>
                <w:szCs w:val="19"/>
                <w:color w:val="auto"/>
              </w:rPr>
            </w:pPr>
          </w:p>
        </w:tc>
        <w:tc>
          <w:tcPr>
            <w:tcW w:w="100" w:type="dxa"/>
            <w:vAlign w:val="bottom"/>
            <w:shd w:val="clear" w:color="auto" w:fill="CAEEFB"/>
          </w:tcPr>
          <w:p>
            <w:pPr>
              <w:spacing w:after="0"/>
              <w:rPr>
                <w:sz w:val="19"/>
                <w:szCs w:val="19"/>
                <w:color w:val="auto"/>
              </w:rPr>
            </w:pPr>
          </w:p>
        </w:tc>
        <w:tc>
          <w:tcPr>
            <w:tcW w:w="10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60" w:type="dxa"/>
            <w:vAlign w:val="bottom"/>
            <w:shd w:val="clear" w:color="auto" w:fill="CAEEFB"/>
          </w:tcPr>
          <w:p>
            <w:pPr>
              <w:spacing w:after="0"/>
              <w:rPr>
                <w:sz w:val="19"/>
                <w:szCs w:val="19"/>
                <w:color w:val="auto"/>
              </w:rPr>
            </w:pPr>
          </w:p>
        </w:tc>
        <w:tc>
          <w:tcPr>
            <w:tcW w:w="220" w:type="dxa"/>
            <w:vAlign w:val="bottom"/>
            <w:shd w:val="clear" w:color="auto" w:fill="CAEEFB"/>
          </w:tcPr>
          <w:p>
            <w:pPr>
              <w:spacing w:after="0"/>
              <w:rPr>
                <w:sz w:val="19"/>
                <w:szCs w:val="19"/>
                <w:color w:val="auto"/>
              </w:rPr>
            </w:pPr>
          </w:p>
        </w:tc>
        <w:tc>
          <w:tcPr>
            <w:tcW w:w="9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(3,948)</w:t>
            </w:r>
          </w:p>
        </w:tc>
      </w:tr>
      <w:tr>
        <w:trPr>
          <w:trHeight w:val="23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1,050</w:t>
            </w:r>
          </w:p>
        </w:tc>
      </w:tr>
      <w:tr>
        <w:trPr>
          <w:trHeight w:val="223"/>
        </w:trPr>
        <w:tc>
          <w:tcPr>
            <w:tcW w:w="4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2040" w:type="dxa"/>
            <w:vAlign w:val="bottom"/>
            <w:shd w:val="clear" w:color="auto" w:fill="CFF0FC"/>
          </w:tcPr>
          <w:p>
            <w:pPr>
              <w:spacing w:after="0"/>
              <w:rPr>
                <w:sz w:val="19"/>
                <w:szCs w:val="19"/>
                <w:color w:val="auto"/>
              </w:rPr>
            </w:pPr>
          </w:p>
        </w:tc>
        <w:tc>
          <w:tcPr>
            <w:tcW w:w="140" w:type="dxa"/>
            <w:vAlign w:val="bottom"/>
            <w:shd w:val="clear" w:color="auto" w:fill="CAEEFB"/>
          </w:tcPr>
          <w:p>
            <w:pPr>
              <w:spacing w:after="0"/>
              <w:rPr>
                <w:sz w:val="19"/>
                <w:szCs w:val="19"/>
                <w:color w:val="auto"/>
              </w:rPr>
            </w:pPr>
          </w:p>
        </w:tc>
        <w:tc>
          <w:tcPr>
            <w:tcW w:w="220" w:type="dxa"/>
            <w:vAlign w:val="bottom"/>
            <w:shd w:val="clear" w:color="auto" w:fill="CAEEFB"/>
          </w:tcPr>
          <w:p>
            <w:pPr>
              <w:spacing w:after="0"/>
              <w:rPr>
                <w:sz w:val="19"/>
                <w:szCs w:val="19"/>
                <w:color w:val="auto"/>
              </w:rPr>
            </w:pPr>
          </w:p>
        </w:tc>
        <w:tc>
          <w:tcPr>
            <w:tcW w:w="8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(21,861)</w:t>
            </w:r>
          </w:p>
        </w:tc>
        <w:tc>
          <w:tcPr>
            <w:tcW w:w="160" w:type="dxa"/>
            <w:vAlign w:val="bottom"/>
            <w:shd w:val="clear" w:color="auto" w:fill="CAEEFB"/>
          </w:tcPr>
          <w:p>
            <w:pPr>
              <w:spacing w:after="0"/>
              <w:rPr>
                <w:sz w:val="19"/>
                <w:szCs w:val="19"/>
                <w:color w:val="auto"/>
              </w:rPr>
            </w:pPr>
          </w:p>
        </w:tc>
        <w:tc>
          <w:tcPr>
            <w:tcW w:w="220" w:type="dxa"/>
            <w:vAlign w:val="bottom"/>
            <w:shd w:val="clear" w:color="auto" w:fill="CAEEFB"/>
          </w:tcPr>
          <w:p>
            <w:pPr>
              <w:spacing w:after="0"/>
              <w:rPr>
                <w:sz w:val="19"/>
                <w:szCs w:val="19"/>
                <w:color w:val="auto"/>
              </w:rPr>
            </w:pPr>
          </w:p>
        </w:tc>
        <w:tc>
          <w:tcPr>
            <w:tcW w:w="9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(14,282)</w:t>
            </w:r>
          </w:p>
        </w:tc>
        <w:tc>
          <w:tcPr>
            <w:tcW w:w="140" w:type="dxa"/>
            <w:vAlign w:val="bottom"/>
            <w:shd w:val="clear" w:color="auto" w:fill="CAEEFB"/>
          </w:tcPr>
          <w:p>
            <w:pPr>
              <w:spacing w:after="0"/>
              <w:rPr>
                <w:sz w:val="19"/>
                <w:szCs w:val="19"/>
                <w:color w:val="auto"/>
              </w:rPr>
            </w:pPr>
          </w:p>
        </w:tc>
        <w:tc>
          <w:tcPr>
            <w:tcW w:w="100" w:type="dxa"/>
            <w:vAlign w:val="bottom"/>
            <w:shd w:val="clear" w:color="auto" w:fill="CAEEFB"/>
          </w:tcPr>
          <w:p>
            <w:pPr>
              <w:spacing w:after="0"/>
              <w:rPr>
                <w:sz w:val="19"/>
                <w:szCs w:val="19"/>
                <w:color w:val="auto"/>
              </w:rPr>
            </w:pPr>
          </w:p>
        </w:tc>
        <w:tc>
          <w:tcPr>
            <w:tcW w:w="10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(62,084)</w:t>
            </w:r>
          </w:p>
        </w:tc>
        <w:tc>
          <w:tcPr>
            <w:tcW w:w="160" w:type="dxa"/>
            <w:vAlign w:val="bottom"/>
            <w:shd w:val="clear" w:color="auto" w:fill="CAEEFB"/>
          </w:tcPr>
          <w:p>
            <w:pPr>
              <w:spacing w:after="0"/>
              <w:rPr>
                <w:sz w:val="19"/>
                <w:szCs w:val="19"/>
                <w:color w:val="auto"/>
              </w:rPr>
            </w:pPr>
          </w:p>
        </w:tc>
        <w:tc>
          <w:tcPr>
            <w:tcW w:w="220" w:type="dxa"/>
            <w:vAlign w:val="bottom"/>
            <w:shd w:val="clear" w:color="auto" w:fill="CAEEFB"/>
          </w:tcPr>
          <w:p>
            <w:pPr>
              <w:spacing w:after="0"/>
              <w:rPr>
                <w:sz w:val="19"/>
                <w:szCs w:val="19"/>
                <w:color w:val="auto"/>
              </w:rPr>
            </w:pPr>
          </w:p>
        </w:tc>
        <w:tc>
          <w:tcPr>
            <w:tcW w:w="9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(42,783)</w:t>
            </w:r>
          </w:p>
        </w:tc>
      </w:tr>
      <w:tr>
        <w:trPr>
          <w:trHeight w:val="23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7,099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16,820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8,864</w:t>
            </w:r>
          </w:p>
        </w:tc>
      </w:tr>
      <w:tr>
        <w:trPr>
          <w:trHeight w:val="230"/>
        </w:trPr>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IP litigation matter</w:t>
            </w:r>
          </w:p>
        </w:tc>
        <w:tc>
          <w:tcPr>
            <w:tcW w:w="2040" w:type="dxa"/>
            <w:vAlign w:val="bottom"/>
            <w:shd w:val="clear" w:color="auto" w:fill="CFF0FC"/>
          </w:tcPr>
          <w:p>
            <w:pPr>
              <w:spacing w:after="0"/>
              <w:rPr>
                <w:sz w:val="19"/>
                <w:szCs w:val="19"/>
                <w:color w:val="auto"/>
              </w:rPr>
            </w:pPr>
          </w:p>
        </w:tc>
        <w:tc>
          <w:tcPr>
            <w:tcW w:w="140" w:type="dxa"/>
            <w:vAlign w:val="bottom"/>
            <w:shd w:val="clear" w:color="auto" w:fill="CAEEFB"/>
          </w:tcPr>
          <w:p>
            <w:pPr>
              <w:spacing w:after="0"/>
              <w:rPr>
                <w:sz w:val="19"/>
                <w:szCs w:val="19"/>
                <w:color w:val="auto"/>
              </w:rPr>
            </w:pPr>
          </w:p>
        </w:tc>
        <w:tc>
          <w:tcPr>
            <w:tcW w:w="220" w:type="dxa"/>
            <w:vAlign w:val="bottom"/>
            <w:shd w:val="clear" w:color="auto" w:fill="CAEEFB"/>
          </w:tcPr>
          <w:p>
            <w:pPr>
              <w:spacing w:after="0"/>
              <w:rPr>
                <w:sz w:val="19"/>
                <w:szCs w:val="19"/>
                <w:color w:val="auto"/>
              </w:rPr>
            </w:pPr>
          </w:p>
        </w:tc>
        <w:tc>
          <w:tcPr>
            <w:tcW w:w="880" w:type="dxa"/>
            <w:vAlign w:val="bottom"/>
            <w:shd w:val="clear" w:color="auto" w:fill="CAEEFB"/>
          </w:tcPr>
          <w:p>
            <w:pPr>
              <w:jc w:val="right"/>
              <w:ind w:right="32"/>
              <w:spacing w:after="0"/>
              <w:rPr>
                <w:sz w:val="20"/>
                <w:szCs w:val="20"/>
                <w:color w:val="auto"/>
              </w:rPr>
            </w:pPr>
            <w:r>
              <w:rPr>
                <w:rFonts w:ascii="Times New Roman" w:cs="Times New Roman" w:eastAsia="Times New Roman" w:hAnsi="Times New Roman"/>
                <w:sz w:val="18"/>
                <w:szCs w:val="18"/>
                <w:color w:val="auto"/>
              </w:rPr>
              <w:t>1,073</w:t>
            </w:r>
          </w:p>
        </w:tc>
        <w:tc>
          <w:tcPr>
            <w:tcW w:w="160" w:type="dxa"/>
            <w:vAlign w:val="bottom"/>
            <w:shd w:val="clear" w:color="auto" w:fill="CAEEFB"/>
          </w:tcPr>
          <w:p>
            <w:pPr>
              <w:spacing w:after="0"/>
              <w:rPr>
                <w:sz w:val="19"/>
                <w:szCs w:val="19"/>
                <w:color w:val="auto"/>
              </w:rPr>
            </w:pPr>
          </w:p>
        </w:tc>
        <w:tc>
          <w:tcPr>
            <w:tcW w:w="220" w:type="dxa"/>
            <w:vAlign w:val="bottom"/>
            <w:shd w:val="clear" w:color="auto" w:fill="CAEEFB"/>
          </w:tcPr>
          <w:p>
            <w:pPr>
              <w:spacing w:after="0"/>
              <w:rPr>
                <w:sz w:val="19"/>
                <w:szCs w:val="19"/>
                <w:color w:val="auto"/>
              </w:rPr>
            </w:pPr>
          </w:p>
        </w:tc>
        <w:tc>
          <w:tcPr>
            <w:tcW w:w="900" w:type="dxa"/>
            <w:vAlign w:val="bottom"/>
            <w:shd w:val="clear" w:color="auto" w:fill="CAEEFB"/>
          </w:tcPr>
          <w:p>
            <w:pPr>
              <w:jc w:val="right"/>
              <w:ind w:right="32"/>
              <w:spacing w:after="0"/>
              <w:rPr>
                <w:sz w:val="20"/>
                <w:szCs w:val="20"/>
                <w:color w:val="auto"/>
              </w:rPr>
            </w:pPr>
            <w:r>
              <w:rPr>
                <w:rFonts w:ascii="Times New Roman" w:cs="Times New Roman" w:eastAsia="Times New Roman" w:hAnsi="Times New Roman"/>
                <w:sz w:val="18"/>
                <w:szCs w:val="18"/>
                <w:color w:val="auto"/>
              </w:rPr>
              <w:t>1,703</w:t>
            </w:r>
          </w:p>
        </w:tc>
        <w:tc>
          <w:tcPr>
            <w:tcW w:w="140" w:type="dxa"/>
            <w:vAlign w:val="bottom"/>
            <w:shd w:val="clear" w:color="auto" w:fill="CAEEFB"/>
          </w:tcPr>
          <w:p>
            <w:pPr>
              <w:spacing w:after="0"/>
              <w:rPr>
                <w:sz w:val="19"/>
                <w:szCs w:val="19"/>
                <w:color w:val="auto"/>
              </w:rPr>
            </w:pPr>
          </w:p>
        </w:tc>
        <w:tc>
          <w:tcPr>
            <w:tcW w:w="100" w:type="dxa"/>
            <w:vAlign w:val="bottom"/>
            <w:shd w:val="clear" w:color="auto" w:fill="CAEEFB"/>
          </w:tcPr>
          <w:p>
            <w:pPr>
              <w:spacing w:after="0"/>
              <w:rPr>
                <w:sz w:val="19"/>
                <w:szCs w:val="19"/>
                <w:color w:val="auto"/>
              </w:rPr>
            </w:pPr>
          </w:p>
        </w:tc>
        <w:tc>
          <w:tcPr>
            <w:tcW w:w="1020" w:type="dxa"/>
            <w:vAlign w:val="bottom"/>
            <w:shd w:val="clear" w:color="auto" w:fill="CAEEFB"/>
          </w:tcPr>
          <w:p>
            <w:pPr>
              <w:jc w:val="right"/>
              <w:ind w:right="34"/>
              <w:spacing w:after="0"/>
              <w:rPr>
                <w:sz w:val="20"/>
                <w:szCs w:val="20"/>
                <w:color w:val="auto"/>
              </w:rPr>
            </w:pPr>
            <w:r>
              <w:rPr>
                <w:rFonts w:ascii="Times New Roman" w:cs="Times New Roman" w:eastAsia="Times New Roman" w:hAnsi="Times New Roman"/>
                <w:sz w:val="18"/>
                <w:szCs w:val="18"/>
                <w:color w:val="auto"/>
              </w:rPr>
              <w:t>10,580</w:t>
            </w:r>
          </w:p>
        </w:tc>
        <w:tc>
          <w:tcPr>
            <w:tcW w:w="160" w:type="dxa"/>
            <w:vAlign w:val="bottom"/>
            <w:shd w:val="clear" w:color="auto" w:fill="CAEEFB"/>
          </w:tcPr>
          <w:p>
            <w:pPr>
              <w:spacing w:after="0"/>
              <w:rPr>
                <w:sz w:val="19"/>
                <w:szCs w:val="19"/>
                <w:color w:val="auto"/>
              </w:rPr>
            </w:pPr>
          </w:p>
        </w:tc>
        <w:tc>
          <w:tcPr>
            <w:tcW w:w="220" w:type="dxa"/>
            <w:vAlign w:val="bottom"/>
            <w:shd w:val="clear" w:color="auto" w:fill="CAEEFB"/>
          </w:tcPr>
          <w:p>
            <w:pPr>
              <w:spacing w:after="0"/>
              <w:rPr>
                <w:sz w:val="19"/>
                <w:szCs w:val="19"/>
                <w:color w:val="auto"/>
              </w:rPr>
            </w:pPr>
          </w:p>
        </w:tc>
        <w:tc>
          <w:tcPr>
            <w:tcW w:w="920" w:type="dxa"/>
            <w:vAlign w:val="bottom"/>
            <w:shd w:val="clear" w:color="auto" w:fill="CAEEFB"/>
          </w:tcPr>
          <w:p>
            <w:pPr>
              <w:jc w:val="right"/>
              <w:ind w:right="52"/>
              <w:spacing w:after="0"/>
              <w:rPr>
                <w:sz w:val="20"/>
                <w:szCs w:val="20"/>
                <w:color w:val="auto"/>
              </w:rPr>
            </w:pPr>
            <w:r>
              <w:rPr>
                <w:rFonts w:ascii="Times New Roman" w:cs="Times New Roman" w:eastAsia="Times New Roman" w:hAnsi="Times New Roman"/>
                <w:sz w:val="18"/>
                <w:szCs w:val="18"/>
                <w:color w:val="auto"/>
              </w:rPr>
              <w:t>3,756</w:t>
            </w:r>
          </w:p>
        </w:tc>
      </w:tr>
      <w:tr>
        <w:trPr>
          <w:trHeight w:val="23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1,549</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1,549</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1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0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AEEFB"/>
            </w:tcBorders>
            <w:shd w:val="clear" w:color="auto" w:fill="CAEEFB"/>
          </w:tcPr>
          <w:p>
            <w:pPr>
              <w:spacing w:after="0"/>
              <w:rPr>
                <w:sz w:val="22"/>
                <w:szCs w:val="22"/>
                <w:color w:val="auto"/>
              </w:rPr>
            </w:pPr>
          </w:p>
        </w:tc>
        <w:tc>
          <w:tcPr>
            <w:tcW w:w="220" w:type="dxa"/>
            <w:vAlign w:val="bottom"/>
            <w:tcBorders>
              <w:bottom w:val="single" w:sz="8" w:color="auto"/>
            </w:tcBorders>
            <w:shd w:val="clear" w:color="auto" w:fill="CAEEFB"/>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(12,140)</w:t>
            </w:r>
          </w:p>
        </w:tc>
        <w:tc>
          <w:tcPr>
            <w:tcW w:w="160" w:type="dxa"/>
            <w:vAlign w:val="bottom"/>
            <w:tcBorders>
              <w:bottom w:val="single" w:sz="8" w:color="CAEEFB"/>
            </w:tcBorders>
            <w:shd w:val="clear" w:color="auto" w:fill="CAEEFB"/>
          </w:tcPr>
          <w:p>
            <w:pPr>
              <w:spacing w:after="0"/>
              <w:rPr>
                <w:sz w:val="22"/>
                <w:szCs w:val="22"/>
                <w:color w:val="auto"/>
              </w:rPr>
            </w:pPr>
          </w:p>
        </w:tc>
        <w:tc>
          <w:tcPr>
            <w:tcW w:w="220" w:type="dxa"/>
            <w:vAlign w:val="bottom"/>
            <w:tcBorders>
              <w:bottom w:val="single" w:sz="8" w:color="auto"/>
            </w:tcBorders>
            <w:shd w:val="clear" w:color="auto" w:fill="CAEEFB"/>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(9,230)</w:t>
            </w:r>
          </w:p>
        </w:tc>
        <w:tc>
          <w:tcPr>
            <w:tcW w:w="140" w:type="dxa"/>
            <w:vAlign w:val="bottom"/>
            <w:tcBorders>
              <w:bottom w:val="single" w:sz="8" w:color="CAEEFB"/>
            </w:tcBorders>
            <w:shd w:val="clear" w:color="auto" w:fill="CAEEFB"/>
          </w:tcPr>
          <w:p>
            <w:pPr>
              <w:spacing w:after="0"/>
              <w:rPr>
                <w:sz w:val="22"/>
                <w:szCs w:val="22"/>
                <w:color w:val="auto"/>
              </w:rPr>
            </w:pPr>
          </w:p>
        </w:tc>
        <w:tc>
          <w:tcPr>
            <w:tcW w:w="10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(33,135)</w:t>
            </w:r>
          </w:p>
        </w:tc>
        <w:tc>
          <w:tcPr>
            <w:tcW w:w="160" w:type="dxa"/>
            <w:vAlign w:val="bottom"/>
            <w:tcBorders>
              <w:bottom w:val="single" w:sz="8" w:color="CAEEFB"/>
            </w:tcBorders>
            <w:shd w:val="clear" w:color="auto" w:fill="CAEEFB"/>
          </w:tcPr>
          <w:p>
            <w:pPr>
              <w:spacing w:after="0"/>
              <w:rPr>
                <w:sz w:val="22"/>
                <w:szCs w:val="22"/>
                <w:color w:val="auto"/>
              </w:rPr>
            </w:pPr>
          </w:p>
        </w:tc>
        <w:tc>
          <w:tcPr>
            <w:tcW w:w="220" w:type="dxa"/>
            <w:vAlign w:val="bottom"/>
            <w:tcBorders>
              <w:bottom w:val="single" w:sz="8" w:color="auto"/>
            </w:tcBorders>
            <w:shd w:val="clear" w:color="auto" w:fill="CAEEFB"/>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8"/>
                <w:szCs w:val="18"/>
                <w:b w:val="1"/>
                <w:bCs w:val="1"/>
                <w:color w:val="auto"/>
              </w:rPr>
              <w:t>(30,163)</w:t>
            </w:r>
          </w:p>
        </w:tc>
      </w:tr>
      <w:tr>
        <w:trPr>
          <w:trHeight w:val="628"/>
        </w:trPr>
        <w:tc>
          <w:tcPr>
            <w:tcW w:w="412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-933450</wp:posOffset>
            </wp:positionV>
            <wp:extent cx="939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-916305</wp:posOffset>
            </wp:positionV>
            <wp:extent cx="939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-933450</wp:posOffset>
            </wp:positionV>
            <wp:extent cx="946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-916305</wp:posOffset>
            </wp:positionV>
            <wp:extent cx="946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-933450</wp:posOffset>
            </wp:positionV>
            <wp:extent cx="939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-916305</wp:posOffset>
            </wp:positionV>
            <wp:extent cx="939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the net proceeds we have received from the sales of our preferred stock and common stock as well as net proceeds from our term loans and revolver and cash generated from the sale of Wearables and Clarity subscriptions. On October 15, 2024, we completed our IPO and received net proceeds of $187.8 million after deducting underwriting discounts, commissions and offering expenses.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losses primarily resulted from the costs incurred in the development and sales and marketing of our products and providing general and administrative support for our operations. We expect to continue to incur losses in the foreseeable future and to expend significant amounts of cash in the foreseeable future as we continue to scale our business, invest in research and development activities, increase sales and marketing expenses to support commercial expansion, and increase general and administrative expenses to support our transition into being a publicly-traded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2026, our principal sources of liquidity consisted of $117.5 million of cash, cash equivalents, and marketable securities.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August 5, 2026, we entered into a Credit, Security and Guaranty Agreement (the “Credit Agreement”) with MidCap Funding IV Trust, as agent, MidCap Financial Trust, as term loan servicer, and the lenders party thereto, providing for (i) a term loan facility, consisting of a $30.0 million commitment and an additional $25.0 million of uncommitted capital that may be available at the Lender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discretion, and (ii) a revolving loan facility in an aggregate principal amount of up to $20.0 million, which may be increased to up to $30.0 million in up to two tranches of at least $5.0 million each at the Company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discretion upon satisfaction of certain conditions set forth therein. This extended our debt maturity from March 2029 to August 2031.</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$20.0 million revolving credit facility operates on a non-formula basis through December 31, 2027, after which time, availability under the facility will be subject to a borrowing base based on eligible accounts receivable and inventory. After that date (or earlier upon an event of default), availability will be determined by the calculated borrowing base, 85% of eligible accounts receivable, plus 40% of eligible inventory (with availability capped at 25% of the revolving loan limit), less reserves the agent may establish, and could be less than the $20.0 million commitment depending on the level and aging of our receivables at the time.</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term loan may be drawn at the Company’s request at any time before December 31, 2028. Term Loan Tranche 1 may be drawn only in minimum increments of $5.0 million and only through December 31, 2028, after which any undrawn commitment expires; amounts repaid may not be reborrowed. In addition, because our financial covenants are tested only while outstanding term loans plus the revolving commitment exceed $35.0 million, any term loan draw that takes us above that threshold would require us to first demonstrate either pro forma compliance with the $70.0 million minimum trailing net revenue covenant or unrestricted cash at least $65.0 million before the draw is funded, and commences quarterly covenant testing thereafter. At closing, the Company borrowed $20.0 million under the revolving facility and has no balance drawn under the term loan. The proceeds of borrowings under the Credit Agreement were used to repay in full the Company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outstanding obligations under the VLSA described in Note 9. The VLSA was terminated on August 5, 2026. Future borrowings will be used for working capital and general corporate purposes.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the refinancing meaningfully increases our committed access to capital while deferring any contractual principal repayment until 2031. The refinancing resulted in a one-time loss on extinguishment of debt of $1.5 million in the three months ended September 30, 2026, of which $1.4 million was paid in cash. The terms of the Credit Agreement, our covenant compliance, and the components of the extinguishment loss are described in Note 9 to our condensed financial statements. We manage borrowings under the MidCap Revolving Facility to minimize interest expense while maintaining continuous access to committed capital. Because the MidCap Revolving Facility permits repayment and reborrowing of revolving loans at any time without a prepayment fee (with two business days’ notice for each draw), our practice is to draw on the facility shortly before the end of each fiscal quarter, hold the borrowings through the beginning of the following quarter, and repay them early in that quarter from cash on hand. Exit fees apply only if we terminate or permanently reduce the revolving commitment, as described in Note 9. Interest accrues only while borrowings are outstanding, so this practice limits contractual interest largely to the days surrounding each quarter end; during the remainder of the quarter, our recurring costs of the facility are limited to the 0.50% per annum facility fee on the committed amount and any quarterly minimum balance fee, which together are substantially less than the cost of keeping the facility fully drawn.</w:t>
      </w:r>
    </w:p>
    <w:p>
      <w:pPr>
        <w:spacing w:after="0" w:line="12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this practice, our balance sheet at each quarter end reflects both the $20.0 million of revolving borrowings and a corresponding amount of cash. During the three months ended September 30, 2026, the maximum amount outstanding at any time was $20.0 million. On October 7, 2026, we repaid the $20.0 million outstanding at September 30, 2026 from cash on hand.</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 we believe that the expected cash generated from revenue transactions with customers and our existing cash, cash equivalents, and marketable securities, will be sufficient to fund our planned operating expenses and capital</w:t>
      </w:r>
    </w:p>
    <w:p>
      <w:pPr>
        <w:sectPr>
          <w:pgSz w:w="11900" w:h="16838" w:orient="portrait"/>
          <w:cols w:equalWidth="0" w:num="1">
            <w:col w:w="11240"/>
          </w:cols>
          <w:pgMar w:left="320" w:top="117" w:right="339" w:bottom="144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order to generate and obtain adequate amounts of cash to meet requirements beyond the next 12 months, we may continue to seek funds through equity or debt financings, or through other sources of financing. Our future capital needs will depend upon many factors, including:</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pace of developing new products and our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costs of supporting sales growth and expansion of our commercial organization;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product recall that may occur;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manufacturing of our products at increased production levels or in different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and enforcing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acquire third-party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collaborative, licensing, and other arrangements that we may establish;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finance our operations should they be needed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contractual obligations at September 30, 2026 include:</w:t>
      </w:r>
    </w:p>
    <w:p>
      <w:pPr>
        <w:spacing w:after="0" w:line="22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Principal payments required on long-term debt outstanding at September 30, 2026, was $20.0 million. On August 5, 2026, we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Credit Agreement, which provides for (i) a term loan facility, consisting of a $30.0 million commitment and an additional $25.0 million of uncommitted capital that may be available at the Lender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discretion, and (ii) a revolving loan facility in an aggregate principal amount of up to $20.0 million, which may be increased to up to $30.0 million at the Company's discretion upon satisfaction of certain conditions set forth therein, and materially increased our borrowing capacity and secured indebtedness; see Note 9.</w:t>
      </w:r>
    </w:p>
    <w:p>
      <w:pPr>
        <w:spacing w:after="0" w:line="183"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 As of September 30, 2026, estimated contractual obligations for operating lease payments were $1.7 million due within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w:t>
      </w:r>
    </w:p>
    <w:p>
      <w:pPr>
        <w:spacing w:after="0" w:line="15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As of September 30, 2026, we have a commitment to pay $2.9 million in deferred legal fees contingent upon the earlier of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favorable Initial Determination by the Administrative Law Judge related to the Natus patent infringement complaints. The Company records a provision for a liability when management believes that it is both probable that a liability has been incurred and the amount of the loss can be reasonably estimated. No provision or accrual has been recorded related to the deferred legal fees based on currently available information; see Note 7, “Commitments and Contingencies.”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GAAP. The preparation of our financial statements and related disclosures requires us to make estimates and judgments that affect the reported amounts of assets, liabilities, expenses and the disclosure of our contingent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Information about our significant accounting policies and how estimates are involved in the preparation of our financial statements are described in our Annual Report on Form 10-K filed with the SEC on February 24, 2026. There have been no material changes to our significant accounting policies and estimates during the nine months ended September 30,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See Note 2 to our financial statements included elsewhere in this Quarterly Report for a description of recent accounting pronouncements applicable to our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Chief Executive Officer and Chief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Based on such evaluation, our Chief Executive Officer and Chief Financial Officer have concluded that these disclosure controls and procedures were effective at a reasonable assurance level as of September 30,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during the quarter ended September 30, 2026 covered by this Quarterly Report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team,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July 7, 2025, we filed patent infringement complaints against Natus Medical Incorporated and related subsidiaries (“Natus”) with the U.S. International Trade Commission (“USITC”) and the U.S. District Court for the District of Delaware (the “District Court”), alleging that Natus is infringing on six patents owned by us related to important features of the Ceribell EEG headband and electrode design through Natus’s making, using, selling, offering for sale in the United States, and/or importing into the United States, of rapid point-of-care EEG monitoring products (the “Natus Products”), and that Natus is engaging in unfair competition. We have requested that the USITC investigate these claims and issue an exclusion order to bar the importation of any infringing Natus Products into the United States. We have also requested in the District Court a permanent injunction against the Natus Products and an award of damages sufficient to compensate us for the alleged infringement, as well as other costs and expenses in this action. On August 6, 2025, the USITC instituted an investigation of these claims pursuant to Section 337 of the Tariff Act of 1930 and on August 12, 2025, the District Court granted a stay of the pending patent infringement action until the final determination of the USITC investigation. Trial proceedings in the USITC investigation concluded as of June 12, 2026, and the parties are now in the process of post-trial briefing. An initial determination is expected by November 19, 2026, and a final determination by March 2027.</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become involved in other various legal proceedings arising from the normal course of business activities. We are not presently a party to any litigation the outcome of which, we believe, if determined adversely to us, would individually or taken together, materially and adversely affect our business, financial condition, or results of operations. Involvement in legal proceedings is costly and can impose a significant burden on management and employees. The results of any current or future litigation cannot be predicted with certainty, and regardless of the outcome, litigation can have an adverse impact on us because of legal expenses and settlement costs, diversion of management attention and resources, and other factors.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Investing in our common stock involves a high degree of risk. You should carefully consider the risks described below, as well as the other information in this Quarterly Report, including our financial statements and the related notes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before deciding whether to invest in our common stock.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Industry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experienced rapid growth, which may strain our resources and make it difficult to evaluate our business and future prospects. If we are unable to manage our expansion effectively, our business could be materially and adversely affected.</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were founded in 2014 and began selling Ceribell headbands, recorder, and portal in 2018. Since our formation in 2014, we have achieved several key operational milestones that we believe position us for continued growth and success, including our receipt of 510(k) clearance from the FDA for our recorder and headband in 2017, our first commercial sales in 2018, our receipt of 510(k) clearance from the FDA for an early version of Clarity in 2019, and our growth to over 380 employees as of September 30, 2026. Accordingly, we have a limited operating history, which makes evaluation of our future prospects difficult. In that time, we have experienced periods of significant growth in revenue and employees and rapid changes in our business, which have required us to scale the size of our organization and infrastructure.</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growth that we experience in the future will require us to further expand our sales and marketing and research and development personnel (including those with software and hardware expertise), our manufacturing operations, and our general and administrative infrastructure. In addition to the need to scale our operational capacity, future growth will impose significant added responsibilities on management, including the need to identify, recruit, train, and integrate additional employees. Rapid expansion in personnel could impact our capacity to manufacture, market, sell, and support our products, which could result in inefficiencies, unanticipated costs, and disruptions to our operations, and could also pose challenges to retaining our existing employees, including through increased reliance on overtime that could result in greater attrition and reduced productivity. While our quarterly revenues have generally increased since our commercial launch, our results of operations have fluctuated in the past, and our future quarterly and annual results of operations may fluctuate as we focus on increasing demand for our products. We may need to make business decisions that could adversely affect our results of operations and prospects, such as modifications to our pricing and reimbursement strategy, business structure, or operations.</w:t>
      </w:r>
    </w:p>
    <w:p>
      <w:pPr>
        <w:spacing w:after="0" w:line="1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challenges we face in managing our business, including the changing reimbursement and regulatory landscapes, place significant demands on our management, financial, operational, manufacturing, technological, and other resources, and we expect that managing our business will continue to require us to develop and improve our operational, financial and other internal controls, reporting systems, and procedures at a pace consistent with our growth. Continued growth increases challenges in areas such as recruiting and retaining sufficient skilled personnel, providing adequate training and supervision to maintain high-quality product standards and regulatory compliance, and preserving our culture and values. We have also had, and may in the future experience, delays with onboarding new accounts due to scheduling and other logistical issues. We may not be able to address these challenges in a cost-effective manner, or at all. As we grow, we may also need to invest significant resources to improve and expand our manufacturing capabilities and technology, and we may not be able to do so in a cost-effective manner or at all. We cannot assure you that changes in scale, quality, or compliance assurance, including those related to any future additional indications for the Ceribell System, will be successfully implemented or that appropriate personnel will be available to facilitate the management of our business. Failure to implement necessary quality and compliance procedures, transition to new manufacturing processes or supply chains, or hire or maintain necessary personnel could result in higher costs or an inability to meet demand. If we do not effectively manage our growth and the various challenges we face, we may not be able to execute on our business plan, respond to competitive pressures, take advantage of market opportunities, satisfy customer requirements, or maintain high-quality products, which could have a material adverse effect on our business, financial condition, results of operations, and prospects.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incur additional substantial losses in the foreseeable future.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inception, and we expect to incur additional substantial losses in the foreseeable future. For the nine months ended September 30, 2026, we incurred a net loss of $60.4 million. As of September 30, 2026, we had an accumulated deficit of $280.7 million. We also expect our operating expenses to increase in future periods, and if our revenue growth does not increase to more than offset these anticipated increases in our operating expenses, we may not be able to achieve or maintain profitability, and our business, financial condition, results of operations, and prospects will be harmed. Since inception, we have spent significant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amounts to develop the Ceribell System and related algorithms, to fund clinical studies, to develop and build our manufacturing capacities, to scale our commercial operations, and to recruit and retain key talent.</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difficulties frequently experienced by growing companies, including increasing expenses as we continue to grow our business. We expect our operating expenses to increase significantly over the next several years as we continue to expand our operations and infrastructure and continue to develop the Ceribell System and related algorithms, including for any future additional indications. In addition to the anticipated costs of growing our business, we also expect to incur additional legal, accounting, and other expert expenses as we grow.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business, financial condition, results of operations, and prospects.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achieve profitability in the future or that, if we do become profitable, we will be able to sustain or increase profitability. Our prior losses, combined with potential future losses, have had and will continue to have an adverse effect on our stockholders’ equity and working capital.</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sales from the use of the Ceribell System for our revenue. If we are unable to successfully achieve substantial market acceptance and adoption of the Ceribell System, or any of our future products, or if confidence in our products is diminished, our business, financial condition, results of operations, and prospects would be harmed.</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that revenue from sales of the Ceribell System will continue to account for almost all of our revenue for the foreseeable future. Continued and widespread market acceptance of alternatives to conventional EEG systems, particularly in the acute care setting, is critical to our future success. The size of our customer base and our ability to acquire new customers is critical to our success as well. Thus, our commercial success will depend in large part on further adoption of the Ceribell System by hospital customers and healthcare professionals and an increase in the number of patients evaluated with it in the acute care setting, as well as on our ability to retain existing customers. Existing customers may choose to terminate or not renew their subscription typically on 30 days’ notice to us without payment of a penalty or termination fee, and we may not be able to replace any customers that elect to terminate or not renew their subscriptions with us.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Various factors can contribute to our ability to effectively engage and retain customers and their use of our products. For example, hospitals and healthcare professionals may be reluctant to purchase or use the Ceribell System due to familiarity with conventional EEG systems that are well-established and known to them, and because they must continue to use conventional EEG systems outside of the acute care setting. Our ability to grow sales of the Ceribell System and drive market acceptance will depend on successfully educating hospitals and healthcare professionals of the relative benefits of the Ceribell System compared to the standard of care, which includes conventional EEG systems in the acute care setting, as well as educating such hospitals or healthcare professionals regarding the uses and limitations of the Ceribell System.</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healthcare professionals do not perceive our products to be useful, effective, reliable, and trustworthy, or if we are unable to provide sufficient training to healthcare professionals or harmonize our products with hospital information technology systems, we may not be able to attract or retain customers. Healthcare professionals may perceive the Ceribell System to be less useful if they do not subscribe for access to the Clarity algorithm as part of their use of the Ceribell System, whether because of incremental cost, lack of familiarity or trust in the algorithm’s diagnostic accuracy, or if, for similar reasons, they do not rely on the Clarity algorithm (including automated alerts) to interpret the EEG results produced by the Ceribell System. In addition, building a strong brand is critical to our success, but negative clinical research results or publicity or an adverse change to published or unpublished guidelines or recommendations from third parties (including, without limitation, medical societies) relating to the use, clinical benefit, or risk profile of the Ceribell System or AI-enabled devices, or reduced montage EEGs or rapid EEGs in general could result in negative perception by healthcare professionals and affect our brand and reputation. For example, Villamar et al. (2023), a study that retrospectively reviewed EEG recordings for 21 patients who were admitted to a medical intensive care unit after cardiac arrest, found that the Clarity algorithm that was in use at the time of the study did not detect seizures in the four patients who were experiencing them. While we constantly work to improve the Ceribell algorithm and overall Ceribell System, the technologies we work with are novel and complex, and we cannot assure you that there will not be additional negative reports on the Ceribell System in the future. Further, customers who are dissatisfied with their experiences with the Ceribell System may post negative reviews, and we have been, and may in the future become, the subject of blog, forum, or other social media postings that contain negative statements about us, which are outside of our control and may be inaccurate. Any negative publicity, whether real or perceived, disseminated by word-of-mouth, the general media, electronic or social networking platforms, competitor materials, or other methods, could harm our reputation and brand and could severely diminish consumer confidence in our products. Further, a shortage of neurologists or other clinicians available to read the results of the Ceribell System could negatively affect the timely assessment of data from the Ceribell System. Lack of support for our products from healthcare professionals can affect how receptive physicians will be to use our products for their patients and could result in decreased demand for our products. Negative healthcare professional perception could also render us less attractive to future hospital customers, which could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result in decreased sales of our products. A number of other factors, including the impacts of economic conditions and regulatory changes on hospital budgets and spending patterns, could potentially negatively affect new customer acquisitions and demand for our products.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competitive pressures could have a material adverse effect on our business, financial condition, results of operations, and prospects.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market for EEG alternatives is competitive in terms of development, availability, pricing, product quality, and time-to-market. Our primary competition is from conventional EEG systems, which are used in the majority of hospitals in the United States that have resources to purchase and support EEG systems. These competitors have greater name and brand recognition, greater market share, greater resources, stronger financial profiles, and may have larger sales forces than we do, as well as legacy status among hospitals. For example, the two primary conventional EEG providers in the United States are Natus and Nihon Kohden, both of which have much longer operating histories than we do. We also face competition from companies that provide or are developing rapid EEG systems, including Nihon Kohden, Natus, and other companies, that can be used in the acute care and other settings (e.g., home and ambulance), or EEG systems specifically for use in the acute care setting, and conventional EEG providers may also seek to develop additional EEG systems. Our competitors may be able to offer products similar or superior to ours at a more attractive price than we can. Our competitors could also be better positioned to serve certain segments of our market, which could create additional price pressure. In light of these factors, our competitors may be able to respond more quickly and effectively than we can to new or changing opportunities, technologies, standards, or customer requirements. As a result, even if the Ceribell System is more effective than our competitors’ products, current or potential customers may accept competitive products, including conventional EEG systems and rapid EEG systems that can be used in multiple settings, in lieu of purchasing and using our products. In addition, because the Ceribell System is supplemental to, and not a replacement for, conventional EEG systems for rapid acute care diagnosis, customers may view our products as an additional expense and choose to purchase and maintain only conventional EEG systems. If we are unable to successfully compete, our business, financial condition, results of operations, and prospects could be materially and adversely affected.</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trade policy, tariffs, and our reliance on international manufacturing and supply chain operations expose us to foreign operational and trade risks that may adversely affect our business, results of operations, and financial condition.</w:t>
      </w:r>
    </w:p>
    <w:p>
      <w:pPr>
        <w:spacing w:after="0" w:line="2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 government has implemented or proposed changes to international trade policy through the renegotiation or potential termination of existing trade agreements and the imposition of tariffs on a wide range of products from China, Vietnam, countries in Europe, the Middle East, and Africa, and other regions. In response, China and other countries have imposed or proposed additional tariffs and trade restrictions on imports from the United States. Trade relations between the United States and China remain volatile and uncertain. In 2025, the U.S. imposed additional tariffs on imports from China, Vietnam, and other regions and announced and subsequently paused implementation of certain tariffs. In February 2026, the U.S. Supreme Court invalidated the tariff program implemented under IEEPA, and in the three months ended June 30, 2026, we recognized refunds of $1.6 million for previously paid IEEPA tariffs. We do not expect future IEEPA tariff refunds to be material. The U.S. government may impose tariffs or other trade restrictions under other legal authorities, and the scope, timing, and duration of any such measures remain uncertain. These actions and related retaliation have created significant market uncertainty and may affect the prices of and demand for our products, negatively impacting our results of operations.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rely on manufacturing facilities and third-party suppliers outside the United States, including in China and Vietnam, for the primary assembly and inspection of our Wearables and for a significant portion of our components. We rely on two primary contract manufacturers in China and maintain contractors in China who perform monitoring and quality inspection services. Our operations also depend on the availability of raw materials and components.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suppliers and manufacturers in China expose us to political, legal, and economic risks, including deterioration of U.S.–China relations and changes in U.S. and Chinese laws and regulations relating to sanctions, taxation, import and export restrictions, tariffs, environmental protection, intellectual property, currency controls, cybersecurity, labor and human rights practices, privacy, and public health. Tariffs on products imported from China could adversely affect our suppliers’ operations, potentially causing disruptions or requiring us to transition to alternative manufacturers.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Uyghur Forced Labor Prevention Act could prohibit the importation of products or components if any portion of our supply chain is determined to involve forced labor in the Xinjiang Uyghur Autonomous Region. Trade regulations in China remain fluid, and sustained geopolitical tensions could result in additional tariffs, trade restrictions, or a global economic slowdown.</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Increased tariffs and countermeasures could raise costs, limit material availability, disrupt global supply chains, increase market volatility, and create operational challenges, materially adversely affecting our sales, gross margins, and customer demand.</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have engaged vendors and a contract manufacturer in Vietnam to mitigate certain supply chain risks, these efforts may not be effective, may increase capital and operating costs, and could adversely affect our operating results. Labor costs in China have increased and may continue to rise, and shortages of qualified workers could further constrain production and increase costs passed on to us.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international operations also expose us to risks including logistics disruptions, higher component costs, quality control issues, political and economic instability, geopolitical conflicts, outbreaks of contagious diseases, regulatory restrictions, intellectual property protection challenges, currency fluctuations, adverse tax consequences, lack of long-term supplier commitments, supplier failures, and labor disputes or natural disasters.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conflicts may increase our costs and disrupt our supply chain.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Ongoing geopolitical tensions and military conflict in the Middle East, including the conflict involving Iran, have disrupted, and may continue to disrupt, global energy and transportation markets, including shipping through the Strait of Hormuz, a critical corridor for international trade. These developments may result in increased fuel and logistics costs, reduced shipping availability, and broader supply chain constraints.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rely on third-party manufacturers and suppliers, including in China and Vietnam, for the production and assembly of our products and components. As a result, supply chain and transportation disruptions, as well as increases in supplier and logistics costs, may delay our ability to obtain components and deliver finished products and increase our operating costs. In addition, increased costs incurred by our suppliers or contract manufacturers may be passed through to us, which could adversely affect our gross margins.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Geopolitical instability may also contribute to broader macroeconomic impacts, including inflationary pressures and financial market volatility. The duration and severity of these developments are uncertain, and any escalation could exacerbate these risks. If we are unable to effectively manage these impacts, our business, financial condition, results of operations, and prospects could be adversely affected.</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AI presents risks and challenges that can impact our business, including by posing security risks to our confidential information, proprietary information, and personal data.</w:t>
      </w:r>
    </w:p>
    <w:p>
      <w:pPr>
        <w:spacing w:after="0" w:line="2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Issues in the development and use of AI, including the algorithms used in the Clarity platform and other AI-enabled features of the Ceribell System, combined with an uncertain regulatory environment, may result in reputational harm, liability, or other adverse consequences to our business operations. As with many technological innovations, AI presents risks and challenges that could impact our business. We may adopt and integrate AI tools, including generative AI tools, for specific use cases reviewed by legal and information security.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our vendors, or our third-party partners experience an actual or perceived breach or privacy or security incident because of the use of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have a material adverse effect on our business, financial condition and results of operations.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sales in international markets will subject us to additional costs and risks that may have a material adverse effect on our business, financial condition, results of operations, and prospects.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date, all of our sales have been to customers in the United States. We have received a CE Mark for the Ceribell System in Europe and intend to enter into international markets in the future, and there are significant costs and risks inherent in conducting business in international markets. Upon our expansion into foreign markets, we will be subject to new business risks, in addition to regulatory risks. See the risk factor titled, “</w:t>
      </w:r>
      <w:r>
        <w:rPr>
          <w:rFonts w:ascii="Times New Roman" w:cs="Times New Roman" w:eastAsia="Times New Roman" w:hAnsi="Times New Roman"/>
          <w:sz w:val="18"/>
          <w:szCs w:val="18"/>
          <w:i w:val="1"/>
          <w:iCs w:val="1"/>
          <w:color w:val="auto"/>
        </w:rPr>
        <w:t>We face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obtaining necessary foreign regulatory clearance or approvals.</w:t>
      </w:r>
      <w:r>
        <w:rPr>
          <w:rFonts w:ascii="Times New Roman" w:cs="Times New Roman" w:eastAsia="Times New Roman" w:hAnsi="Times New Roman"/>
          <w:sz w:val="18"/>
          <w:szCs w:val="18"/>
          <w:color w:val="auto"/>
        </w:rPr>
        <w:t>” In addition, expansion into foreign markets will impose additional burdens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and administrative personnel, finance and legal teams, sales and marketing teams, and general managerial resources.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limited experience with international regulatory regimes and market practices, and we may not be able to penetrate or successfully generate sales in new markets. We may also encounter difficulty expanding into international markets because of limited brand recognition in certain parts of the world, leading to delayed acceptance of our products by potential customers in these international markets. In addition, international markets may have different reimbursement pathways that present additional challenges and make those markets less commercially viable. If we are unable to expand internationally and manage the complexity of international sales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and other key personnel, our business may be materially and adversely affected.</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sales and marketing, and research and development personnel, including those with hardware expertise and software expertise, in particular in the area of AI. We are highly dependent upon our senior management team as well as our senior technology personnel. We have experienced, and may in the future experience, planned or unplanned departures of members of our senior management team or senior technology personnel. Any loss of services, whether planned or unplanned, of any of the members of our senior management team could adversely affect our business until a suitable replacement can be found.</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Competition for qualified personnel in the medical device field in general and the EEG field specifically is intense, due to the limited number of individuals who possess the training, skills, and experience required by our industry. We intend to continue to review and, where necessary, strengthen our senior management as the needs of our business develop, including through internal promotion and external hires. However, there may be a limited number of people with the requisite competencies to serve in these positions, and we cannot assure you that we will be able to locate or employ such qualified personnel on terms acceptable to us or at all. We also face significant competition for personnel where our main office is located in the San Francisco Bay Area. To attract and maintain key personnel, we need to remain competitive in our “total rewards” offers to employees, including attractive cash compensation, equity, and benefits packages. While we regularly assess market trends for any changes in compensation across all functions, we need to remain diligent in our compensation benchmarking, especially for key personnel, to ensure we are providing attractive offers to new employees and compensating existing employees well. Therefore, the loss of one or more of our key personnel, whether planned or unplanned, or our failure to attract and retain additional key personnel, could have a material adverse effect on our business, financial condition, results of operations, and prospects. In addition, to the extent we hire personnel from competitors, we have been, and may in the future be, subject to allegations that they have been improperly solicited or that they have divulged proprietary or other confidential information, or that their former employers own their research output.</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new products and effectively manage their introduction or improve our existing products, our business may be adversely affected.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must successfully manage introductions of new or enhanced products or new or enhanced features of the Ceribell System and Clarity, including those related to any future indications in addition to seizure. Introductions of new products or features of the Ceribell System and Clarity could also adversely impact the sales of our existing products to customers. For instance, the introduction or announcement of a new or advanced Ceribell System could shorten the life cycle of our existing devices or reduce demand for them, potentially reducing any benefits of successful new product or enhancement introductions and leading to challenges in managing the inventory of existing products. In addition, new or enhanced products may have higher manufacturing, marketing, information technology, or other costs than our existing products, or lower market acceptance, which could negatively impact our gross margins and operating results. As the technological complexity of our products increases, the infrastructure to support our products, such as our design and manufacturing processes and technical support for our products, may also become more complex. Accordingly, if we fail to effectively manage introductions of new or advanced products, our business may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new indications and application areas subjects us to additional clinical, regulatory, commercial, and reimbursement risks, and we may not realize the anticipated benefits of these efforts.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expanding our product portfolio beyond seizure detection. In December 2025, the FDA granted 510(k) clearance for our Delirium Monitor System, and in 2026 we received additional 510(k) clearances for neurology-focused algorithms, EEG analysis tools, and a next-generation hardware platform. In January 2026, we received Breakthrough Device Designation for the Ceribell large vessel occlusion (“LVO”) System, which remains in development. Our ability to generate revenue from these products and any future indications will depend on, among other things, adoption by hospitals and clinicians of applications that are new to the acute care setting, our ability to generate supporting clinical evidence, our ability to obtain and maintain required marketing authorizations, and the availability of adequate coverage and reimbursement.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Delirium screening and monitoring with EEG is a new application for many hospitals, and hospitals and clinicians may not adopt or continue to use the Delirium Monitor System or our other new offerings at the levels we expect. These offerings may require additional training, workflow changes, or integration with hospital information technology systems, and clinicians may not perceive sufficient clinical or economic benefit. Although the Centers for Medicare &amp; Medicaid Services (“CMS”) granted a new technology add-on payment (“NTAP”) for eligible Medicare inpatient cases using the Delirium Monitor System, effective October 1, 2026, the NTAP is temporary, does not assure adoption, and may not offset hospitals’ costs, and other payers may not provide coverage or reimbursement. See the risk factor titled, “</w:t>
      </w:r>
      <w:r>
        <w:rPr>
          <w:rFonts w:ascii="Times New Roman" w:cs="Times New Roman" w:eastAsia="Times New Roman" w:hAnsi="Times New Roman"/>
          <w:sz w:val="18"/>
          <w:szCs w:val="18"/>
          <w:i w:val="1"/>
          <w:iCs w:val="1"/>
          <w:color w:val="auto"/>
        </w:rPr>
        <w:t>If adequate reimbursement becomes unavailable for the diagnostic tests using our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 could diminish our sales or affect our ability to sell the Ceribell System profitably.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new products and any future indications may require significant additional investment in research and development, clinical studies, manufacturing, and sales and marketing before generating meaningful revenue, if at all. The Ceribell LVO System is in development and is intended to notify clinicians of suspected stroke events that must be confirmed by other imaging; we may be unable to demonstrate the clinical performance needed to obtain marketing authorization, and the potential benefits of Breakthrough Device Designation may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 materialize. In addition, transitioning customers and our supply chain to our next-generation hardware platform may result in higher costs, supply disruptions, excess or obsolete inventory of existing products, or customer dissatisfaction. Any failure to successfully develop, obtain authorization for, and commercialize these products could materially adversely affect our business, financial condition, results of operations, and prospects.</w:t>
      </w:r>
    </w:p>
    <w:p>
      <w:pPr>
        <w:spacing w:after="0" w:line="17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are complex to design and manufacture and can contain defects. The production and sale of defective products could adversely affect our business, financial condition, results of operations, and prospects. If product liability lawsuits are brought against us, we may incur substantial liabilities and may be required to limit sales of our products.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Ceribell System contains highly complex electronic components, which are sourced from external third parties, and there is an inherent risk that defects may occur in the production of any of our products. Although we rely on the suppliers’ internal procedures designed to minimize risks that may arise from quality issues, there can be no assurance that we or our suppliers will be able to eliminate or mitigate occurrences of these issues and associated liabilities. In addition to the risk of product returns by our customers due to product defects, we face exposure to product liability claims in the event that any of our devices are alleged to have resulted in personal injury, over- or under-reporting of seizures resulting in inappropriate diagnosis or treatment, damage to property, or otherwise to have caused harm. We may be sued if any of our devices allegedly causes injury or is found to be otherwise unsuitable during product testing, manufacturing, marketing, sale, or use. For example, Clarity is not designed to detect all short seizures, and users of the Ceribell System may allege the failure to detect all short seizures is a defect. Any such product liability claims may include allegations of defects in manufacturing, defects in design, a failure to warn of dangers or limitations inherent in the product, negligence, strict liability, and a breach of warranty. If we cannot successfully defend ourselves against product liability claims, we may incur substantial liabilities or be required to limit sales of our products. Even successful defense would require significant financial and management resources. Regardless of the merits or eventual outcome, liability claims may result in decreased demand for our current or future products, injury to our reputation, loss of revenue, and the inability to sell our current or any future products. They may also result in litigation costs, a diversion of management’s time and our resources, substantial monetary awards to customers and patients, and regulatory investigations, product recalls, withdrawals, or labeling, marketing, or promotional restrictions.</w:t>
      </w:r>
    </w:p>
    <w:p>
      <w:pPr>
        <w:spacing w:after="0" w:line="1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inability to obtain and maintain sufficient product liability insurance at an acceptable cost and scope of coverage to protect against potential product liability claims could prevent or inhibit the sale of our current or any future products we develop. Although we currently carry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The production and sale of defective products in the future could have a material adverse effect on our business, financial condition, results of operations,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 and expected growth of our addressable market has not been established with precision, and may be smaller than we estimate.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estimates of the addressable market for our current products and any future products are based on a number of internal and third-party estimates and assumptions, including the prevalence of seizures in the acute care setting and additional indications we intend to expand into, and the level of underutilization of EEG in the acute care setting. While we believe our assumptions and the data underlying our estimates are reasonable, these assumptions and estimates may not be correct. As a result, our estimates of the addressable market for our current or future products may prove to be incorrect. If the actual number of patients who would benefit from our products and services, the price at which we can sell future products or services or the addressable market for our products or services is smaller than we estimate, it could have a material adverse effect on our business, financial condition, results of operations, and prospects.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Alternative technologies or therapies addressing seizure, non-convulsive status epilepticus or other indications we intend to expand into could materially adversely affect our business, financial condition, results of operations, and prospects.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medical research were to lead to the discovery of alternative therapies or technologies that address seizure, status epilepticus or other indications we intend to expand into in a way that is or is perceived to be more accurate, reliable, cost-effective, or otherwise improved relative to the Ceribell System, for example through alternative monitoring or testing technologies, medication, or therapies, the demand for our products could decrease significantly, leading to a material adverse effect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Macroeconomic conditions, such as high inflationary pressure,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the conflict involving Iran, as well as monetary and financial uncertainties.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Other adverse impacts of recent macroeconomic conditions have been, and may continue to be, supply chain constraints, logistics challenges, liquidity concerns in the broader financial services industry, and fluctuations in labor availability.</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sufficiently to keep up with the rate of inflation. A higher inflationary environment can also negatively impact raw material, component, and logistics costs that, in turn, may increase the costs of producing and distributing our products.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Hospitals, in particular, are experiencing and may continue to experience financial and operational pressures as a result of staffing shortages, the supply chain environment, and high inflation, which could impact their ability to access capital markets and other funding sources, increase the cost of funding, or impede their ability to comply with debt covenants, all of which could impede their ability to provide patient care and impact their profitability. To the extent that hospitals face financial pressures, delayed access, or loss of access to uninsured deposits, reductions in government spending or higher interest rates, hospitals’ ability or willingness to spend on equipment may be adversely impacted, all of which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Shutdowns of the U.S. federal government could materially adversely affect our business, financial condition, results of operations, and prospects.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 federal government has shut down multiple times in the past, including during 2025 and 2026, and certain regulatory agencies, including the FDA, CMS, the USITC, the U.S. Patent and Trademark Office (“USPTO”), the U.S. Department of Defense, and the U.S. Department of Veterans Affairs, have had to furlough employees and suspend some of their activities. Future government shutdowns, including following the expiration of temporary government funding measures, could similarly disrupt the operations of these and other federal agencies. A prolonged shutdown, in addition to any reductions in FDA program funding or changes in personnel, could delay regulatory reviews and approvals, reimbursement-related activities, litigation proceedings, or government program implementations and could ultimately disrupt or delay our research and development, manufacturing, commercialization, or intellectual property enforcement activities. Any such delays or disruptions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Matters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adequate reimbursement becomes unavailable for the diagnostic tests using our products, it could diminish our sales or affect our ability to sell the Ceribell System profitably.</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Diagnostic tests performed with the Ceribell System are generally reimbursed under existing physician and hospital codes. Our ability to increase sales of the Ceribell System depends, in significant part, on the availability of adequate coverage and reimbursement from third-party payers, including governmental payers (such as the Medicare and Medicaid programs in the United States), managed care organizations, and private health insurers. Third-party payers decide which diagnostic tests they will cover and establish reimbursement rates for those tests. We do not bill any third-party payers for the Ceribell System. Instead, we invoice healthcare providers and the cost is bundled into the reimbursement received by healthcare providers for the tests using the Ceribell System.</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expect the Ceribell System will continue to be purchased by hospitals who will then seek reimbursement from third-party payers. Reimbursement for the hospital services during an inpatient stay generally is made under a prospective payment system that is determined by a classification system known as diagnosis-related groups, which are assigned using a number of factors including the principal diagnosis, major procedures, discharge status, patient age, and complicating secondary diagnoses, among other things. In August 2023, CMS approved an NTAP under the Medicare inpatient prospective payment system for our electrographic status epilepticus Clarity algorithm, effective October 1, 2023. The Clarity electrographic status epilepticus NTAP expired on September 30, 2026, and, as a result, hospitals no longer receive additional Medicare payment for eligible inpatient cases utilizing the electrographic status epilepticus Clarity algorithm, which could have an adverse effect on hospitals’ economics and, in turn, on the adoption and use of Clarity and on our pricing. In August 2026, CMS granted an NTAP under the Medicare inpatient prospective payment system for eligible Medicare patient cases utilizing our Delirium Monitor System, effective October 1, 2026. The NTAP designation for a product</w:t>
      </w:r>
    </w:p>
    <w:p>
      <w:pPr>
        <w:sectPr>
          <w:pgSz w:w="11900" w:h="16838" w:orient="portrait"/>
          <w:cols w:equalWidth="0" w:num="1">
            <w:col w:w="11240"/>
          </w:cols>
          <w:pgMar w:left="320" w:top="117" w:right="339" w:bottom="1440" w:gutter="0" w:footer="0" w:header="0"/>
        </w:sectPr>
      </w:pP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lasts for no more than three years for a specific indication. Once an applicable NTAP expires or our products are otherwise no longer eligible for such NTAP, our customers may no longer receive additional reimbursement to offset the costs associated with the use of our products, which could adversely affect their profit margins. In light of the potential unreimbursed costs, some of our target customers may be unwilling to adopt our products and some of our existing customers may terminate their contracts with us.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third-party payers currently cover and provide reimbursement for tests using the Ceribell System, we can give no assurance that these third-party payers will continue to provide coverage and adequate reimbursement, or that current reimbursement levels for the tests will continue. Third-party payers, whether foreign or domestic, or governmental or commercial, are developing increasingly sophisticated methods of controlling healthcare costs. In addition, no uniform policy of coverage and reimbursement for tests using our products exists among third-party payers. Therefore, coverage and reimbursement for tests using our products can differ significantly from payer to payer. Other competitive products may be more widely covered or subject to different reimbursement policies and requirements, which could impact demand for our products.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Furthermore, the overall amount of reimbursement available for EEG monitoring and seizure diagnosis could decrease in the future. We cannot be sure that the reimbursement amounts available for hospital services and tests using the Ceribell System will not reduce or otherwise negatively impact the demand for our products. Further, coverage policies and third-party reimbursement rates may change at any time. Even if favorable coverage and reimbursement status is attained, less favorable coverage policies and reimbursement rates may be implemented in the future. Failure by users of the Ceribell System to obtain adequate reimbursement for these tests would have a material adverse effect on our business, financial condition, results of operations, and prospects.</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continued commercialization of our products depends in part on the extent to which governmental authorities and health insurers provide coverage and adequate reimbursement levels. Failure to obtain and maintain coverage and adequate reimbursement for our products could limit our ability to market those products and decrease our ability to generate revenue.</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third-party payers generally currently cover and provide reimbursement for diagnostic tests using the Ceribell System, there is significant uncertainty related to the insurance coverage and reimbursement of newly approved and launched products. In the United States, third-party payers, including private and governmental payers, such as the Medicare and Medicaid programs, play an important role in determining the extent to which new devices will be covered. The Medicare and Medicaid programs increasingly are used as models in the United States for how private payers and other governmental payers develop their coverage and reimbursement policies for medical devices. Some third-party payers may require pre-approval of coverage for new or innovative devices before they will reimburse healthcare providers who use such devices.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addition, customers that use our products may be </w:t>
      </w:r>
      <w:r>
        <w:rPr>
          <w:rFonts w:ascii="Times New Roman" w:cs="Times New Roman" w:eastAsia="Times New Roman" w:hAnsi="Times New Roman"/>
          <w:sz w:val="18"/>
          <w:szCs w:val="18"/>
          <w:color w:val="231F20"/>
        </w:rPr>
        <w:t>subject to reimbursement claim denials upon submission of their claims. Customers may also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subject to recovery of overpayments if a payer makes payment for the claim and subsequently determines that the payer’s coding, billing, or coverage policies were not followed. These events, or any other decline in the amount payers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results of operations, and prospects.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Obtaining coverage and reimbursement can be a time-consuming process that could require us to provide supporting scientific, clinical, and cost-effectiveness data for the use of our products. We may not be able to provide data sufficient to satisfy governmental and other third-party payers that diagnostic tests using our products should be covered and reimbursed. In addition, payers continually review new and existing technologies for possible coverage and can, without notice, deny or reverse coverage for new or existing products and tests. There can also be no assurance that third-party payer policies will provide coverage for tests using our products.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we believe that future coverage and reimbursement may be subject to increased restrictions, such as additional prior authorization requirements, both in the United States and in international markets, which may impact utilization of our products. Third-party coverage and reimbursement for our products or any of our products in development for which we may receive regulatory clearance, certification, or approval may not be available or adequate in either the United States or international markets. If demand for our products is adversely affected by third-party reimbursement policies and decisions, it could have a material adverse effect on our business, financial condition, results of operations, and prospects.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federal and state fraud and abuse laws and transparency laws, and any failure to comply could subject us to substantial penalties or other adverse consequences. In addition, any challenge to or investigation into our practices under these laws could cause adverse publicity and be costly to respond to, and thus could harm our business.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There are numerous U.S. federal and state laws pertaining to healthcare fraud and abuse, including anti-kickback, false claims, and transparency laws regarding payments and other transfers of value made to physicians and other healthcare professionals. Our business practices and </w:t>
      </w:r>
      <w:r>
        <w:rPr>
          <w:rFonts w:ascii="Times New Roman" w:cs="Times New Roman" w:eastAsia="Times New Roman" w:hAnsi="Times New Roman"/>
          <w:sz w:val="18"/>
          <w:szCs w:val="18"/>
          <w:color w:val="231F20"/>
        </w:rPr>
        <w:t>relationships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providers are subject to scrutiny under these laws. The healthcare laws and regulations that may affect our ability to operate include, but are not limited to:</w:t>
      </w:r>
    </w:p>
    <w:p>
      <w:pPr>
        <w:spacing w:after="0" w:line="68" w:lineRule="exact"/>
        <w:rPr>
          <w:sz w:val="20"/>
          <w:szCs w:val="20"/>
          <w:color w:val="auto"/>
        </w:rPr>
      </w:pPr>
    </w:p>
    <w:p>
      <w:pPr>
        <w:jc w:val="both"/>
        <w:ind w:left="1020" w:hanging="503"/>
        <w:spacing w:after="0" w:line="258"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The U.S. government has interpreted this law broadly to apply to the marketing and sales activities of medical device manufacturers. In addition, a person or entity does not need to have actual knowledge of the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knowingly making, using, or causing to be made or used, a false record or statement material to a false or fraudulent claim, or knowingly making a false statement to avoid, decrease, or conceal an obligation to pay money to the federal government. In addition, certain marketing practices that, for example, induce providers to upcode to a higher reimbursement service or site of service, may also violate false claims laws.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as amended by the Health Information Technology for Economic and Clinical Health Act of 2009, and regulations implemented thereunder (collectively, “HIPAA”), which, in addition to privacy protections applicable to healthcare providers and other entities, prohibits,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applicable manufacturers of drugs, devices, biologics, and medical supplies for which payment is available under certain federal healthcare programs, to monitor and report to CMS, certain payments and other transfers of value to physicians (defined to include doctors, dentists, optometrists, podiatrists, and chiropractors), certain other non-physician practitioners (physician assistants, nurse practitioners, clinical nurse specialists, certified registered nurse anesthetists, anesthesiology assistants, and certified nurse midwives), and teaching hospitals, and to report annually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consumer protection and unfair competition laws, which broadly regulate marketplace activities and activities that potentially harm customers;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 equivalents of each of the above federal laws, state anti-kickback, and false claims laws; state laws requiring device companies to comply with specific compliance standards, restrict payments made to healthcare providers and other potential referral sources, and report information related to payments and other transfers of value to healthcare providers or marketing expenditures; and state laws related to insurance fraud in the case of claims involving private insurers.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These laws and regulations, among other things, constrain our business, marketing and other promotional and research activities by limiting the kinds of financial arrangements, including sales programs, we may have with hospitals, physicians, or other potential purchasers of our products. In particular, these </w:t>
      </w:r>
      <w:r>
        <w:rPr>
          <w:rFonts w:ascii="Times New Roman" w:cs="Times New Roman" w:eastAsia="Times New Roman" w:hAnsi="Times New Roman"/>
          <w:sz w:val="18"/>
          <w:szCs w:val="18"/>
          <w:color w:val="231F20"/>
        </w:rPr>
        <w:t>laws and regulations may restrict or prohibit a wide range of pricing, discounting, marketing and promotion, sales commission, 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incentive programs, and other business arrangements, as well as interactions with healthcare professionals through consultant arrangements, product training, sponsorships, or other activities. </w:t>
      </w:r>
      <w:r>
        <w:rPr>
          <w:rFonts w:ascii="Times New Roman" w:cs="Times New Roman" w:eastAsia="Times New Roman" w:hAnsi="Times New Roman"/>
          <w:sz w:val="18"/>
          <w:szCs w:val="18"/>
          <w:color w:val="000000"/>
        </w:rPr>
        <w:t>Efforts to ensure that our business arrangements with third parties will comply with applicable healthcare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other laws and regulations will involve substantial costs. It is possible that governmental authorities will conclude that our business practices, including arrangements with teleneurology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providers and customers for the provision of remote EEG interpretation services or agreements we have entered into with physicians who are paid, in part, in the form of stock or stock options, do not comply with current or future statutes, regulations, agency guidance, or case law involving applicable fraud and abuse or other healthcare laws and regulations. Due to the breadth of these laws, the narrowness of statutory exceptions and regulatory safe harbors available, and the range of interpretations to which they are subject, governmental authorities may possibly conclude that our business practices may not comply with healthcare laws and regulations.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We may be subject to private qui tam actions brought by individual whistleblowers on behalf of the federal or state governments, with potential liability under the federal False Claims Act including mandatory treble damages and significant per-claim penalties. </w:t>
      </w:r>
      <w:r>
        <w:rPr>
          <w:rFonts w:ascii="Times New Roman" w:cs="Times New Roman" w:eastAsia="Times New Roman" w:hAnsi="Times New Roman"/>
          <w:sz w:val="18"/>
          <w:szCs w:val="18"/>
          <w:color w:val="231F20"/>
        </w:rPr>
        <w:t>In addition, as a result of these investigations and qui tam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actions, we may have to agree to additional compliance and reporting requirements as part of a consent decree or corporate integrity agreement. Any such investigation or settlement could increase our costs or otherwise have a material adverse effect on our business, financial condition, results of operations, and prospects. Even an unsuccessful challenge or investigation into our practices could cause adverse publicity and be costly to respond to.</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cannot always identify and deter misconduct by our employees, consultants, and commercial partners, and the precautions we take may not protect us from governmental investigations or actions arising from a failure to comply with these laws. If any such actions are instituted against us or our operations are otherwise found to be in violation of any of the federal and state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oversight if we become subject to a consent decree or corporate integrity agreement, or disgorgement, and we could be required to curtail, restructure or cease our operations. Any of the foregoing consequences will have an adverse effect on our business, financial condition, results of operations, and prospects.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policy changes, including recently enacted legislation reforming the U.S. healthcare system, could have a material adverse effect on our business, financial condition, results of operations, and prospects.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and regulatory initiatives to contain healthcare costs.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diagnostic tests associated with the use of our products. The cost containment measures that payers and providers are instituting and the effect of any healthcare reform initiative implemented in the future could impact our revenue from the sale of our products.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By way of example, in the United States, the Affordable Care Act (the “ACA”) made a number of substantial changes in the way healthcare is financed by both governmental and private insurers. Among other ways in which it may affect our business, the ACA implemented payment system reforms including a national pilot program on payment bundling to encourage hospitals, physicians, and other providers to improve the coordination, quality, and efficiency of certain healthcare services through bundled payment models; and expanded the eligibility criteria for Medicaid programs.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 Budget Control Act of 2011, among other things, reduced Medicare payments to providers, effective on April 1, 2013 and, due to subsequent legislative amendments to the statute, will remain in effect through 2032, unless additional Congressional action is taken.</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 recently, the One Big Beautiful Bill Act (the “OBBB Act”) was signed into law on July 4, 2025, which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additional state and federal healthcare policies and reform measures to be adopted in the future, any of which could limit reimbursement for healthcare products and services or otherwise result in reduced demand for our products or additional pricing pressure and have a material adverse effect on our industry generally and on our customers. We cannot predict what other healthcare programs and regulations will ultimately be implemented at the federal or state level or whether any future legislation or regulation in the United States may negatively affect our business, financial condition, results of operations, and prospects. The continuing efforts of the government, insurance companies, managed care organizations, and other payers of healthcare services to contain or reduce costs of</w:t>
      </w:r>
    </w:p>
    <w:p>
      <w:pPr>
        <w:sectPr>
          <w:pgSz w:w="11900" w:h="16838" w:orient="portrait"/>
          <w:cols w:equalWidth="0" w:num="1">
            <w:col w:w="11240"/>
          </w:cols>
          <w:pgMar w:left="320" w:top="117" w:right="33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healthcare may adversely affect our ability to set a price that we believe is fair for our products, our ability to generate revenue and achieve or maintain profitability, and the availability of capital.</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changes of, or uncertainty with respect to, future coverage or reimbursement rates could affect demand for our products, which could have a material adverse effect on our business, financial condition, results of operations, and prospects.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 regulation and oversight in the United States, and our failure to comply with applicable requirements could harm our business.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products are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classification, and approval or certification; recordkeeping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regulations to which we are subject are complex, burdensome to understand and apply and have tended to become more stringent over time. Regulatory changes could result in restrictions on our ability to carry on or expand our operations, higher than anticipated costs or lower than anticipated sales. The FDA enforces its regulatory requirements through, among other means, periodic unannounced inspections. We do not know whether we or any of our contract manufacturers will be found compliant in connection with any future FDA or foreign inspections. Failure to comply with applicable regulations could jeopardize our ability to sell our products and result in enforcement actions such as: warning letters; fines; injunctions; civil penalties; termination of distribution; import alerts; recalls or seizures of products; delays in the introduction of products into the market; total or partial suspension of production; refusal to grant future clearances or approvals; withdrawals or suspensions of clearances or approvals, resulting in prohibitions on sales of our products; and in the most serious cases, criminal penalties.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marketing authorizations for our products, or to timely obtain necessary marketing authorizations for our future products, may have a material adverse effect on our business, financial condition, results of operations, and prospects.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the United States, before we can market a new medical device, or a new use of, or other significant modification to an existing, marketed medical device, we must first receive either clearance under Section 510(k) of the Federal Food, Drug and Cosmetic Act (the “FDCA”), approval of a premarket approval application (“PMA”), or grant of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In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 the applicant will receive authorization to market the device. This device type may be used subsequently as a predicate device for future 510(k) submissions.</w:t>
      </w:r>
    </w:p>
    <w:p>
      <w:pPr>
        <w:spacing w:after="0" w:line="19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PMA approval, 510(k) clearance and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an application for 510(k) clearance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Despite the time, effort and cost, a device may not obtain marketing authorization by the FDA. We have obtained 510(k) clearances for our commercialized medical devices, and we must obtain marketing authorization for any future devices we develop, unless they are exempt. Marketing</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authorizations for any of our future products, if granted, may include significant limitations on the indicated uses for the device, which may limit the potential commercial market for the device.</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the United States, any modification to a medical device for which we have obtained marketing authorization may require us to submit a new 510(k) premarket notification and obtain clearance, to submit a PMA and obtain FDA approval, or to submit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We may make modifications or add additional features in the future to our medical devices that we believe do not require a new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or approval of a PMA. If the FDA disagrees with our determination and requires us to seek new marketing authorizations for the modifications for which we have concluded that new marketing authorizations are unnecessary, we may be required to cease marketing 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can delay, limit, or deny marketing authorization of a device for many reasons, including our inability to demonstrate substantial equivalence to a predicate device, or that our products are safe and effective and that their benefits outweigh their risks, for their intended uses. The FDA may also disagree with the design or implementation of our clinical trials or our interpretation of the data, find our preclinical or clinical data insufficient to support clearance, de novo classification, or approval, or identify deficiencies in our manufacturing processes or facilities. Serious and unexpected adverse device effects in our clinical trials, or significant changes to FDA regulations or policies that render our clinical data or regulatory filings insufficient, could also delay or prevent authorization.</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addition, in January 2026, we received Breakthrough Device Designation from the FDA for our Ceribell LVO System, a portable EEG-based stroke detection and monitoring system in development intended for use in hospital settings to monitor adult patients for whom a reliable neurological exam for LVO stroke are often challenging and to notify medical professionals of suspected LVO stroke, which notifications are intended to be confirmed by CT or MR angiography prior to initiation of treatment. Breakthrough Device Designation provides certain benefits, including more interactive and timely communications with FDA staff, potential use of post-market data collection to facilitate expedited development and review, opportunities for more efficient and flexible clinical study design, and prioritized review of premarket submissions. However, there can be no guarantee that these benefits will materialize or significantly impact our development and regulatory approval process. Even where our product candidates have received Breakthrough Device Designation, we may not experience a faster development process, review, or approval compared to conventional FDA procedures. Breakthrough Device Designation does not alter the regulatory standards for marketing authorization or guarantee that we will ultimately obtain FDA clearance or approval for the designated indication. Furthermore, the FDA may rescind Breakthrough Device Designation if it believes that the designation is no longer supported by data from our clinical development program. As with all FDA marketing authorizations, we will need to continue to comply with applicable regulations and standards, which may change over time.</w:t>
      </w:r>
    </w:p>
    <w:p>
      <w:pPr>
        <w:spacing w:after="0" w:line="19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Even if we successfully apply for marketing authorization for future products, there is no guarantee that we will obtain the marketing authorizations within the expected timeline, or at all. Staff reductions in the FDA office charged with regulating devices may cause delay.</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testing process is complex, lengthy, can be expensive, and carries uncertain outcomes. Future trials and studies by us or others may fail to replicate positive results observed to date.</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conduct our own clinical studies and provide support for trials initiated by third parties that evaluate different aspects of the Ceribell System. Clinical testing is difficult to design and implement, can take many years, can be expensive, and carries uncertain outcomes. The results of preclinical studies and clinical trials of our products conducted to date and ongoing or future studies and trials of our current, planned, or future products may not be predictive of the results of later clinical trials or real-world performance, and interim results of a clinical trial do not necessarily predict final results. The data and results from our clinical studies do not ensure that we will achieve similar results in future clinical trials, are not head to head studies and not directly comparable with each other, as they have different sample sizes, designs, limitations, assumptions, and objectives, and are conducted on different patient populations at different sites by different researchers. In addition, as some of these studies are prospective studies, they may not reflect real-world performance. Some of our studies have not been peer reviewed or published, and peer reviewers may disagree with the methodologies or conclusions of such studies and may not deem them worthy of publication. In addition, preclinical and clinical data are often susceptible to various interpretations and analyses, and many companies that have believed their products performed satisfactorily in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preclinical studies and earlier clinical trials have nonetheless failed to replicate results in later clinical trials, or have viewed such data in different ways than regulators.</w:t>
      </w:r>
    </w:p>
    <w:p>
      <w:pPr>
        <w:spacing w:after="0" w:line="5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risk that future trials and studies of the Ceribell System fail to replicate positive results observed to date is increased because most of our studies and trials are conducted on small samples, not powered for statistical significance, controlled for other clinical variables, or have other design limitations and almost all such studies were conducted or sponsored by us. Independent studies with larger samples or different designs may not replicate results observed to date. In addition, the performance of the Clarity algorithm is typically evaluated by comparing the algorithm results to a retrospective review of the EEG by a panel of neurologists. There is a high degree of inter-rater variability in the interpretation of EEGs by clinicians, such that Ceribell System study results may vary from study to study depending on the size and composition of the neurologist panel. Clinical studies or investigations on the Ceribell System have produced, and may in the future produce, negative or inconclusive results. Furthermore, others, including healthcare professionals and regulators, may perceive a conflict of interest with studies supported, sponsored, or funded by us or conducted by our employees or consultants, and may not find results of such studies to be compelling or credible. As a result of the foregoing, we may decide, or regulators may require us, to conduct additional clinical and nonclinical testing in addition to those we have planned. The initiation and completion of clinical studies may be prevented, delayed, or halted for numerous reasons. We may experience delays in our clinical trials for a number of reasons, including disagreements with regulators or institutional review boards (“IRBs”) regarding trial design, insufficient or slower than anticipated patient enrollment, failures by clinical sites or third-party contractors to meet their obligations, changes in regulatory requirements, and higher than anticipated costs, any of which could adversely affect the costs, timing, or successful completion of our clinical trials.</w:t>
      </w:r>
    </w:p>
    <w:p>
      <w:pPr>
        <w:spacing w:after="0" w:line="19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results of operations, and prospects. In addition, many of the factors that cause, or lead to, a delay in the commencement or completion of clinical trials may also ultimately lead to the denial of marketing authorization of any medical device.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follow-up, if applicable, depend on many factors, including the size of the patient population, the nature of the trial protocol, the eligibility criteria for the clinical trial, competing clinical trials, and clinicians’ and patients’ perceptions as to the potential advantages of the product being studied. Patients participating in our clinical trials may drop out before completion of the trial or experience adverse medical events unrelated to an investigational device.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Clinical trials must be conducted in accordance with the laws and regulations of the FDA and other applicable regulatory authorities’ legal requirements, regulations, or guidelines, and are subject to oversight by these governmental agencies and IRBs, or other bodies at the medical institutions where the clinical trials are conducted. In addition, clinical trials must be conducted with supplies of our devices produced under current good manufacturing practice (“cGMP”) or similar foreign requirements, and other regulations applicable to the location where the clinical trial is conducted. We rely on third-party researchers and clinical trial sites, and may in the future rely on CROs, to ensure the proper and timely conduct of our clinical trials, and while we have agreements governing their committed activities, we have limited influence over their actual performance. We depend on these third parties to conduct our clinical trials in compliance with good clinical practice (“GCP”) requirements. To the extent they fail to enroll participants for our clinical trials, fail to conduct the study to GCP standards or are delayed for a significant time in the execution of trials, including achieving full enrollment, we may be affected by increased costs, trial delays or both. In addition, if we conduct clinical trials in other countries in the future, we may be subject to further delays and expenses as a result of increased shipment costs and additional regulatory requirements, and the engagement of non-U.S. third-party contractors may expose us to risks associated with clinical investigators who are unknown to the FDA, and different standards of diagnosis, screening, and medical care. See the risk factor titled, “</w:t>
      </w:r>
      <w:r>
        <w:rPr>
          <w:rFonts w:ascii="Times New Roman" w:cs="Times New Roman" w:eastAsia="Times New Roman" w:hAnsi="Times New Roman"/>
          <w:sz w:val="18"/>
          <w:szCs w:val="18"/>
          <w:i w:val="1"/>
          <w:iCs w:val="1"/>
          <w:color w:val="auto"/>
        </w:rPr>
        <w:t>We rely on third parties to conduct and support our preclinical studies and clinical trials. These third parties may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properly and successfully carry out their contractual duties or meet expected deadlines, which could harm our ability to obtain marketing authorization of or commercialize future products we develop.</w:t>
      </w:r>
      <w:r>
        <w:rPr>
          <w:rFonts w:ascii="Times New Roman" w:cs="Times New Roman" w:eastAsia="Times New Roman" w:hAnsi="Times New Roman"/>
          <w:sz w:val="18"/>
          <w:szCs w:val="18"/>
          <w:color w:val="auto"/>
        </w:rPr>
        <w:t>”</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that we announce or publish may change as more patient data become available and are subject to audit and verification procedures.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publicly announce interim or preliminary data from our clinical studies, including studies supporting our new indications. These data are based on a preliminary analysis, remain subject to audit and verification, and may change materially as additional patient data become available. Regulators, clinicians, and others may also interpret the data differently than we do. Adverse differences between interim and final results could harm our reputation, our ability to obtain marketing authorization or drive adoption, and the price of our common stock.</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ongoing regulatory review and scrutiny. Failure to comply with post-marketing regulatory requirements could subject us to enforcement actions, including substantial penalties, and might require us to recall or withdraw a product from the market.</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ongoing and extensive regulatory requirements governing, among other things, the manufacture, marketing, advertising, medical device reporting, sale, promotion, import, export, registration, and listing of devices. For example, medical device manufacturers must submit certain reports to the FDA and keep required records as a condition of obtaining and maintaining marketing authorization. These reports include information about failures and certain adverse events potentially associated with the device after its marketing authorization. Failure to submit such reports, or failure to submit the reports in a timely manner, could result in enforcement action by the FDA. Following its review of the periodic reports, the FDA might ask for additional information or initiate further investigation.</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ongoing responsibilities under FDA regulations, and the FDA and state regulatory authorities have broad enforcement powers. Our failure to comply with applicable regulatory requirements could result in enforcement action by the FDA or state regulatory authorities, which may include the sanctions described above under the risk factor titled “</w:t>
      </w:r>
      <w:r>
        <w:rPr>
          <w:rFonts w:ascii="Times New Roman" w:cs="Times New Roman" w:eastAsia="Times New Roman" w:hAnsi="Times New Roman"/>
          <w:sz w:val="18"/>
          <w:szCs w:val="18"/>
          <w:i w:val="1"/>
          <w:iCs w:val="1"/>
          <w:color w:val="auto"/>
        </w:rPr>
        <w:t>Our products and operations are subject to extensive government regulation and oversight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and our failure to comply with applicable requirements could harm our business</w:t>
      </w:r>
      <w:r>
        <w:rPr>
          <w:rFonts w:ascii="Times New Roman" w:cs="Times New Roman" w:eastAsia="Times New Roman" w:hAnsi="Times New Roman"/>
          <w:sz w:val="18"/>
          <w:szCs w:val="18"/>
          <w:color w:val="auto"/>
        </w:rPr>
        <w:t>,” as well as customer notifications or repair, replacement,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refunds, and the FDA’s refusal to issue certificates to foreign governments needed to export our products.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negative publicity, higher than anticipated costs or lower than anticipated sales and have a material adverse effect on our reputation, business, financial condition, results of operations, and prospects.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FDA may change its marketing authorization policies affecting future products, adopt additional regulations or revise existing regulations, or take other actions, which may prevent or delay marketing authorization of any products under development or impact our ability to modify any products authorized for market on a timely basis. Such changes may also occur in foreign jurisdictions where we may market our products in the future. Such changes could impose additional requirements upon us that could delay our ability to obtain future marketing authorizations, increase the costs of compliance, or restrict our ability to maintain any marketing authorizations we have obtained. See the risk factor titled, “</w:t>
      </w:r>
      <w:r>
        <w:rPr>
          <w:rFonts w:ascii="Times New Roman" w:cs="Times New Roman" w:eastAsia="Times New Roman" w:hAnsi="Times New Roman"/>
          <w:sz w:val="18"/>
          <w:szCs w:val="18"/>
          <w:i w:val="1"/>
          <w:iCs w:val="1"/>
          <w:color w:val="auto"/>
        </w:rPr>
        <w:t>Legislative or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reforms in the United States may make it more difficult and costly for us to manufacture, market, or distribute our products, or to obtain marketing authorizations for any future products.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applicable laws and regulations, and we could be forced to recall our devices or terminate production if we fail to comply with these regulations.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the methods used in, and the facilities used for, the manufacture of medical devices must comply with the FDA’s cGMPs for medical devices, known as the Quality Management System Regulation (“QMSR”),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QMSR through periodic announced or unannounced inspections of medical device manufacturing facilities, which may include the facilities of subcontractors. Our products are also subject to similar state regulations governing manufacturing.</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third-party manufacturers may not take the necessary steps to comply with applicable regulations, which could cause delays in the delivery of our medical devices.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marketing authorizations; seizures or recalls of our products; total or partial suspension of production or distribution; administrative or judicially imposed sanctions; the FDA’s refusal to grant pending or future clearances or approvals for our products or similar decisions by foreign regulatory authorities or notified bodies; clinical holds; refusal to permit the import or export of our products; and criminal prosecution of us, our suppliers, or our employees. If any of these events occurs, our reputation could be harmed, we could be exposed to product liability claims and we could lose customers and experience reduced sales and increased costs.</w:t>
      </w:r>
    </w:p>
    <w:p>
      <w:pPr>
        <w:spacing w:after="0" w:line="29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which we may be required to report to the FDA, and if we fail to do so, we would be subject to sanctions that could harm our reputation, business, financial condition, results of operations, and prospects. In addition, the discovery of serious safety issues with our products, or a recall of our products either voluntarily or at the direction of the FDA, could have a negative impact on us.</w:t>
      </w:r>
    </w:p>
    <w:p>
      <w:pPr>
        <w:spacing w:after="0" w:line="6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It is possible that there may be side effects and adverse events associated with the use of our medical devices or any future devices we develop. For example, the Ceribell System has in certain instances issued false alarms, i.e., reported seizure activity when there is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 seizure, and in other instances has failed to report or under-reported seizure activity when there is seizure, and may continue to do so, all of which may lead to patients being misdiagnosed, receiving unnecessary medical procedures or treatments, or experiencing delays in receiving necessary medical procedures or treatments. Additionally, the Wearables used as part of the Ceribell System may cause skin irritation to patients or break down sooner than expected. Use of the Ceribell System, including both the Wearables and EEG recorder, may present infection control hazards to both patients and healthcare staff. The EEG recorder may also present additional hazards to patients and healthcare staff, including mechanical hazards, electrical hazards, and thermal hazards relating to the device’s integrated lithium-ion battery. Failure of the EEG recorder to transmit data to our portal due to software or hardware problems, incorrect setup or configuration, network incompatibility, or user error may lead to patients experiencing delays in receiving necessary medical procedures or treatments. The FDA’s medical device reporting regulations require us to assess reportability of adverse events that come to our attention and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event as well as the nature of the event. We may fail to report events of which we become aware within the prescribed timeframe. We may also fail to recognize that we have become aware of a reportable event, especially if it is not reported to us as an adverse event or if it is an adverse event that is unexpected or removed in time from the use of the product. The FDA may also disagree with our determinations that an event was not reportable. To date, we have not filed any adverse event-related medical device reports with the FDA. If we fail to comply with our reporting obligations, the FDA could take action, including warning letters, untitled letters, administrative actions, criminal prosecution, imposition of civil monetary penalties, revocation of our marketing authorizations, seizure of our products, or delay in obtaining marketing authorizations for our future products.</w:t>
      </w:r>
    </w:p>
    <w:p>
      <w:pPr>
        <w:spacing w:after="0" w:line="19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may require, or we may decide, that we will need to obtain new marketing authorizations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business, financial condition, results of operations, and prospects.</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result in injuries that harm patients and lead to product liability suits, harm our reputation in the marketplace, or result in costly investigations, fines, or sanctions by regulatory bodies if we are deemed to have engaged in the promotion of these uses, any of which could be costly to our business.</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commercial products, and any marketing authorization we may receive for future products, are, and will be, limited to specified indications for use. Our sales and marketing personnel, as well as our direct sales force, are trained to not promote our devices for uses outside of the FDA-authorized indications for use, known as “off-label uses.” We cannot, however, prevent a healthcare professional from using our devices off-label, when in the healthcare professional’s independent professional judgment he or she deems it appropriate. There may be increased risk of injury to patients if healthcare professionals attempt to use our devices off-label, which could harm our reputation in the marketplace among healthcare professionals and patients.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the FDA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or state enforcement authorities might take action under other regulatory authority, such as false advertising and consumer protection laws, or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ectPr>
          <w:pgSz w:w="11900" w:h="16838" w:orient="portrait"/>
          <w:cols w:equalWidth="0" w:num="1">
            <w:col w:w="11240"/>
          </w:cols>
          <w:pgMar w:left="320" w:top="117" w:right="339" w:bottom="1440" w:gutter="0" w:footer="0" w:header="0"/>
        </w:sectPr>
      </w:pP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healthcare professionals may misuse our products or use improper techniques if they are not adequately trained, potentially leading to injury and an increased risk of product liability. For example, healthcare professionals may misuse our single use, disposable Wearables by using them on more than one patient.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sizable damage awards against us that may not be covered by insurance, all of which would have a material adverse effect on our business, financial condition, results of operations, and prospects.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in the United States may make it more difficult and costly for us to manufacture, market, or distribute our products, or to obtain marketing authorizations for any future products.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regulation of medical devices. In addition, the FDA may change its policies, adopt additional regulations, or revise existing regulations, or take other actions, which may prevent or delay marketing authorization of any future products under development or impact our ability to modify any products for which we have already obtained marketing authorizations on a timely basis. For example, on February 2, 2026, the FDA’s final rule implementing the FDA’s QMSR became effective. The QMSR, which replaced the FDA’s former Quality System Regulation (“QSR”), sets forth the FDA’s cGMP requirements for medical devices, and among other things, incorporates by reference certain elements of the quality management system requirements of ISO 13485:2016. Although the FDA has stated that the standards contained in ISO 13485:2016 are substantially similar to those set forth in the QSR, and although our quality management system is designed to comply with ISO 13485, the FDA has indicated that ISO 13485 certification alone will not ensure compliance under the QMSR, nor will ISO certification exempt manufacturers from FDA inspection. The QMSR also includes certain compliance obligations, such as those relating to unique device identification, product traceability, and maintenance of complaint and service records, that align more closely with the FDA’s existing medical device requirements than with ISO standards. Accordingly, it remains unclear the extent to which the QMSR may impose additional or different regulatory requirements on us that could increase the costs of compliance or otherwise negatively affect our business.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marketing authorization review times, or make it more difficult to obtain marketing authorizations for any future products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FDA has also established requirements and issued guidance applicable to connected and AI-enabled medical devices, including our products. For example, Section 524B of the FDCA imposes cybersecurity requirements on certain medical devices, including requirements relating to premarket submissions and post-market cybersecurity monitoring and vulnerability management. The FDA has also issued guidance regarding AI-enabled device software functions, including the use of predetermined change control plans for certain software modifications. Compliance with these cybersecurity requirements, changes in FDA policies or guidance, or limitations on our ability to implement modifications to our AI-enabled software without additional regulatory submissions could increase our compliance costs, delay product enhancements or adversely affect our ability to develop and commercialize our products.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obtaining necessary foreign regulatory clearance or approvals.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intend to pursue additional regulatory clearances in Europe and elsewhere outside the United States. Upon our expansion into foreign markets, we will be subject to foreign regulatory requirements that we have limited experience with and vary widely from country to country and from the United States. The time required to obtain clearances or approvals required by other countries may be longer than that required for FDA clearance or approval, and requirements for such approvals may differ from FDA requirements. We may be unable to obtain regulatory approvals and may also incur significant costs in attempting to obtain foreign regulatory approvals. If we experience delays in receipt of approvals to market our products in new jurisdictions, or if we fail to receive these approvals, we may be unable to market our products in international markets in a timely manner, if at all, which could materially impact our international expansion and adversely affect our business as a whole. If any of these risks were to materialize, they could limit our expected international growth and profitability, which could have a material adverse effect on our business, financial condition, results of operations, and prospects.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Foreign Corrupt Practices Act (the “FCPA”), economic and trade sanctions regulations, and similar laws could subject us to penalties and other adverse consequences.</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subject to the FCPA and other laws in the United States and elsewhere that prohibit improper payments or offers of payments to foreign governments and their officials and political parties for the purpose of obtaining or retaining business. Certain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suppliers and manufacturers of our devices and components of our devices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Various factors outside our direct control may negatively impact our manufacturing of the Ceribell System, which could have a material adverse effect on our business, financial condition, results of operations, and prospects.</w:t>
      </w:r>
    </w:p>
    <w:p>
      <w:pPr>
        <w:spacing w:after="0" w:line="15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manufacture the Ceribell System at our manufacturing facilities in Sunnyvale, California, using Wearables supplied by third-party manufacturers located in China and Vietnam and components for our recorder procured from various suppliers and shipped to our facility for final assembly. While we believe that we currently have adequate manufacturing capacity and supplies to meet our demand forecasts, increases in demand, disruptions involving our third-party manufacturers or suppliers, including as a result of trade restrictions related to China, or expansion into additional geographies or indications may require us to expand our manufacturing capabilities, qualify new suppliers or engage additional manufacturers. Any inability to do so in a timely or cost-effective manner could adversely affect our ability to meet customer demand.</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Our manufacturing operations and those of our third-party manufacturers and suppliers are subject to various risks, including production delays, equipment malfunctions, quality control issues, component shortages, personnel shortages, natural disasters, international conflicts, labor disputes, financial difficulties and other supply chain disruptions. Our manufacturing facility in Sunnyvale, California may be particularly susceptible to earthquakes and wildfires. Manufacturing difficulties, including contamination, human error or failure to follow established procedures, could reduce production yields, increase costs, delay product deliveries or require us to suspend manufacturing operations. In addition, changes in demand may require us to adjust our manufacturing operations, potentially resulting in additional costs, delays or quality issues. In addition, we may experience challenges managing the inventory of components of the Ceribell System, which can lead to excess inventory. Inventory levels in excess of customer demand may result in inventory write-downs or write-offs, which could impact our gross margins. Reserves and write-downs for discounts, promotions, and excess inventory are recorded based on our strategic plans and forecast of future demand. Actual future demand could be less than our forecast, which may result in additional reserves and write-downs in the future.</w:t>
      </w:r>
    </w:p>
    <w:p>
      <w:pPr>
        <w:spacing w:after="0" w:line="19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dependence on third-party manufacturers and suppliers, including single-source suppliers, exposes us to additional risks, including interruptions or discontinuation of supply, price fluctuations, defects or reliability issues, and difficulties identifying and qualifying alternative suppliers. Changes in suppliers, components or manufacturing processes may also require additional testing, validation or regulatory approvals, which could delay production or commercialization. Furthermore, our manufacturing operations and those of our third-party manufacturers and suppliers must comply with applicable regulatory requirements, including the QMSR. Failure to comply with these requirements could result in production delays, regulatory enforcement actions, product recalls or other adverse consequences. See the risk factor titled, “</w:t>
      </w:r>
      <w:r>
        <w:rPr>
          <w:rFonts w:ascii="Times New Roman" w:cs="Times New Roman" w:eastAsia="Times New Roman" w:hAnsi="Times New Roman"/>
          <w:sz w:val="18"/>
          <w:szCs w:val="18"/>
          <w:i w:val="1"/>
          <w:iCs w:val="1"/>
          <w:color w:val="auto"/>
        </w:rPr>
        <w:t>Our products must be manufactured in accordance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applicable laws and regulations, and we could be forced to recall our devices or terminate production if we fail to comply with these regulations.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Any of these events could impair our ability to manufacture and deliver products in sufficient quantities, maintain required quality standards or meet customer demand, which could have a material adverse effect on our business, financial condition, results of operations, and prospects.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 number of manufacturers and suppliers in connection with the manufacture of the Ceribell System, which makes us vulnerable to supply shortages and price fluctuations that could have a material adverse effect on our business, financial condition, results of operations, and prospects.</w:t>
      </w:r>
    </w:p>
    <w:p>
      <w:pPr>
        <w:spacing w:after="0" w:line="6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source and rely upon components and sub-assemblies of the Ceribell System, as well as manufacturing services from approved manufacturers and suppliers, some of which are single-source suppliers.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These components, sub-assemblies and services are critical to us, and there are relatively few alternative sources of supply. Our suppliers generally are not under long-term contracts with us, and may experience delays or issues, stop producing our components or sub-assemblies, increase the prices they charge us, or elect to terminate their relationships with us. In any of these cases, we could face a delay of several months to identify, perform appropriate testing and qualify alternative manufacturers and suppliers with regulatory authorities, as we currently have transition plans for some but not all of our manufacturers and suppliers. In addition, the failure of our third-party manufacturers and suppliers to maintain acceptable quality requirements could result in quality issues, including recalls of our products. If one of our manufacturers or suppliers fails to maintain acceptable quality requirements, we may have to identify and qualify a new manufacturer or supplier. Although we require our third-party manufacturers and suppliers to supply us with materials, components, and services that meet our specifications and comply with applicable provisions of the QMSR and other applicable legal and regulatory requirements in our agreements and contracts, and we perform incoming inspection, testing, or other acceptance activities to ensure the materials and components meet our requirements, there is a risk that they may not supply components that meet our requirements or supply components in a timely manner.</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do not have complete control over all aspects of the manufacturing process of, and are dependent on our manufacturing partners for compliance with cGMP regulations applicable to certain components of our products. Third-party manufacturers may not be able, or fail, to comply with cGMP regulations. If our third-party manufacturers cannot successfully manufacture our products that conform to our specifications and the strict regulatory requirements of the FDA, they will not be able to secure and/or maintain registration for their manufacturing facilities. In addition, we do not have complete control over the ability of our third-party manufacturers to maintain adequate quality control, quality assurance and qualified personnel. The failure of our manufacturing partners to maintain acceptable quality requirements could result in quality issues, including recalls of our products. If one of our manufacturing partners fails to maintain acceptable quality requirements or perform as agreed, we may have to identify and qualify a new supplier or develop in-house manufacturing capabilities, which could require significant capital investments.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number of third-party manufacturers and suppliers with the necessary manufacturing and regulatory expertise and facilities to produce our device components is limited and certification of a new manufacturer or supplier may be complex and time consuming. Any delay or interruption would likely lead to a delay or interruption in our manufacturing operations. The inclusion of substitute components must meet our product specifications and could require us to qualify the new manufacturer or supplier with the appropriate regulatory authorities, including the FDA. The added time and cost to arrange for alternative manufacturers or suppliers could harm our business. New manufacturers of any planned product would be required to qualify under applicable regulatory requirements and would need to have sufficient rights under applicable intellectual property laws to the method of manufacturing the planned product. Obtaining the necessary FDA or international approvals or other qualifications under applicable regulatory requirements and ensuring non-infringement of third-party intellectual property or other proprietary rights could result in a significant interruption of supply and could require the new manufacturer to bear significant additional costs that may be passed on to us.</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third-party researchers, medical institutions, and strategic partners, to conduct and support portions of our preclinical studies and clinical trials under agreements with us, and may in the future rely on CROs. For some clinical research projects, we provide funding and for others, such as those supported by grants, we only provide access to our data or supply the Ceribell System at a discount. The terms of these agreements generally include joint publication rights and sole ownership of background intellectual property, as well as indemnification and insurance terms so that risk of injury or damages claims is appropriately allocated, guidelines for dispute resolution to address conflicts, and grounds for contract termination by each party.</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negotiate budgets and contracts with these third parties and may not be able to do so on favorable terms, which may result in delays to our development timelines and increased costs. We have relied heavily on these third parties for our preclinical studies and expect to continue to do so, and we control only certain aspects of their activities. As a result, we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w:t>
      </w:r>
    </w:p>
    <w:p>
      <w:pPr>
        <w:sectPr>
          <w:pgSz w:w="11900" w:h="16838" w:orient="portrait"/>
          <w:cols w:equalWidth="0" w:num="1">
            <w:col w:w="11240"/>
          </w:cols>
          <w:pgMar w:left="320" w:top="117" w:right="339" w:bottom="1440" w:gutter="0" w:footer="0" w:header="0"/>
        </w:sectPr>
      </w:pP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comply with GCP requirements, which are regulations and guidelines enforced by the FDA and comparable foreign regulatory authorities for medical devices in clinical development. Regulatory authorities enforce these GCP requirements through periodic inspections of trial sponsors, principal investigators and trial sites.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or any of these third parties fail to comply with applicable GCP regulations, the clinical data generated in our clinical trials may be deemed unreliable, and the FDA or other bodies may require us to perform additional clinical trials. We cannot assure you that, upon inspection, such regulatory authorities will determine that any of our clinical trials comply with the GCP regulations. In addition, our investigational devices must be produced in accordance with cGMP, which are now set forth in the QMSR (and were previously set forth in the QSR). Our failure or any failure by these third parties to comply with these regulations or to recruit a sufficient number of patients may require us to repeat clinical trials, which would delay the marketing authorization process. Moreover, our business may be implicated if any of these third parties violates federal, state or foreign fraud and abuse or false claims laws and regulations or healthcare privacy and security laws.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Third parties conducting or supporting portions of our clinical trials are not our employees and, except for remedies available to us under our agreements with such third parties, we cannot control whether or not they devote sufficient time and resources to our investigational products. These third parties may also have relationships with other commercial entities, including our competitors, for whom they may also be conducting clinical trials, or other product development activities, which could affect their performance on our behalf. These third parties may not successfully carry out their contractual duties or obligations or meet expected deadlines. They may need to be replaced or the quality or accuracy of the clinical data they obtain may be compromised due to the failure to adhere to our clinical protocols or regulatory requirements or for other reasons. Accordingly, our clinical trials may be extended, delayed or terminated and we may not be able to complete development of, obtain marketing authorizations for or successfully commercialize our future devices.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Switching or adding third parties to conduct or support portions of our preclinical studies and clinical trials involves substantial cost and requires extensive management time and focus. In addition, there is a natural transition period when a new third party commences work. As a result, delays may occur, which could have an adverse impact on our product development, results of operations, and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privacy and security laws, regulations, standards and other requirements could adversely affect our business, financial condition, results of operations, and prospects.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and the third-party service providers on which we rely, are or may become subject to numerous state, federal, and foreign laws, requirements, and regulations, as well as contractual obligations and research protocols governing the collection, use, disclosure, retention, processing, maintenance, transfer, and security of personal information, such as information that we and our third-party service providers collect in connection with the use and development of the Ceribell System and the Clarity algorithm and in clinical trials or studies, including patient EEG data.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us or our service providers’ and contractors’ ability to operate in certain jurisdictions or to collect, store, transfer, use, process, and share personal information; necessitate the acceptance of more onerous obligations in our contracts; result in liability; impose additional costs on us; necessitate changes to our information technologies, systems and practices and those of third parties that process personal information on our behalf; and may require us to change our business model.</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numerous state and federal laws, regulations, standards, and other legal obligations, including consumer protection laws and regulations, which govern the collection, dissemination, use, access to, confidentiality, security, transfer, disclosure, and processing of personal information, including health-related information, could apply to our operations or the operations of our customers. For example,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Among other requirements, HIPAA requires business associates to develop and maintain policies with respect to the protection of, use and disclosure of protected health information (“PHI”), including the adoption of administrative, physical, and technical safeguards to protect such information, certain notification requirements in the event of a breach of unsecured PHI, and requirements to report breaches of unsecured PHI to covered entities within 60 days of discovery of the breach by the business associate or its agents. Depending on the facts and circumstances, we could be subject to significant civil, criminal, and administrative fines and penalties and/or additional reporting and oversight obligations if found to be in violation of HIPAA.</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which govern the privacy, collection, use, processing, disclosure, and protection of health-related and other personal information. Such laws and regulations will be subject to</w:t>
      </w:r>
    </w:p>
    <w:p>
      <w:pPr>
        <w:sectPr>
          <w:pgSz w:w="11900" w:h="16838" w:orient="portrait"/>
          <w:cols w:equalWidth="0" w:num="1">
            <w:col w:w="11240"/>
          </w:cols>
          <w:pgMar w:left="320" w:top="117" w:right="339" w:bottom="144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interpretation by various courts and other governmental authorities, thus creating potentially complex compliance issues for us and our customers.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been passed in other states and are continuing to be proposed at the state and federal level, reflecting a trend toward more stringent privacy legislation in the United States. For example, Washington State enacted the Washington My Health My Data Act, which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become subject to foreign data protection laws, including the European Union and United Kingdom General Data Protection Regulations (together, the “GDPR”), which impose stringent requirements on the processing and cross-border transfer of personal data, including health information, and authorize fines of up to €20 million or 4% of annual global revenues, whichever is greater. As we expand into foreign countries and jurisdictions, we will become subject to additional laws and regulations that will affect how we conduct business, and legal uncertainty regarding international transfers of personal data may continue, which could increase our costs or affect how we operate our business.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Federal Trade Commission (the “FTC”) also has authority to initiate enforcement actions against entities that mislead customers about HIPAA compliance, make deceptive statements about privacy and data sharing in privacy policies, fail to limit third-party use of health information, fail to implement policies to protect health information, or engage in other unfair practices that harm customers or that may violate Section 5 of the FTC Act. Even when HIPAA does not apply, failing to take appropriate steps to keep consumers’ personal information secure may constitute unfair acts or practices in or affecting commerce under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health-related and other personal information, through websites or otherwise, and to regulate the presentation of website content.</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research protocols, and other legal obligations, these requirements are evolving and may be modified, interpreted and applied in an inconsistent manner from one jurisdiction to another, and may conflict with one another or other legal obligations with which we must comply. Any actual or perceived failure by us or our employees, representatives, contractors, consultants, or other third parties to comply with such requirements or adequately address data privacy and security concerns, even if unfounded, could result in, among other adverse impacts, significant regulatory penalties and fines, our compliance with contracts entered into with our partners, collaborators, and other third-party payers,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reputation,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associated with our use and development of AI and machine learning models.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use and develop AI, machine learning and automated decision-making technologies, including proprietary AI and machine learning algorithms and models (collectively, “AI Technologies”), throughout our business, and are making significant investments in this area. For example, we use AI Technologies to power our Clarity algorithm and drive continuous improvements in the performance of the Ceribell System. New products that we develop, including expansion into new indications, are also likely to incorporate AI Technologies.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and development of AI Technologies. As with many technological innovations, there are significant risks involved in developing, maintaining, and deploying these technologies and there can be no assurance that the usage of or our investments in such technologies will always enhance our products or be beneficial to our business, including our efficiency or results of operations.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misused or used outside of scope of applicable regulatory authorizations; and/or adversely impacted by unforeseen defects, technical challenges, cybersecurity threats, or material performance</w:t>
      </w:r>
    </w:p>
    <w:p>
      <w:pPr>
        <w:sectPr>
          <w:pgSz w:w="11900" w:h="16838" w:orient="portrait"/>
          <w:cols w:equalWidth="0" w:num="1">
            <w:col w:w="11240"/>
          </w:cols>
          <w:pgMar w:left="320" w:top="117" w:right="339" w:bottom="1440" w:gutter="0" w:footer="0" w:header="0"/>
        </w:sectPr>
      </w:pP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issues, the performance of our products and business, as well as our reputation and the reputations of our customers, could suffer or we could incur liability resulting from the violation of laws or contracts to which we are a party, regulatory enforcement actions, or civil claims.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the Clarity algorithm, as well as for any potential future AI Technology driven products, performance of the algorithm is generally assessed by comparing the output of the algorithm against a clinically derived reference standard (“ground truth”) for a specified dataset. This applies to internal evaluation of an algorithm’s performance, supporting external presentations and publications, and testing to support regulatory submissions. The Clarity algorithm output will not always agree with the opinion of a qualified neurologist, and in some cases multiple qualified neurologists will not agree with each other. While we constantly work to improve our product and algorithm, the AI Technologies we work with are novel and complex, and we cannot assure you that our AI Technologies will be able to perform as intended under all circumstances.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example, an earlier version of the Clarity algorithm was found to be unable to detect seizure or status epilepticus in certain ICU patients who had cardiac arrest. Further, the data that we use to train our AI Technologies includes data collected from EEGs performed on patients by our customers, and we are dependent upon our ability to obtain the right to use such patient data to continue to develop our products, including within appropriate time frames and on commercially reasonable terms. If we are unable to obtain sufficient rights to use such data under applicable regulatory frameworks or our agreements with our customers, or our customers were to withdraw or withhold their data from us, our ability to continue to develop our products and services to our customers, and our revenue prospects, could be materially adversely impacted.</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federal, state and foreign government bodies and agencies have introduced or are currently considering additional laws and regulations. The FDA has issued guidance documents relating to the incorporation of AI Technologies into medical devices. In addition,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the federal executive branch has rescinded and modified executive orders and administrative policies relating to AI Technologies, and may continue to do so or implement new executive orders or rulemaking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Such additional regulations may impact our ability to develop, use, and commercialize AI Technologies in the future.</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the Ceribell System and business and the way in which we use AI Technologies. We may need to expend resources to adjust the Ceribell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materially and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information technology system failures, cyber attacks, or deficiencies in our cybersecurity.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transmit, and process large amounts of confidential information, including intellectual property, proprietary business information, preclinical and clinical trial data, and personal information of clinical trial participants, patients of our customers, and our employees and contractors (collectively, “Confidential Information”). We may also share Confidential Information with our partners or other third parties in conjunction with our business. It is critical that we do so in a secure manner to maintain the confidentiality and integrity of such Confidential Information.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information technology systems and those of our customers, third-party service providers, manufacturers, and other contractors or consultants are vulnerable to attack, damage and interruption from computer viruses and malware (e.g., ransomware), misconfigurations, “bugs” or other vulnerabilities, malicious code, natural disasters, terrorism, war, telecommunication and electrical failures, hacking, cyber attacks, phishing attacks and other social engineering schemes, employee theft or misuse, human error,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unauthorized access, fraud, denial or degradation of service attacks, and sophisticated nation-state and nation-state-supported actors. We have also outsourced elements of our information technology infrastructure, and as a result a number of third-party vendors may or could have access to our confidential information. The risk of a security breach or disruption, particularly through cyber 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 There can also be no assurance that our and our customers’, third-party service providers’, contractors’, and consultants’ cybersecurity risk management programs and processes, including policies, controls, or procedures, will be fully implemented, complied with or effective in protecting our systems, networks, and Confidential Information.</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information technology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AI – that are designed to circumvent controls, to avoid detection, and to remove or obfuscate forensic evidence.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certain of our customers and service providers may be subject to cyber attacks and security incidents from time to time. While we do not believe that we have experienced any significant information technology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or misappropriation of our trade secrets, personal information, patient data collected from our customers or other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including the patient data of our customers, it may be necessary to notify individuals, governmental authorities, supervisory bodies, the media, and other parties pursuant to privacy and security laws and the costs associated with the investigation, remediation, and potential notification of the breach to third-parties and data subjects could be material.</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security compromise affecting us, our service providers, strategic partners, other contractors, consultants,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Any adverse impact to the availability, integrity, or confidentiality of our or third-party information technology systems or Confidential Information, whether actual or perceived, could result in liability,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which could materially and adversely affect our business, financial condition, results of operations, and prospects.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customers and service providers, fail to protect against unauthorized access, attacks (which may include sophisticated cyber attacks), and the mishandling of data, then our reputation, business, financial condition, results of operations, and prospects could be materially and adversely affected.</w:t>
      </w:r>
    </w:p>
    <w:p>
      <w:pPr>
        <w:sectPr>
          <w:pgSz w:w="11900" w:h="16838" w:orient="portrait"/>
          <w:cols w:equalWidth="0" w:num="1">
            <w:col w:w="11240"/>
          </w:cols>
          <w:pgMar w:left="320" w:top="117" w:right="339" w:bottom="1440" w:gutter="0" w:footer="0" w:header="0"/>
        </w:sectPr>
      </w:pP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and our licensors’ ability to obtain, maintain, enforce, and protect our intellectual property rights.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depends in part on our and our licensors’ ability to obtain, maintain, enforce, and protect issued patents, trademarks, trade secrets,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 We generally seek to protect our proprietary position by filing patent applications that are important to our business. We also seek to protect our proprietary position by acquiring or in-licensing relevant issued patents or pending patent applications or other intellectual property or proprietary rights from third parties. If we are unable to obtain or maintain patent protection with respect to any proprietary technology, our business, financial condition, results of operations, and prospects could be materially harmed.</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rely on a combination of contractual provisions, confidentiality procedures, and patent, trademark, copyright, trade secret and other intellectual property laws to protect the proprietary aspects of the Ceribell System, brand, technologies, trade secrets, know-how, and data. These legal measures afford only limited protection, and competitors or others may gain access to or use our intellectual property rights and proprietary information. In addition, patents have a limited lifespan. In the United States,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defend, or license all necessary or desirable patents or patent applications at a reasonable cost or in a timely manner, or in all jurisdictions. Moreover, pending patent applications cannot be enforced against third parties practicing the technology claimed in such applications unless, and until, patents issue from such applications, and then only to the extent the issued claims cover relevant product, service, or the technology. There can be no assurance that our current or future patent applications will result in patents being issued or that our issued patents will afford sufficient protection against competitors or other third parties with similar products, services or technologies competitive with ours, nor can there be any assurance that the patents issued will not be infringed, designed around, or invalidated by third parties.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before various patent offices or in courts. The degree of future protection for our and our licensors’ intellectual property or other proprietary rights is uncertain. Only limited protection may be available and may not adequately protect our rights or permit us to gain or keep any competitive advantage. These uncertainties and/or limitations in our ability to properly protect the intellectual property or other proprietary rights relating to our products, services and technologies could have a material adverse effect on our business, financial condition, results of operations, and prospects.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be certain that the claims in our U.S. pending patent applications, corresponding international patent applications and patent applications in certain foreign territories, or those of our licensors, will be considered patentable by the USPTO or courts in the United States or by the patent offices and courts in foreign countries, nor can we be certain that the claims in our future issued patents will not be found invalid or unenforceable if challenged. Our ability to obtain and maintain valid and enforceable patents depends in part on whether the differences between our inventions and the prior art allow our inventions to be patentable over the prior art. Additionally, regardless of when filed, we may fail to identify relevant third-party patents or patent applications, or we may incorrectly conclude that a third-party patent is invalid or not infringed by our products, services, technologies, or activities.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degree of future protection for our intellectual property rights is uncertain, and we cannot ensure that:</w:t>
      </w:r>
    </w:p>
    <w:p>
      <w:pPr>
        <w:spacing w:after="0" w:line="117" w:lineRule="exact"/>
        <w:rPr>
          <w:sz w:val="20"/>
          <w:szCs w:val="20"/>
          <w:color w:val="auto"/>
        </w:rPr>
      </w:pPr>
    </w:p>
    <w:p>
      <w:pPr>
        <w:ind w:left="5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manufacture and/or commercialize similar or alternative products, services, or technologies that do not infringe, misappropriate, or violate any patents or other intellectual property rights that we own or have rights to;</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products, services, or technologies, will provide us with any competitive advantages or will not be challenged, invalidated, modified, revoked, or circumvented by third parties;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challenged patents will be found to ultimately be valid and enforceable;</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our products, services, or technologies;</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or even if issued, will include claims with a scope sufficient to protect our products, services, or technologies;</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develop, manufacture, and commercialize our products, services, or technologies on a substantial scale before relevant patents we may have expire;</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 or we were the first to file patent applications for such inventions;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inventions, products, services, or technologies that are separately patentable;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products, services, or technologies will not infringe upon the patents of others.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identify our patentable inventions or adequately protect our patent rights, the commercial value of our products, services or technologies may be adversely affected and our competitive position may be harmed.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in part on our portfolio of issued patents and pending patent applications in the United States and other countries to protect our intellectual property and competitive position. However, it is also possible that we may fail to identify patentable aspects of inventions made in the course of the development, manufacture, and commercial activities conducted by or on behalf of us before it is too late to obtain patent protection on such inventions.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Moreover, as a licensee of third parties’ patents or patent applications, depending on the terms of our existing and any future in-licenses,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for sale, or sell our products or services or otherwise practice our technology,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using, manufacturing, and/or commercializing our own products or services, or otherwise practicing our own technology. Any of these outcomes could impair our ability to prevent competition from third parties, which may have an adverse impact on our business.</w:t>
      </w:r>
    </w:p>
    <w:p>
      <w:pPr>
        <w:spacing w:after="0" w:line="19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w:t>
      </w:r>
    </w:p>
    <w:p>
      <w:pPr>
        <w:sectPr>
          <w:pgSz w:w="11900" w:h="16838" w:orient="portrait"/>
          <w:cols w:equalWidth="0" w:num="1">
            <w:col w:w="11240"/>
          </w:cols>
          <w:pgMar w:left="320" w:top="117" w:right="33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may be costly. Thus, any patents that we own or in-license may not provide the anticipated level of, or any, protection against competitors. Furthermore, an adverse decision may result in a third party receiving a patent right sought by us, which in turn could affect our ability to develop, manufacture, commercialize, import, or otherwise use our products, services, or technologies.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Some of our patents and patent applications are, and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or technologies. In addition, we may need the cooperation of any such co-owners of our patents to enforce such patents against third parties, and such cooperation may not be provided to us.</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patent laws or their interpretations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services, and technologies.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U.S. Supreme Court has ruled on several patent cases in recent years, either narrowing the scope of patent protection available in certain circumstances or weakening the rights of patent owners in certain situations.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financial condition, results of operations, and prospects.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We cannot predict future changes in the interpretation of patent laws in the United States and other countries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our products, services, and technologies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the laws of some foreign countries do not protect intellectual property rights to the same extent as federal and state laws in the United States. Consequently, we may not be able to prevent third-parties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services, or technologies and, further, may export otherwise infringing products, services, or technologies to territories where we have patent protection, but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enforcement is not as strong as that in the United States. These products, services, or technologies may compete with our products, services, or technologies, and our patents or other intellectual property rights may not be effective or sufficient to prevent such competition.</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Various companies have encountered significant problems in protecting and defending intellectual property rights in certain foreign jurisdictions. The legal systems of certain countries may not favor the enforcement of patents and other intellectual property protection, particularly those relating to medical devices and related services and technologies, which could make it difficult for us to stop the infringement of our patents or marketing of competing products, services, and technologies in violation of our intellectual property and proprietary rights. In addition, some jurisdictions, such as Europe, Japan, and China, may have a higher standard for patentability than in the United States, including, for example, imposing a high standard for making claim amendments and for the submission of supplemental experimental data during patent examination.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 rights at risk of being invalidated or interpreted narrowly, could put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the standards applied by the USPTO and foreign patent offices in granting patents are not always applied predictably. As such, we do not know the degree of world-wide uniform protection that we will have on our technologies and products in the future.</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successfully enforce our intellectual property rights, the commercial value of our products, services, or technologies may be adversely affected and our competitive position may be harmed.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medical device industry is highly competitive and litigious with respect to patents, trademarks, trade secrets, and other intellectual property rights. Companies in the medical device industry have used intellectual property litigation to gain a competitive advantage. 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services, or technologies. Moreover, it may be difficult or impossible to obtain evidence of infringement in a competitor’s or potential competitor’s product, services,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services, and technologies. We are currently involved in litigation against Natus, which is more fully described in “Part II, Item 1. Legal Proceedings” of this report, to protect or enforce our intellectual property rights, and we may initiate or become subject to additional litigation in the future. Litigation is inherently uncertain, may result in counterclaims or challenges to the validity of our patents, and can be costly and time-consuming. An adverse result in any litigation proceeding could harm our business. In any lawsuit we bring to enforce our intellectual property rights, a court may refuse to stop the other party from manufacturing, commercializing, using or importing the product, service, offering or technology at issue on grounds that our intellectual property rights do not cover, and the other party is not infringing, violating or otherwise misappropriating our intellectual property, through the manufacture, commercialization, use or importation of the product, service, offering or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service, offering or technology,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derivation proceedings, and equivalent proceedings in foreign jurisdictions (e.g., opposition proceedings). In a patent or other intellectual property proceeding, a court may decide that a patent or other intellectual property right of ours is invalid or unenforceable, in whole or in part, construe the patent’s claims or other intellectual property narrowly or refuse to stop the other party from manufacturing, commercializing, using or importing the product, service, offering, or technology at issue on the grounds that our patents or other intellectual property do not cover the manufacture, commercialization, use, or importation of the product, service, offering, or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financial condition, results of operations and prospects. Moreover, even if we are successful in any litigation, we may incur significant expense in connection with such proceedings, and the amount of any monetary damages may be inadequate to compensate us for damage as a result of the infringement and the proceedings. A legal proceeding, regardless of the outcome, could drain our financial resources and divert the time and effort of our management. Protracted litigation to defend or prosecute our intellectual property rights could result in our customers or potential customers deferring or limiting their purchase or use of the affected products until resolution of the litigation.</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products in any jurisdiction. Patent applications in the United States, the European Union and elsewhere are published approximately 18 months after the earliest filing for which priority is claimed, with such earliest filing date being commonly referred to as the priority date. Additionally, pending patent applications that have been published can, subject to certain limitations, be later amended in a manner that could cover our products or the use of our products.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the European Union or elsewhere that we consider relevant may be incorrect, which may negatively impact our ability to develop and market our products. Our failure to identify and correctly interpret relevant patents may negatively impact our ability to develop and market our products, if approved.</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our agreements with third-party manufacturing partners generally seek to prevent them from misusing our intellectual property and trade secrets, or using our designs to manufacture products for our competitors, we may be unsuccessful in monitoring and enforcing our intellectual property rights against these manufacturing partners and may find counterfeit goods in the market being sold as our products or future products similar to ours produced for our competitors using our intellectual property. Although we take steps to stop counterfeits, we may not be successful and customers who purchase these counterfeit goods may experience product defects or failures, harming our reputation and brand and causing us to lose future sales. Any of the foregoing could harm our business, financial condition and results of operations.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that could be expensive, time-consuming, and unsuccessful, and could interfere with our ability to develop, manufacture, commercialize, import, or otherwise use our products, services, or technologies.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commercialize, import, or use our products, services, and technologies without infringing, misappropriating, or otherwise violating the intellectual property rights of third parties. Our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Third parties may initiate legal proceedings alleging that we are infringing, misappropriating, or otherwise violating their intellectual property rights. The outcomes of such proceedings are uncertain and could have a negative impact on the success of our business. It is possible that U.S. and foreign patents and pending patent applications controlled by third parties may be alleged to cover our products, services, and technologies,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services, or technologies, including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services, or technologies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services, or technologies, which could have a negative impact on the commercial success of our current and any future products, services,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defense of any litigation or administrative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commercializing, importing, or using the infringing product, service, or technology.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services, or technologies, we could be forced to cease some aspect of our business operations, which could harm our business significantly.</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finding of infringement or an unfavorable outcome in an administrative proceeding could prevent us from developing, manufacturing, commercializing, importing, or using our products, services,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services, or technologies they use. If we cannot obtain all necessary licenses on commercially reasonable terms, our customers may be forced to stop using our products, services, or technologies.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import, and/or export our products, services, or technologies.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services, or technologies and business operations infringe, misappropriate, or otherwise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violate the intellectual property rights of others. These matters can be time-consuming, costly to defend in litigation, divert management’s attention and resources, damage our reputation and brand, and cause us to incur significant expenses or make substantial payments. In addition,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lawsuits relating to intellectual property rights could subject us to significant liability for damages and invalidate our intellectual property. Any potential intellectual property litigation also could force us to stop developing, making, selling, importing, or using affected products, services, or technologies, or to redesign them, which could be costly, disruptive, and infeasible. We could also be required to pay substantial damages, royalties, or the other party’s attorneys’ fees and costs, to seek a license that may not be available on commercially reasonable terms or at all, or to forgo opportunities to license our own intellectual property rights and collect royalties, and we would incur significant legal expenses.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Third parties may also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(for example, opposition proceedings). Such proceedings could result in revocation of or amendment to our patents in such a way that they no longer cover our products, services,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services, or technologies. Such a loss of patent protection would have a material adverse impact on our business, financial condition, results of operations, and prospects.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 rights.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our current or former employees, contractors,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products, services, or technologies. Although it is our policy to require our employees and contractors who may be involved in the conception or development of inventions to execute agreements assigning such inventions and intellectual property rights therein to us, we may be unsuccessful in executing such an agreement with each party who, in fact, conceives or develops inventions that we regard as our own, and we cannot be certain that our agreements with such parties will be upheld in the face of a potential challenge, or that they will not be breached, for which we may not have an adequate remedy. The assignment of inventions may not be self-executing, or the assignment agreements may be breached, and litigation may be necessary to defend against these and other claims challenging inventorship or ownership of inventorship. If we fail in defending any such claims, in addition to paying monetary damages, we may lose valuable intellectual property rights, such as exclusive ownership of, or the right to use, valuable intellectual property rights, and other owners may be able to license their interest in such intellectual property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may be subject to claims from third parties challenging inventorship or ownership of intellectual property rights we regard as our own, based on claims that our agreements with employees or consultants obligating them to assign their inventions and intellectual property rights therein to us are ineffective or in conflict with prior or competing contractual obligations to assign inventions and intellectual property rights therein to another employer, to a former employer, or to another person or entity. Many of our current and former employees and consultants were previously employed at or engaged by other medical device companies, including our competitors or potential competitors. Some of these employees and consultants have executed with such previous employment or engagements confidential information non-disclosure and non-use agreements and inventions assignment agreements, which may have included non-competition provisions. Although we try to ensure that such employees and consultants do not use or otherwise disclose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confidential information or intellectual property rights of others in their work for us without such other person’s consent, we may be subject to claims that we or our current or former employees or consultants have, inadvertently or otherwise, infringed, violated, or otherwise misappropriated the confidential information or the intellectual property rights of these former employers, clients, or other third parties. To the extent that our current or former employees or consultants disclose or use confidential information or intellectual property rights owned by others in their work for us, disputes may arise as to the rights in any related or resulting inventions and litigation may be necessary to defend against these claims. It may also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manufacturing, commercializing, using or importing the product, service, or technology features or practicing other intellectual property rights that are essential to our business, which could have a material adverse effect on our competitive position as well as our business, financial condition, results of operations, and prospects.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collaborators, partners, service providers, or contractors. A loss of key personnel or their work product could hamper or prevent our ability to develop, manufacture, commercialize, import, or use our products, services, or technologies, which could materially and adversely affect our business, financial condition, results of operations, and prospects.</w:t>
      </w:r>
    </w:p>
    <w:p>
      <w:pPr>
        <w:spacing w:after="0" w:line="3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intellectual property rights that are licensed to us. We may be unsuccessful in licensing or acquiring intellectual property rights from third parties that may be necessary to develop, manufacture, commercialize, import, or use our current and/or future products, services, or technologies.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“brain stethoscope” EEG sonification technology, which processes data and turns it into sound, that is used in the Ceribell System is protected by intellectual property rights that we in-license from Stanford University. See the section titled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Stanford Agreement” in our Annual Report on Form 10-K. We exercised our option to extend exclusivity under certain licensed patent rights owned or controlled by Stanford University through the expiration date of the last-to-expire licensed patent. However, there can be no assurance that such exclusivity will be effective in all jurisdictions or that the underlying patents will not be challenged. Our rights to use such intellectual property rights in our business are also subject to the continuation of and our compliance with the terms of the license agreements between us and each of our licensors. In addition, the agreements under which we in-license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Moreover, if disputes over intellectual property that we have in-licensed, or in-license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spacing w:after="0" w:line="1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Despite our best efforts, our current or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this could have a material adverse effect on our competitive position, business, financial condition, results of operations, and prospects.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third party may hold intellectual property rights, including patent rights, that are important or necessary to the development, manufacture, commercialization, import or use of our current and/or future products, services, or technologies, in which case we would need to acquire or obtain a license to such intellectual property rights from such third party. A third party that perceives us to be a competitor may be unwilling to license or assign its intellectual property rights to us. In addition, the licensing or acquisition of third-party intellectual property rights is a competitive area, and other companies may also pursue similar strategies to license or acquire such third party’s intellectual property rights. Some of these companies may have a competitive advantage over us due to their size, capital resources and greater development, manufacturing, and commercialization capabilities. We also may be unable to license or acquire third party intellectual property rights on commercially reasonable terms that would allow us to make an appropriate return on our investment, or we may be unable to obtain any such license or acquisition at all. If we are unable to successfully license or acquire necessary third-party intellectual property rights, we may not be able to develop, manufacture, commercialize, import, or use our current and/or future products, services, or technologies, which could have a material adverse effect on our business, financial condition, results of operations, and prospects.</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disclosure and use of our confidential information and trade secrets, the value of our products, services, and technologies and our business and competitive position could be harmed.</w:t>
      </w:r>
    </w:p>
    <w:p>
      <w:pPr>
        <w:spacing w:after="0" w:line="5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to patent protection, we also rely on other intellectual property rights, including trade secrets, know-how, and/or other proprietary information that is not patentable or that we elect not to patent. However, trade secrets can be difficult to protect, and some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courts are less willing or unwilling to protect trade secrets. To protect and maintain the confidentiality of our trade secrets and other proprietary information, we rely heavily on confidentiality provisions that we have in contracts with our employees, consultants, collaborators, and other third parties. We generally enter into confidentiality and inventions assignment agreements with our employees, consultants, and applicable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inventions.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and any of these parties may breach the agreements and disclose our proprietary information, including our trade secrets. We may also need to share our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w:t>
      </w:r>
    </w:p>
    <w:p>
      <w:pPr>
        <w:spacing w:after="0" w:line="19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despite the protections we place on our intellectual property and our other proprietary rights, monitoring unauthorized use and disclosure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of our protections, including non-disclosure and use restrictions. These agreements may not provide meaningful protection against the unauthorized disclosure or use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or third parties will not intentionally or unintentionally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information to compete with us. 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w:t>
      </w:r>
    </w:p>
    <w:p>
      <w:pPr>
        <w:spacing w:after="0" w:line="19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results of operations, and prospects. In particular, a failure to protect our proprietary rights may allow competitors to copy our products, services, or technologies, which could adversely affect our pricing and market share. Unauthorized parties may also attempt to copy or reverse engineer certain aspects of our products, services, or technologies that we consider proprietary. Costly and time-consuming litigation could be necessary to enforce and determine the scope of our trade secret rights and related confidentiality, non-disclosure, and non-use provisions, and outcomes of such litigation are unpredictable. Enforcing a claim that a party illegally disclosed, used or misappropriated a trade secret can be difficult, expensive, and time-consuming, and the outcome is unpredictable. While we use commonly accepted security measures, trade secret violations are often a combination of federal and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some courts are less willing or unwilling to protect trade secrets and agreement terms that address non-competition are difficult to enforce in many jurisdictions and might not be enforceable in certain cases. Finally, even if we were to be successful on the enforcement of our claims, we may not be able to obtain adequate remedies.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It is also possible that others may independently develop information or technologies that are the same as or similar to our trade secrets or other proprietary technologies and develop products, services, or technologies without obtaining access to our trade secrets or other proprietary information in which case we could not assert any intellectual property rights, including trade secret rights, against such parties in a manner that could prevent legal recourse by us. If we fail to obtain or maintain trade secret protection, or if any of our confidential or proprietary information, such as our trade secrets, were to be disclosed or used by others without our consent or otherwise misappropriated, or if any such information was independently developed by a competitor, or if our competitors obtain our trade secrets or independently develop products, services, or technologies that are the same as or similar to ours, our competitive market position could be materially and adversely harmed.</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brand name recognition in our markets of interest and our competitive position may be harmed.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trademarks could be challenged, opposed, invalidated, infringed, and circumvented by third parties, and our trademarks could also be diluted, declared generic or descriptive, or found to be infringing on other marks. If any of the foregoing occurs, we could be forced to re-brand our company, products, services,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affect our ability to protect our proprietary information, and subject us to possible litigation.</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combine our proprietary software with open source software in a certain manner,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2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manufacturing restrictions related to licensed intellectual property rights that were developed with the financial assistance of United States government grants.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Bayh-Dole Act, the federal government retains a “nonexclusive, nontransferable, irrevocable, paid-up license” in inventions produced with its financial assistance (“Government Funded Inventions”) for its own benefit. The Bayh-Dole Act provides federal agencies with march-in rights (“March-In Rights”), which allows a government agency, in specified circumstances, to require the patent owner or successors in title to the patent directed to such Government Funded Inventions (“Patent Owner”) to grant a “nonexclusive, partially exclusive or exclusive license” to a “responsible applicant or applicants,” which if exercised, would allow such government agency to require such Patent Owner to grant a non-exclusive, partially exclusive, or exclusive license in any field of use to a third party designated by such agency. The Bayh-Dole Act also provides that the Patent Owner manufacture products embodying the respective Government Funded Inventions domestically in accordance with certain requirements. If this domestic manufacturing requirement is not met, the government agency that funded the relevant grant is entitled to exercise March-In Rights. We are subject to the Bayh-Dole Act with respect to licensed technology that was developed with United States government grants. Such licensed technology is used in our recorders. Further, we cannot be sure that if we acquire intellectual property rights in the future they will be free from government rights or regulations pursuant to the Bayh-Dole Act.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own, co-own, or in-license Government Funded Inventions that are critical to our business, our ability to enforce or otherwise exploit patents covering such technology may be adversely affected. Further, the exercise of March-In Rights, the requirement that we grant additional licenses to third parties, or the termination of our license of the relevant technologies could materially adversely affect our business, financial condition, results of operations and prospects. The restrictions of the Bayh-Dole Act may also limit our ability to manufacture our products in locations where it may be otherwise more favorable for us to do so, which could limit our ability to respond to competitive developments or otherwise adversely affect our results of operations. Any of the foregoing could have a material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 due to certain provisions of the Internal Revenue Code or state tax law.</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may never achieve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 As of December 31, 2025, we had NOLs of approximately $165.6 million for federal income tax purposes and $157.6 million for state income tax purposes.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Realization of these NOLs depends on future taxable income, and there is a risk that our existing NOLs could expire unused and be unavailable to offset future taxable income, which could adversely affect our results of operations.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Transactions that have occurred since our formation may result in an ownership change. In addition,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adversely affect our effective tax rates, results of operations and financial condition.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July 4, 2025, the OBBB Act was enacted, introducing amendments to U.S. tax laws with various effective dates from 2025 to 2027, including changes to the treatment of research and development expenses under Section 174 of the Internal Revenue Code of 1986, as amended, modifications to the global intangible low-taxed income regime, new minimum or book-based taxes, and limitations on interest deductibility.</w:t>
      </w:r>
    </w:p>
    <w:p>
      <w:pPr>
        <w:spacing w:after="0" w:line="19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Agreement contains financial covenants and other restrictions that limit our flexibility in operating our business.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August 5, 2026, we entered into the Credit Agreement, which provides for term loan and revolving loan facilities. At closing, we borrowed $20.0 million under the revolving loan facility and no term loans and used the proceeds to repay in full all amounts outstanding under the VLSA, which was terminated in connection with the repayment. Our obligations under the Credit Agreement are secured by a security interest in substantially all of our assets, including our intellectual property, subject to customary exclusions. The Credit Agreement contains customary affirmative and negative covenants that limit our ability to engage in specified types of</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The Credit Agreement also contains financial covenants that are tested quarterly, but only while the sum of our outstanding term loans and the revolving loan commitment exceeds $35.0 million. When tested, we must maintain minimum net revenue of $70.0 million. If we fail to satisfy that covenant, we must also maintain minimum unrestricted cash of $65.0 million on a continuous basis. In addition, if our liquidity falls below $50.0 million, the lenders may require that cash we collect be swept daily to repay the revolving loans. The covenants limit our ability to, among other things:</w:t>
      </w:r>
    </w:p>
    <w:p>
      <w:pPr>
        <w:spacing w:after="0" w:line="7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license or otherwise dispose of assets, other than permitted asset dispositions;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guarantee or otherwise become liable with respect to additional indebtedness or contingent obligations, other than permitted indebtedness and contingent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permit liens on our assets, other than permitted liens;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including paying dividends on, repurchasing or making other payments with respect to our capital stock, other than permitted distributions;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amalgamate with another person, other than specified permitted transactions;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acquisitions, including acquisitions of businesses, assets, products, product lines or intellectual property, other than permitted investments;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joint ventures or partnerships;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After December 31, 2027, availability under the revolving loan facility will be subject to a borrowing base based on eligible accounts receivable and inventory, which could reduce the amount available to us under the facility.</w:t>
      </w:r>
    </w:p>
    <w:p>
      <w:pPr>
        <w:spacing w:after="0" w:line="16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See also “Management’s Discussion and Analysis of Financial Condition and Results of Operations”—“Liquidity and Capital Resources” for more information regarding the covenants under the Credit Agreement. The covenants in the Credit Agreement limit our ability to take certain actions and could adversely affect our ability to finance our operations, make needed capital expenditures, engage in business combinations or otherwise pursue our business strategies. In addition, if we fail to comply with a covenant or other obligation under the Credit Agreement and an event of default occurs and continues, the lenders may suspend or terminate their lending commitments, accelerate all or a portion of the amounts outstanding under the Credit Agreement, together with accrued interest, and exercise remedies against the collateral securing such indebtedness, including substantially all of our assets and intellectual property. Any such acceleration or exercise of remedies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earliest to occur of:</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during which our total annual revenue equals or exceeds $1.235 billion (subject to adjustment for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the completion of our IPO;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 billion in non-convertible debt;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Exchange Act.</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are a “smaller reporting company” as defined in the Exchange Act.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years of audited financial statements in our Annual Report on Form 10-K and, similar to emerging growth companies, smaller reporting companies have reduced disclosure obligations regarding executive compensation.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spacing w:after="0" w:line="17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We may fail to comply with the rules that apply to public companies, including Section 404 of the Sarbanes-Oxley Act of 2002, which could result in sanctions or other penalties that would seriously harm our business.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company, including costs resulting from public company reporting obligations under the Exchange Act and regulations regarding corporate governance practices. The listing requirements of the Nasdaq Global Select Market and the rules of the SEC require that we satisfy certain corporate governance requirements relating to director independence, filing annual and interim reports, stockholder meetings, approvals and voting, soliciting proxies, conflicts of interest and a code of conduct. The reporting requirements, rules and regulations have and will likely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subject to Section 404 of the Sarbanes-Oxley Act of 2002 (“Section 404”) and the related rules of the SEC, which generally require our management to report on the effectiveness of our internal control over financial reporting. Our compliance with Section 404 requires that we incur substantial expense and expend significant management efforts.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market price of our common stock.</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is limited by the terms of the Credit Agreement, and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the guidance provided to the public or the expectations of investment analysts, the market price of our common stock may decline.</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provided, and may in the future provide, public guidance on our expected operating and financial results for future periods. Any such guidance will be consisted of forward-looking statements subject to the risks and uncertainties described in this Quarterly Report and in our other public filings and public statements. The ability to provide this public guidance, and the ability to accurately forecast our results of operations, will be impacted by a number of factors, many of which are out of our control. Our actual results may not always be in line with or exceed any guidance we have provided, especially in times of economic or regulatory uncertainty. If, in the future, our operating or financial results for a particular period do not meet any guidance provided or the expectations of investment analysts or investors generally, or if we reduce our guidance for future periods, the market price of our common stock may decline. Even if we do issue public guidance, there can be no assurance that we will continue to do so in the future.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on terms favorable to us, or at all, and may dilute existing stockholders’ ownership of our common stock.</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and opportunities, including the need to develop new products, enhance our existing products, enhance our operating infrastructure, potentially expand internationally,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 Furthermore, future issuances of our common stock, the exercise of outstanding options, the vesting of restricted stock units and other equity awards, or the perception that such issuances or sales may occur, could depress the market price of our common stock and result in additional dilution to our stockholders.</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2026, our executive officers, directors, owners of more than 5% of our capital stock and their respective affiliates beneficially owned approximately 42%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54" w:lineRule="exact"/>
        <w:rPr>
          <w:sz w:val="20"/>
          <w:szCs w:val="20"/>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amended and restated bylaws or to repeal certain provisions of our amended and restated certificate of incorporation;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Board of Directors, which may delay the ability of our stockholders to force consideration of a proposal or to take action, including the removal of directors;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are the exclusive forum for the resolution of any complaint asserting a cause of action against us or any of our directors, officers, employees, or agents and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having service of process made upon such stockholder in any such action by service upon such stockholder’s counsel in the Foreign Action as agent for such stockholder.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cause the value of your investment to decline.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and could fluctuate or decline significantly in response to numerous factors, many of which are beyond our control, including:</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or our stockholders, or the anticipation of such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activities by market participants;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 including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payer reimbursement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price and volume fluctuations in the overall stock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 and</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political conditions, election cycles, geopolitical actions, including unexpected changes in tariffs, trade barriers, price and exchange controls, and other regulatory requirements, war or incidents of terrorism, or responses to these events, many of which are outside of our control.</w:t>
      </w:r>
    </w:p>
    <w:p>
      <w:pPr>
        <w:spacing w:after="0" w:line="176" w:lineRule="exact"/>
        <w:rPr>
          <w:sz w:val="20"/>
          <w:szCs w:val="20"/>
          <w:color w:val="auto"/>
        </w:rPr>
      </w:pPr>
    </w:p>
    <w:p>
      <w:pPr>
        <w:ind w:right="320" w:firstLine="449"/>
        <w:spacing w:after="0" w:line="258"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have affected and continue to affect many medical device and technology companies’ stock prices. Stock prices often fluctuate in ways unrelated or disproportionate to the companies’ operating performance. In the past, stockholders have filed securities class action litigation following periods of market volatility. This risk is especially relevant for us because medical technology companies have experienced significant stock price volatility in recent years. If we were to become involved in securities litigation, it could subject us to substantial costs, divert resources and the attention of management from our business and seriously harm our business.</w:t>
      </w:r>
    </w:p>
    <w:p>
      <w:pPr>
        <w:spacing w:after="0" w:line="183"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we depend on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components or other materials for our products may have a material adverse effect on our business, financial condition, results of operations, and prospects.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Severe weather, natural disasters and other catastrophic events, including pandemics or other public health crises (such as the COVID-19 pandemic), earthquakes, tsunamis, hurricanes, floods, fires, explosions, accidents, power outages, cyber 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operations, or the operations of third parties who manufacture or supply components or other materials for our products, and have a material adverse effect on our business, financial condition, results of operations, and prospects.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 natural disaster or other catastrophic event occurs that prevents us or third-party suppliers or manufacturers from using all or a significant portion of our or their headquarters or other facilities, that damages critical infrastructure or that otherwise disrupts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our corporate headquarters and manufacturing facilities are located in Sunnyvale, California, near major earthquake faults and fire zones. We do not carry earthquake insurance. Furthermore, integral parties in our supply chain are similarly vulnerable to natural disasters or other sudden, unforeseen, and severe adverse events.</w:t>
      </w:r>
    </w:p>
    <w:p>
      <w:pPr>
        <w:sectPr>
          <w:pgSz w:w="11900" w:h="16838" w:orient="portrait"/>
          <w:cols w:equalWidth="0" w:num="1">
            <w:col w:w="11240"/>
          </w:cols>
          <w:pgMar w:left="320" w:top="117" w:right="33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from legal and arbitration proceedings that may prevent us from pursuing our business activities or require us to incur additional costs in defending against claims or paying damages.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 In addition,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operations and prospects. Additionally, the significant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October 15, 2024, we completed our IPO, in which we issued and sold 12,196,969 shares of our common stock, which includes an additional 1,590,909 shares of common stock purchased by the underwriters pursuant to their option to purchase additional shares, at a price to the public of $17.00 per share. The proceeds to the Company from the IPO were approximately $188.2 million, net of underwriting discounts and commissions and estimated offering costs. There has been no material change in the intended use of proceeds from our IPO as described in our final prospectus pursuant to Rule 424(b), filed with the SEC on October 11,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4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1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Action</w:t>
            </w:r>
          </w:p>
        </w:tc>
        <w:tc>
          <w:tcPr>
            <w:tcW w:w="14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Borders>
              <w:top w:val="single" w:sz="8" w:color="auto"/>
              <w:bottom w:val="single" w:sz="8" w:color="auto"/>
              <w:right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Trading Arrangement</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 Shares to be</w:t>
            </w:r>
          </w:p>
        </w:tc>
        <w:tc>
          <w:tcPr>
            <w:tcW w:w="168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226"/>
        </w:trPr>
        <w:tc>
          <w:tcPr>
            <w:tcW w:w="24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Rule 10b5-1*</w:t>
            </w:r>
          </w:p>
        </w:tc>
        <w:tc>
          <w:tcPr>
            <w:tcW w:w="1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Non-Rule 10b5-1**</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Sold</w:t>
            </w:r>
          </w:p>
        </w:tc>
        <w:tc>
          <w:tcPr>
            <w:tcW w:w="1680" w:type="dxa"/>
            <w:vAlign w:val="bottom"/>
            <w:tcBorders>
              <w:bottom w:val="single" w:sz="8" w:color="auto"/>
              <w:right w:val="single" w:sz="8" w:color="auto"/>
            </w:tcBorders>
          </w:tcPr>
          <w:p>
            <w:pPr>
              <w:spacing w:after="0"/>
              <w:rPr>
                <w:sz w:val="19"/>
                <w:szCs w:val="19"/>
                <w:color w:val="auto"/>
              </w:rPr>
            </w:pPr>
          </w:p>
        </w:tc>
      </w:tr>
      <w:tr>
        <w:trPr>
          <w:trHeight w:val="172"/>
        </w:trPr>
        <w:tc>
          <w:tcPr>
            <w:tcW w:w="2420" w:type="dxa"/>
            <w:vAlign w:val="bottom"/>
            <w:tcBorders>
              <w:right w:val="single" w:sz="8" w:color="auto"/>
            </w:tcBorders>
          </w:tcPr>
          <w:p>
            <w:pPr>
              <w:ind w:left="20"/>
              <w:spacing w:after="0" w:line="172" w:lineRule="exact"/>
              <w:rPr>
                <w:sz w:val="20"/>
                <w:szCs w:val="20"/>
                <w:color w:val="auto"/>
              </w:rPr>
            </w:pPr>
            <w:r>
              <w:rPr>
                <w:rFonts w:ascii="Times New Roman" w:cs="Times New Roman" w:eastAsia="Times New Roman" w:hAnsi="Times New Roman"/>
                <w:sz w:val="18"/>
                <w:szCs w:val="18"/>
                <w:color w:val="auto"/>
              </w:rPr>
              <w:t>Josef Parvizi, M.D., Ph.D.</w:t>
            </w:r>
          </w:p>
        </w:tc>
        <w:tc>
          <w:tcPr>
            <w:tcW w:w="118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8"/>
                <w:szCs w:val="18"/>
                <w:color w:val="auto"/>
              </w:rPr>
              <w:t>Adopt</w:t>
            </w:r>
          </w:p>
        </w:tc>
        <w:tc>
          <w:tcPr>
            <w:tcW w:w="146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8"/>
                <w:szCs w:val="18"/>
                <w:color w:val="auto"/>
              </w:rPr>
              <w:t>August 12, 2026</w:t>
            </w:r>
          </w:p>
        </w:tc>
        <w:tc>
          <w:tcPr>
            <w:tcW w:w="1340" w:type="dxa"/>
            <w:vAlign w:val="bottom"/>
            <w:tcBorders>
              <w:right w:val="single" w:sz="8" w:color="auto"/>
            </w:tcBorders>
          </w:tcPr>
          <w:p>
            <w:pPr>
              <w:ind w:left="580"/>
              <w:spacing w:after="0" w:line="172" w:lineRule="exact"/>
              <w:rPr>
                <w:sz w:val="20"/>
                <w:szCs w:val="20"/>
                <w:color w:val="auto"/>
              </w:rPr>
            </w:pPr>
            <w:r>
              <w:rPr>
                <w:rFonts w:ascii="Times New Roman" w:cs="Times New Roman" w:eastAsia="Times New Roman" w:hAnsi="Times New Roman"/>
                <w:sz w:val="18"/>
                <w:szCs w:val="18"/>
                <w:color w:val="auto"/>
              </w:rPr>
              <w:t>X</w:t>
            </w:r>
          </w:p>
        </w:tc>
        <w:tc>
          <w:tcPr>
            <w:tcW w:w="18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8"/>
                <w:szCs w:val="18"/>
                <w:color w:val="auto"/>
              </w:rPr>
              <w:t>250,000</w:t>
            </w:r>
          </w:p>
        </w:tc>
        <w:tc>
          <w:tcPr>
            <w:tcW w:w="168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8"/>
                <w:szCs w:val="18"/>
                <w:color w:val="auto"/>
              </w:rPr>
              <w:t>July 26, 2027</w:t>
            </w:r>
          </w:p>
        </w:tc>
      </w:tr>
      <w:tr>
        <w:trPr>
          <w:trHeight w:val="216"/>
        </w:trPr>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Director, Chief Medical</w:t>
            </w:r>
          </w:p>
        </w:tc>
        <w:tc>
          <w:tcPr>
            <w:tcW w:w="11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r>
      <w:tr>
        <w:trPr>
          <w:trHeight w:val="236"/>
        </w:trPr>
        <w:tc>
          <w:tcPr>
            <w:tcW w:w="2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Advisor, and Co-Founder</w:t>
            </w:r>
          </w:p>
        </w:tc>
        <w:tc>
          <w:tcPr>
            <w:tcW w:w="11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r>
      <w:tr>
        <w:trPr>
          <w:trHeight w:val="189"/>
        </w:trPr>
        <w:tc>
          <w:tcPr>
            <w:tcW w:w="242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William W. Burke</w:t>
            </w:r>
          </w:p>
        </w:tc>
        <w:tc>
          <w:tcPr>
            <w:tcW w:w="118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Adopt</w:t>
            </w:r>
          </w:p>
        </w:tc>
        <w:tc>
          <w:tcPr>
            <w:tcW w:w="146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August 12, 2026</w:t>
            </w:r>
          </w:p>
        </w:tc>
        <w:tc>
          <w:tcPr>
            <w:tcW w:w="1340" w:type="dxa"/>
            <w:vAlign w:val="bottom"/>
            <w:tcBorders>
              <w:right w:val="single" w:sz="8" w:color="auto"/>
            </w:tcBorders>
          </w:tcPr>
          <w:p>
            <w:pPr>
              <w:ind w:left="58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180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19,960</w:t>
            </w:r>
          </w:p>
        </w:tc>
        <w:tc>
          <w:tcPr>
            <w:tcW w:w="168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July 7, 2027</w:t>
            </w:r>
          </w:p>
        </w:tc>
      </w:tr>
      <w:tr>
        <w:trPr>
          <w:trHeight w:val="236"/>
        </w:trPr>
        <w:tc>
          <w:tcPr>
            <w:tcW w:w="2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1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r>
      <w:tr>
        <w:trPr>
          <w:trHeight w:val="189"/>
        </w:trPr>
        <w:tc>
          <w:tcPr>
            <w:tcW w:w="242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Xingjuan (Jane) Chao</w:t>
            </w:r>
          </w:p>
        </w:tc>
        <w:tc>
          <w:tcPr>
            <w:tcW w:w="118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Adopt</w:t>
            </w:r>
          </w:p>
        </w:tc>
        <w:tc>
          <w:tcPr>
            <w:tcW w:w="146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August 12, 2026</w:t>
            </w:r>
          </w:p>
        </w:tc>
        <w:tc>
          <w:tcPr>
            <w:tcW w:w="1340" w:type="dxa"/>
            <w:vAlign w:val="bottom"/>
            <w:tcBorders>
              <w:right w:val="single" w:sz="8" w:color="auto"/>
            </w:tcBorders>
          </w:tcPr>
          <w:p>
            <w:pPr>
              <w:ind w:left="58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180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472,500</w:t>
            </w:r>
          </w:p>
        </w:tc>
        <w:tc>
          <w:tcPr>
            <w:tcW w:w="168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September 30, 2027</w:t>
            </w:r>
          </w:p>
        </w:tc>
      </w:tr>
      <w:tr>
        <w:trPr>
          <w:trHeight w:val="216"/>
        </w:trPr>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Chief Executive</w:t>
            </w:r>
          </w:p>
        </w:tc>
        <w:tc>
          <w:tcPr>
            <w:tcW w:w="11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r>
      <w:tr>
        <w:trPr>
          <w:trHeight w:val="216"/>
        </w:trPr>
        <w:tc>
          <w:tcPr>
            <w:tcW w:w="2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Officer, Director, and Co-</w:t>
            </w:r>
          </w:p>
        </w:tc>
        <w:tc>
          <w:tcPr>
            <w:tcW w:w="11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r>
      <w:tr>
        <w:trPr>
          <w:trHeight w:val="236"/>
        </w:trPr>
        <w:tc>
          <w:tcPr>
            <w:tcW w:w="2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Founder</w:t>
            </w:r>
          </w:p>
        </w:tc>
        <w:tc>
          <w:tcPr>
            <w:tcW w:w="11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 Intended to satisfy the affirmative defense of Rule 10b5-1(c).</w:t>
      </w:r>
    </w:p>
    <w:p>
      <w:pPr>
        <w:sectPr>
          <w:pgSz w:w="11900" w:h="16838" w:orient="portrait"/>
          <w:cols w:equalWidth="0" w:num="1">
            <w:col w:w="11240"/>
          </w:cols>
          <w:pgMar w:left="320" w:top="117" w:right="33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intended to satisfy the affirmative defense of Rule 10b5-1(c).</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2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07"/>
        </w:trPr>
        <w:tc>
          <w:tcPr>
            <w:tcW w:w="9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520" w:type="dxa"/>
            <w:vAlign w:val="bottom"/>
            <w:gridSpan w:val="7"/>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Dated</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7"/>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9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372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242">
              <w:r>
                <w:rPr>
                  <w:rFonts w:ascii="Times New Roman" w:cs="Times New Roman" w:eastAsia="Times New Roman" w:hAnsi="Times New Roman"/>
                  <w:sz w:val="18"/>
                  <w:szCs w:val="18"/>
                  <w:color w:val="0000FF"/>
                  <w:w w:val="98"/>
                </w:rPr>
                <w:t>Amended and Restated Certificate of Incorporation.</w:t>
              </w:r>
            </w:hyperlink>
          </w:p>
        </w:tc>
        <w:tc>
          <w:tcPr>
            <w:tcW w:w="2100" w:type="dxa"/>
            <w:vAlign w:val="bottom"/>
            <w:gridSpan w:val="4"/>
          </w:tcPr>
          <w:p>
            <w:pPr>
              <w:spacing w:after="0"/>
              <w:rPr>
                <w:sz w:val="14"/>
                <w:szCs w:val="14"/>
                <w:color w:val="auto"/>
              </w:rPr>
            </w:pPr>
          </w:p>
        </w:tc>
        <w:tc>
          <w:tcPr>
            <w:tcW w:w="820" w:type="dxa"/>
            <w:vAlign w:val="bottom"/>
          </w:tcPr>
          <w:p>
            <w:pPr>
              <w:jc w:val="center"/>
              <w:ind w:left="16"/>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10/15/2024</w:t>
            </w:r>
          </w:p>
        </w:tc>
        <w:tc>
          <w:tcPr>
            <w:tcW w:w="920" w:type="dxa"/>
            <w:vAlign w:val="bottom"/>
          </w:tcPr>
          <w:p>
            <w:pPr>
              <w:jc w:val="center"/>
              <w:ind w:right="134"/>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5820" w:type="dxa"/>
            <w:vAlign w:val="bottom"/>
            <w:gridSpan w:val="9"/>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Amended and Restated Bylaws.</w:t>
              </w:r>
            </w:hyperlink>
          </w:p>
        </w:tc>
        <w:tc>
          <w:tcPr>
            <w:tcW w:w="820" w:type="dxa"/>
            <w:vAlign w:val="bottom"/>
          </w:tcPr>
          <w:p>
            <w:pPr>
              <w:jc w:val="center"/>
              <w:ind w:left="16"/>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10/15/2024</w:t>
            </w:r>
          </w:p>
        </w:tc>
        <w:tc>
          <w:tcPr>
            <w:tcW w:w="920" w:type="dxa"/>
            <w:vAlign w:val="bottom"/>
          </w:tcPr>
          <w:p>
            <w:pPr>
              <w:jc w:val="center"/>
              <w:ind w:right="134"/>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5820" w:type="dxa"/>
            <w:vAlign w:val="bottom"/>
            <w:gridSpan w:val="9"/>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Form of Common Stock Certificate.</w:t>
              </w:r>
            </w:hyperlink>
          </w:p>
        </w:tc>
        <w:tc>
          <w:tcPr>
            <w:tcW w:w="820" w:type="dxa"/>
            <w:vAlign w:val="bottom"/>
          </w:tcPr>
          <w:p>
            <w:pPr>
              <w:jc w:val="center"/>
              <w:ind w:left="16"/>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9/19/2024</w:t>
            </w:r>
          </w:p>
        </w:tc>
        <w:tc>
          <w:tcPr>
            <w:tcW w:w="920" w:type="dxa"/>
            <w:vAlign w:val="bottom"/>
          </w:tcPr>
          <w:p>
            <w:pPr>
              <w:jc w:val="center"/>
              <w:ind w:right="114"/>
              <w:spacing w:after="0" w:line="196" w:lineRule="exact"/>
              <w:rPr>
                <w:sz w:val="20"/>
                <w:szCs w:val="20"/>
                <w:color w:val="auto"/>
              </w:rPr>
            </w:pPr>
            <w:r>
              <w:rPr>
                <w:rFonts w:ascii="Times New Roman" w:cs="Times New Roman" w:eastAsia="Times New Roman" w:hAnsi="Times New Roman"/>
                <w:sz w:val="18"/>
                <w:szCs w:val="18"/>
                <w:color w:val="auto"/>
              </w:rPr>
              <w:t>4.01</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5820" w:type="dxa"/>
            <w:vAlign w:val="bottom"/>
            <w:gridSpan w:val="9"/>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Credit, Security and Guaranty Agreement, dated as of August 5, 2026, by and</w:t>
              </w:r>
            </w:hyperlink>
          </w:p>
        </w:tc>
        <w:tc>
          <w:tcPr>
            <w:tcW w:w="820" w:type="dxa"/>
            <w:vAlign w:val="bottom"/>
          </w:tcPr>
          <w:p>
            <w:pPr>
              <w:jc w:val="center"/>
              <w:ind w:left="16"/>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8/10/2026</w:t>
            </w:r>
          </w:p>
        </w:tc>
        <w:tc>
          <w:tcPr>
            <w:tcW w:w="920" w:type="dxa"/>
            <w:vAlign w:val="bottom"/>
          </w:tcPr>
          <w:p>
            <w:pPr>
              <w:jc w:val="center"/>
              <w:ind w:right="114"/>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9"/>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among CeriBell, Inc., as Borrower, MidCap Funding IV Trust, as Agent, and</w:t>
              </w:r>
            </w:hyperlink>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9"/>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MidCap Financial Trust, as Term Loan Servicer and the Lenders from time to</w:t>
              </w:r>
            </w:hyperlink>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9"/>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time party thereto.</w:t>
              </w:r>
            </w:hyperlink>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5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Certification of Principal Executive Officer Pursuant to Rules 13a-14(a) and 15d-</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FF"/>
            </w:tcBorders>
            <w:gridSpan w:val="4"/>
            <w:shd w:val="clear" w:color="auto" w:fill="0000FF"/>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14(a) under the Securities Exchange Act of 1934, as Adopted Pursuant to Section</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Borders>
              <w:right w:val="single" w:sz="8" w:color="0000FF"/>
            </w:tcBorders>
            <w:gridSpan w:val="4"/>
            <w:shd w:val="clear" w:color="auto" w:fill="0000FF"/>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EE"/>
            </w:tcBorders>
            <w:gridSpan w:val="4"/>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5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180" w:type="dxa"/>
            <w:vAlign w:val="bottom"/>
            <w:tcBorders>
              <w:right w:val="single" w:sz="8" w:color="0000FF"/>
            </w:tcBorders>
            <w:gridSpan w:val="6"/>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14(a) under the Securities Exchange Act of 1934, as Adopted Pursuant to Section</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tcBorders>
              <w:right w:val="single" w:sz="8" w:color="0000FF"/>
            </w:tcBorders>
            <w:gridSpan w:val="6"/>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EE"/>
            </w:tcBorders>
            <w:gridSpan w:val="4"/>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5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tcBorders>
              <w:right w:val="single" w:sz="8" w:color="0000FF"/>
            </w:tcBorders>
            <w:gridSpan w:val="6"/>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180" w:type="dxa"/>
            <w:vAlign w:val="bottom"/>
            <w:tcBorders>
              <w:right w:val="single" w:sz="8" w:color="0000EE"/>
            </w:tcBorders>
            <w:gridSpan w:val="6"/>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7"/>
                <w:szCs w:val="17"/>
                <w:color w:val="auto"/>
              </w:rPr>
            </w:pPr>
          </w:p>
        </w:tc>
        <w:tc>
          <w:tcPr>
            <w:tcW w:w="5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jc w:val="center"/>
              <w:ind w:right="133"/>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4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180" w:type="dxa"/>
            <w:vAlign w:val="bottom"/>
            <w:tcBorders>
              <w:right w:val="single" w:sz="8" w:color="0000EE"/>
            </w:tcBorders>
            <w:gridSpan w:val="6"/>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8"/>
                <w:szCs w:val="18"/>
                <w:color w:val="auto"/>
              </w:rPr>
            </w:pPr>
          </w:p>
        </w:tc>
        <w:tc>
          <w:tcPr>
            <w:tcW w:w="582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18"/>
                <w:szCs w:val="18"/>
                <w:color w:val="auto"/>
              </w:rPr>
            </w:pPr>
          </w:p>
        </w:tc>
        <w:tc>
          <w:tcPr>
            <w:tcW w:w="5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18"/>
                <w:szCs w:val="18"/>
                <w:color w:val="auto"/>
              </w:rPr>
            </w:pPr>
          </w:p>
        </w:tc>
        <w:tc>
          <w:tcPr>
            <w:tcW w:w="5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18"/>
                <w:szCs w:val="18"/>
                <w:color w:val="auto"/>
              </w:rPr>
            </w:pPr>
          </w:p>
        </w:tc>
        <w:tc>
          <w:tcPr>
            <w:tcW w:w="5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18"/>
                <w:szCs w:val="18"/>
                <w:color w:val="auto"/>
              </w:rPr>
            </w:pPr>
          </w:p>
        </w:tc>
        <w:tc>
          <w:tcPr>
            <w:tcW w:w="5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18"/>
                <w:szCs w:val="18"/>
                <w:color w:val="auto"/>
              </w:rPr>
            </w:pPr>
          </w:p>
        </w:tc>
        <w:tc>
          <w:tcPr>
            <w:tcW w:w="5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582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1" w:lineRule="exact"/>
        <w:rPr>
          <w:sz w:val="20"/>
          <w:szCs w:val="20"/>
          <w:color w:val="auto"/>
        </w:rPr>
      </w:pPr>
    </w:p>
    <w:p>
      <w:pPr>
        <w:jc w:val="both"/>
        <w:ind w:firstLine="8"/>
        <w:spacing w:after="0" w:line="266" w:lineRule="auto"/>
        <w:tabs>
          <w:tab w:leader="none" w:pos="1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Quarterly Report pursuant to 18 U.S.C. Section 1350, as adopted pursuant to Section 906 of the Sarbanes-Oxley Act of 2002, are not deemed “filed” by the Registrant for purposes of Section 18 of the Securities Exchange Act of 1934, as amended.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334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CERIBELL, INC.</w:t>
            </w:r>
          </w:p>
        </w:tc>
        <w:tc>
          <w:tcPr>
            <w:tcW w:w="440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33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/s/ Xingjuan (Jane) Chao, Ph.D.</w:t>
            </w:r>
          </w:p>
        </w:tc>
      </w:tr>
      <w:tr>
        <w:trPr>
          <w:trHeight w:val="191"/>
        </w:trPr>
        <w:tc>
          <w:tcPr>
            <w:tcW w:w="35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jc w:val="center"/>
              <w:ind w:right="1110"/>
              <w:spacing w:after="0" w:line="191" w:lineRule="exact"/>
              <w:rPr>
                <w:sz w:val="20"/>
                <w:szCs w:val="20"/>
                <w:color w:val="auto"/>
              </w:rPr>
            </w:pPr>
            <w:r>
              <w:rPr>
                <w:rFonts w:ascii="Times New Roman" w:cs="Times New Roman" w:eastAsia="Times New Roman" w:hAnsi="Times New Roman"/>
                <w:sz w:val="18"/>
                <w:szCs w:val="18"/>
                <w:color w:val="auto"/>
                <w:w w:val="99"/>
              </w:rPr>
              <w:t>Xingjuan (Jane) Chao, Ph.D.</w:t>
            </w:r>
          </w:p>
        </w:tc>
      </w:tr>
      <w:tr>
        <w:trPr>
          <w:trHeight w:val="214"/>
        </w:trPr>
        <w:tc>
          <w:tcPr>
            <w:tcW w:w="3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6"/>
        </w:trPr>
        <w:tc>
          <w:tcPr>
            <w:tcW w:w="3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0" w:type="dxa"/>
            <w:vAlign w:val="bottom"/>
          </w:tcPr>
          <w:p>
            <w:pPr>
              <w:jc w:val="center"/>
              <w:ind w:right="109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33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 Scott Blumberg</w:t>
            </w:r>
          </w:p>
        </w:tc>
      </w:tr>
      <w:tr>
        <w:trPr>
          <w:trHeight w:val="191"/>
        </w:trPr>
        <w:tc>
          <w:tcPr>
            <w:tcW w:w="35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jc w:val="center"/>
              <w:ind w:right="1090"/>
              <w:spacing w:after="0" w:line="191" w:lineRule="exact"/>
              <w:rPr>
                <w:sz w:val="20"/>
                <w:szCs w:val="20"/>
                <w:color w:val="auto"/>
              </w:rPr>
            </w:pPr>
            <w:r>
              <w:rPr>
                <w:rFonts w:ascii="Times New Roman" w:cs="Times New Roman" w:eastAsia="Times New Roman" w:hAnsi="Times New Roman"/>
                <w:sz w:val="18"/>
                <w:szCs w:val="18"/>
                <w:color w:val="auto"/>
              </w:rPr>
              <w:t>Scott Blumberg</w:t>
            </w:r>
          </w:p>
        </w:tc>
      </w:tr>
      <w:tr>
        <w:trPr>
          <w:trHeight w:val="214"/>
        </w:trPr>
        <w:tc>
          <w:tcPr>
            <w:tcW w:w="3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0" w:type="dxa"/>
            <w:vAlign w:val="bottom"/>
          </w:tcPr>
          <w:p>
            <w:pPr>
              <w:jc w:val="center"/>
              <w:ind w:right="109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540"/>
        </w:trPr>
        <w:tc>
          <w:tcPr>
            <w:tcW w:w="3500" w:type="dxa"/>
            <w:vAlign w:val="bottom"/>
          </w:tcPr>
          <w:p>
            <w:pPr>
              <w:spacing w:after="0"/>
              <w:rPr>
                <w:sz w:val="24"/>
                <w:szCs w:val="24"/>
                <w:color w:val="auto"/>
              </w:rPr>
            </w:pPr>
          </w:p>
        </w:tc>
        <w:tc>
          <w:tcPr>
            <w:tcW w:w="334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71</w:t>
            </w:r>
          </w:p>
        </w:tc>
        <w:tc>
          <w:tcPr>
            <w:tcW w:w="440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Xingjuan (Jane) Chao, Ph.D., certify that:</w:t>
      </w:r>
    </w:p>
    <w:p>
      <w:pPr>
        <w:spacing w:after="0" w:line="225"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CeriBell,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0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22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Xingjuan (Jane) Chao, Ph.D.</w:t>
            </w:r>
          </w:p>
        </w:tc>
      </w:tr>
      <w:tr>
        <w:trPr>
          <w:trHeight w:val="187"/>
        </w:trPr>
        <w:tc>
          <w:tcPr>
            <w:tcW w:w="37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Xingjuan (Jane) Chao, Ph.D.</w:t>
            </w:r>
          </w:p>
        </w:tc>
      </w:tr>
      <w:tr>
        <w:trPr>
          <w:trHeight w:val="216"/>
        </w:trPr>
        <w:tc>
          <w:tcPr>
            <w:tcW w:w="3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411"/>
        </w:trPr>
        <w:tc>
          <w:tcPr>
            <w:tcW w:w="37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Blumberg, certify that:</w:t>
      </w:r>
    </w:p>
    <w:p>
      <w:pPr>
        <w:spacing w:after="0" w:line="225"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CeriBell,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00" w:hanging="512"/>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22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Blumberg</w:t>
            </w:r>
          </w:p>
        </w:tc>
      </w:tr>
      <w:tr>
        <w:trPr>
          <w:trHeight w:val="187"/>
        </w:trPr>
        <w:tc>
          <w:tcPr>
            <w:tcW w:w="37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Scott Blumberg</w:t>
            </w:r>
          </w:p>
        </w:tc>
      </w:tr>
      <w:tr>
        <w:trPr>
          <w:trHeight w:val="216"/>
        </w:trPr>
        <w:tc>
          <w:tcPr>
            <w:tcW w:w="3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1195"/>
        </w:trPr>
        <w:tc>
          <w:tcPr>
            <w:tcW w:w="37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CeriBell, Inc. (the “Company”) on Form 10-Q for the period ended September 30,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22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Xingjuan (Jane) Chao, Ph.D.</w:t>
            </w:r>
          </w:p>
        </w:tc>
      </w:tr>
      <w:tr>
        <w:trPr>
          <w:trHeight w:val="187"/>
        </w:trPr>
        <w:tc>
          <w:tcPr>
            <w:tcW w:w="37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Xingjuan (Jane) Chao, Ph.D.</w:t>
            </w:r>
          </w:p>
        </w:tc>
      </w:tr>
      <w:tr>
        <w:trPr>
          <w:trHeight w:val="238"/>
        </w:trPr>
        <w:tc>
          <w:tcPr>
            <w:tcW w:w="3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1195"/>
        </w:trPr>
        <w:tc>
          <w:tcPr>
            <w:tcW w:w="37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CeriBell, Inc. (the “Company”) on Form 10-Q for the period ended September 30,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22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Blumberg</w:t>
            </w:r>
          </w:p>
        </w:tc>
      </w:tr>
      <w:tr>
        <w:trPr>
          <w:trHeight w:val="187"/>
        </w:trPr>
        <w:tc>
          <w:tcPr>
            <w:tcW w:w="37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Scott Blumberg</w:t>
            </w:r>
          </w:p>
        </w:tc>
      </w:tr>
      <w:tr>
        <w:trPr>
          <w:trHeight w:val="238"/>
        </w:trPr>
        <w:tc>
          <w:tcPr>
            <w:tcW w:w="3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1411"/>
        </w:trPr>
        <w:tc>
          <w:tcPr>
            <w:tcW w:w="37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3"/>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4"/>
    </w:lvl>
  </w:abstractNum>
  <w:abstractNum w:abstractNumId="11">
    <w:nsid w:val="6763845E"/>
    <w:multiLevelType w:val="hybridMultilevel"/>
    <w:lvl w:ilvl="0">
      <w:lvlJc w:val="left"/>
      <w:lvlText w:val="%1."/>
      <w:numFmt w:val="decimal"/>
      <w:start w:val="6"/>
    </w:lvl>
  </w:abstractNum>
  <w:abstractNum w:abstractNumId="12">
    <w:nsid w:val="75A2A8D4"/>
    <w:multiLevelType w:val="hybridMultilevel"/>
    <w:lvl w:ilvl="0">
      <w:lvlJc w:val="left"/>
      <w:lvlText w:val="%1."/>
      <w:numFmt w:val="decimal"/>
      <w:start w:val="7"/>
    </w:lvl>
  </w:abstractNum>
  <w:abstractNum w:abstractNumId="13">
    <w:nsid w:val="8EDBDAB"/>
    <w:multiLevelType w:val="hybridMultilevel"/>
    <w:lvl w:ilvl="0">
      <w:lvlJc w:val="left"/>
      <w:lvlText w:val="%1."/>
      <w:numFmt w:val="decimal"/>
      <w:start w:val="8"/>
    </w:lvl>
  </w:abstractNum>
  <w:abstractNum w:abstractNumId="14">
    <w:nsid w:val="79838CB2"/>
    <w:multiLevelType w:val="hybridMultilevel"/>
    <w:lvl w:ilvl="0">
      <w:lvlJc w:val="left"/>
      <w:lvlText w:val="%1."/>
      <w:numFmt w:val="decimal"/>
      <w:start w:val="9"/>
    </w:lvl>
  </w:abstractNum>
  <w:abstractNum w:abstractNumId="15">
    <w:nsid w:val="4353D0CD"/>
    <w:multiLevelType w:val="hybridMultilevel"/>
    <w:lvl w:ilvl="0">
      <w:lvlJc w:val="left"/>
      <w:lvlText w:val="%1."/>
      <w:numFmt w:val="decimal"/>
      <w:start w:val="10"/>
    </w:lvl>
  </w:abstractNum>
  <w:abstractNum w:abstractNumId="16">
    <w:nsid w:val="B03E0C6"/>
    <w:multiLevelType w:val="hybridMultilevel"/>
    <w:lvl w:ilvl="0">
      <w:lvlJc w:val="left"/>
      <w:lvlText w:val="%1."/>
      <w:numFmt w:val="decimal"/>
      <w:start w:val="11"/>
    </w:lvl>
  </w:abstractNum>
  <w:abstractNum w:abstractNumId="17">
    <w:nsid w:val="189A769B"/>
    <w:multiLevelType w:val="hybridMultilevel"/>
    <w:lvl w:ilvl="0">
      <w:lvlJc w:val="left"/>
      <w:lvlText w:val="%1."/>
      <w:numFmt w:val="decimal"/>
      <w:start w:val="12"/>
    </w:lvl>
  </w:abstractNum>
  <w:abstractNum w:abstractNumId="18">
    <w:nsid w:val="54E49EB4"/>
    <w:multiLevelType w:val="hybridMultilevel"/>
    <w:lvl w:ilvl="0">
      <w:lvlJc w:val="left"/>
      <w:lvlText w:val="%1."/>
      <w:numFmt w:val="decimal"/>
      <w:start w:val="13"/>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42" Type="http://schemas.openxmlformats.org/officeDocument/2006/relationships/hyperlink" Target="https://www.sec.gov/Archives/edgar/data/1861107/000095017024114767/cbll-ex3_1.htm" TargetMode="External"/><Relationship Id="rId243" Type="http://schemas.openxmlformats.org/officeDocument/2006/relationships/hyperlink" Target="https://www.sec.gov/Archives/edgar/data/1861107/000095017024114767/cbll-ex3_2.htm" TargetMode="External"/><Relationship Id="rId244" Type="http://schemas.openxmlformats.org/officeDocument/2006/relationships/hyperlink" Target="https://www.sec.gov/Archives/edgar/data/1861107/000095017024108128/cbll-ex4_01.htm" TargetMode="External"/><Relationship Id="rId245" Type="http://schemas.openxmlformats.org/officeDocument/2006/relationships/hyperlink" Target="https://www.sec.gov/Archives/edgar/data/1861107/000119312526342574/cbll-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2026-11-03T16:00:23Z</dcterms:created>
  <dcterms:modified xsi:type="dcterms:W3CDTF">2026-11-03T16:00:23Z</dcterms:modified>
</cp:coreProperties>
</file>