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0002035882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Foehr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993</w:t>
            </w:r>
          </w:p>
        </w:tc>
        <w:tc>
          <w:tcPr>
            <w:tcW w:w="1377" w:type="dxa"/>
            <w:tcBorders/>
            <w:vAlign w:val="center"/>
          </w:tcPr>
          <w:p>
            <w:pPr>
              <w:pStyle w:val="TableContents"/>
              <w:bidi w:val="0"/>
              <w:spacing w:before="0" w:after="283"/>
              <w:jc w:val="left"/>
              <w:rPr/>
            </w:pPr>
            <w:r>
              <w:rPr/>
              <w:t>23853.64</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993</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David J. Foehr</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1" w:type="dxa"/>
            <w:tcBorders/>
            <w:vAlign w:val="center"/>
          </w:tcPr>
          <w:p>
            <w:pPr>
              <w:pStyle w:val="TableContents"/>
              <w:bidi w:val="0"/>
              <w:spacing w:before="0" w:after="283"/>
              <w:jc w:val="left"/>
              <w:rPr/>
            </w:pPr>
            <w:r>
              <w:rPr/>
              <w:t>987</w:t>
            </w:r>
          </w:p>
        </w:tc>
        <w:tc>
          <w:tcPr>
            <w:tcW w:w="1697" w:type="dxa"/>
            <w:tcBorders/>
            <w:vAlign w:val="center"/>
          </w:tcPr>
          <w:p>
            <w:pPr>
              <w:pStyle w:val="TableContents"/>
              <w:bidi w:val="0"/>
              <w:spacing w:before="0" w:after="283"/>
              <w:jc w:val="left"/>
              <w:rPr/>
            </w:pPr>
            <w:r>
              <w:rPr/>
              <w:t>17761.95</w:t>
            </w:r>
          </w:p>
        </w:tc>
      </w:tr>
      <w:tr>
        <w:trPr/>
        <w:tc>
          <w:tcPr>
            <w:tcW w:w="3009" w:type="dxa"/>
            <w:tcBorders/>
            <w:vAlign w:val="center"/>
          </w:tcPr>
          <w:p>
            <w:pPr>
              <w:pStyle w:val="TableContents"/>
              <w:bidi w:val="0"/>
              <w:spacing w:before="0" w:after="283"/>
              <w:jc w:val="left"/>
              <w:rPr/>
            </w:pPr>
            <w:r>
              <w:rPr/>
              <w:t>David J. Foehr</w:t>
              <w:br/>
              <w:t>360 N. Pastoria Avenue</w:t>
              <w:br/>
              <w:t>Sunnyvale   CA   94085</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05/22/2026</w:t>
            </w:r>
          </w:p>
        </w:tc>
        <w:tc>
          <w:tcPr>
            <w:tcW w:w="1571" w:type="dxa"/>
            <w:tcBorders/>
            <w:vAlign w:val="center"/>
          </w:tcPr>
          <w:p>
            <w:pPr>
              <w:pStyle w:val="TableContents"/>
              <w:bidi w:val="0"/>
              <w:spacing w:before="0" w:after="283"/>
              <w:jc w:val="left"/>
              <w:rPr/>
            </w:pPr>
            <w:r>
              <w:rPr/>
              <w:t>862</w:t>
            </w:r>
          </w:p>
        </w:tc>
        <w:tc>
          <w:tcPr>
            <w:tcW w:w="1697" w:type="dxa"/>
            <w:tcBorders/>
            <w:vAlign w:val="center"/>
          </w:tcPr>
          <w:p>
            <w:pPr>
              <w:pStyle w:val="TableContents"/>
              <w:bidi w:val="0"/>
              <w:spacing w:before="0" w:after="283"/>
              <w:jc w:val="left"/>
              <w:rPr/>
            </w:pPr>
            <w:r>
              <w:rPr/>
              <w:t>16205.60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Adam Gehring, as a duly authorized representative of Fidelity Brokerage Services LLC, as attorney-in-fact for David J. Foehr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3301</Characters>
  <CharactersWithSpaces>3888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