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bll-20240930.htm"/>
        <w:bookmarkStart w:id="1" w:name="kscbll202409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 to 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001-42364</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CeriBell,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47-1785452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360 N. Pastoria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Sunnyvale,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(800) 436-0826</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3121"/>
        <w:gridCol w:w="146"/>
        <w:gridCol w:w="826"/>
        <w:gridCol w:w="146"/>
        <w:gridCol w:w="3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21"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CBLL</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As of November 11, 2024, the registrant had 35,824,244</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333" w:type="dxa"/>
        <w:jc w:val="left"/>
        <w:tblInd w:w="0" w:type="dxa"/>
        <w:tblLayout w:type="fixed"/>
        <w:tblCellMar>
          <w:top w:w="28" w:type="dxa"/>
          <w:left w:w="28" w:type="dxa"/>
          <w:bottom w:w="28" w:type="dxa"/>
          <w:right w:w="28" w:type="dxa"/>
        </w:tblCellMar>
      </w:tblPr>
      <w:tblGrid>
        <w:gridCol w:w="886"/>
        <w:gridCol w:w="7366"/>
        <w:gridCol w:w="108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Balance Sheets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comp_loss">
              <w:r>
                <w:rPr>
                  <w:rStyle w:val="InternetLink"/>
                  <w:rFonts w:ascii="Times New Roman" w:hAnsi="Times New Roman"/>
                  <w:color w:val="0563C1"/>
                  <w:sz w:val="20"/>
                  <w:u w:val="single"/>
                </w:rPr>
                <w:t>Condensed Statements of Operations and Comprehensive Loss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563C1"/>
                  <w:sz w:val="20"/>
                  <w:u w:val="single"/>
                </w:rPr>
                <w:t>Condensed Statements of Stockholders’ Deficit</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563C1"/>
                  <w:sz w:val="20"/>
                  <w:u w:val="single"/>
                </w:rPr>
                <w:t>Condensed Statements of Cash Flows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Financial Statements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_q_disclosures">
              <w:r>
                <w:rPr>
                  <w:rStyle w:val="InternetLink"/>
                  <w:rFonts w:ascii="Times New Roman" w:hAnsi="Times New Roman"/>
                  <w:color w:val="0563C1"/>
                  <w:sz w:val="20"/>
                  <w:u w:val="single"/>
                </w:rPr>
                <w:t>Quantitative and Qualitative Disclosures About Market Risk</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81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concerning orders for our products and utilization by existing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release new features for the Ceribell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expand into new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improving our product and technology, including our AI-powered algorithm;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and the capabilities of, our component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reference in this Quarterly Report on Form 10-Q and have filed as exhibits to the registration statement, of which this Quarterly Report on Form 10-Q is a part, completely and with the understanding that our actual future results may be materially different from what we expect. We qualify all of the forward-looking statements in this Quarterly Report on Form 10-Q by these cautionary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6"/>
        <w:gridCol w:w="146"/>
        <w:gridCol w:w="222"/>
        <w:gridCol w:w="887"/>
        <w:gridCol w:w="166"/>
        <w:gridCol w:w="146"/>
        <w:gridCol w:w="216"/>
        <w:gridCol w:w="863"/>
        <w:gridCol w:w="393"/>
      </w:tblGrid>
      <w:tr>
        <w:trPr/>
        <w:tc>
          <w:tcPr>
            <w:tcW w:w="7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vAlign w:val="center"/>
          </w:tcPr>
          <w:p>
            <w:pPr>
              <w:pStyle w:val="TableContents"/>
              <w:bidi w:val="0"/>
              <w:spacing w:before="0" w:after="283"/>
              <w:jc w:val="center"/>
              <w:rPr/>
            </w:pPr>
            <w:r>
              <w:rPr/>
              <w:t> </w:t>
            </w:r>
          </w:p>
        </w:tc>
      </w:tr>
      <w:tr>
        <w:trPr/>
        <w:tc>
          <w:tcPr>
            <w:tcW w:w="7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costs, current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51,963</w:t>
            </w:r>
          </w:p>
        </w:tc>
        <w:tc>
          <w:tcPr>
            <w:tcW w:w="393" w:type="dxa"/>
            <w:tcBorders/>
            <w:shd w:fill="FFFFFF" w:val="clear"/>
            <w:vAlign w:val="center"/>
          </w:tcPr>
          <w:p>
            <w:pPr>
              <w:pStyle w:val="TableContents"/>
              <w:bidi w:val="0"/>
              <w:spacing w:before="0" w:after="283"/>
              <w:jc w:val="lef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393" w:type="dxa"/>
            <w:tcBorders/>
            <w:shd w:fill="CFF0FC" w:val="clear"/>
            <w:vAlign w:val="center"/>
          </w:tcPr>
          <w:p>
            <w:pPr>
              <w:pStyle w:val="TableContents"/>
              <w:bidi w:val="0"/>
              <w:spacing w:before="0" w:after="283"/>
              <w:jc w:val="lef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393" w:type="dxa"/>
            <w:tcBorders/>
            <w:shd w:fill="FFFFFF" w:val="clear"/>
            <w:vAlign w:val="center"/>
          </w:tcPr>
          <w:p>
            <w:pPr>
              <w:pStyle w:val="TableContents"/>
              <w:bidi w:val="0"/>
              <w:spacing w:before="0" w:after="283"/>
              <w:jc w:val="lef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costs, long-term</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393" w:type="dxa"/>
            <w:tcBorders/>
            <w:shd w:fill="CFF0FC" w:val="clear"/>
            <w:vAlign w:val="center"/>
          </w:tcPr>
          <w:p>
            <w:pPr>
              <w:pStyle w:val="TableContents"/>
              <w:bidi w:val="0"/>
              <w:spacing w:before="0" w:after="283"/>
              <w:jc w:val="lef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58,922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deficit</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7,540</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payable, current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7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21,600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liabilities</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payable, long-term</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liabilities, long-term</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79"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 long-term</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long-term liabilities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23,762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Commitments and contingencies </w:t>
            </w:r>
            <w:r>
              <w:rPr>
                <w:rFonts w:ascii="Times New Roman" w:hAnsi="Times New Roman"/>
                <w:color w:val="000000"/>
                <w:sz w:val="20"/>
              </w:rPr>
              <w:t>(Note 7)</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Redeemable convertible preferred stock, $0.001</w:t>
            </w:r>
            <w:r>
              <w:rPr>
                <w:rFonts w:ascii="Times New Roman" w:hAnsi="Times New Roman"/>
                <w:color w:val="000000"/>
                <w:sz w:val="20"/>
              </w:rPr>
              <w:t> </w:t>
            </w:r>
            <w:r>
              <w:rPr>
                <w:rFonts w:ascii="Times New Roman" w:hAnsi="Times New Roman"/>
                <w:b/>
                <w:color w:val="000000"/>
                <w:sz w:val="20"/>
              </w:rPr>
              <w:t>par value;</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shares: 46,831,773 and 46,624,838 shares as of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shares: 17,817,643 shares as of September 30, 2024 and December 31, 2023</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Aggregate liquidation preference of $152,590 as of September 30, 2024 and December 31, 2023</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deficit</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Common stock, $0.001</w:t>
            </w:r>
            <w:r>
              <w:rPr>
                <w:rFonts w:ascii="Times New Roman" w:hAnsi="Times New Roman"/>
                <w:color w:val="000000"/>
                <w:sz w:val="20"/>
              </w:rPr>
              <w:t> </w:t>
            </w:r>
            <w:r>
              <w:rPr>
                <w:rFonts w:ascii="Times New Roman" w:hAnsi="Times New Roman"/>
                <w:b/>
                <w:color w:val="000000"/>
                <w:sz w:val="20"/>
              </w:rPr>
              <w:t>par value;</w:t>
            </w:r>
          </w:p>
        </w:tc>
        <w:tc>
          <w:tcPr>
            <w:tcW w:w="1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shares: 76,879,683 and 76,672,748 as of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shares: 5,779,191 and 5,430,298 as of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3" w:type="dxa"/>
            <w:tcBorders/>
            <w:shd w:fill="FFFFFF" w:val="clear"/>
            <w:vAlign w:val="center"/>
          </w:tcPr>
          <w:p>
            <w:pPr>
              <w:pStyle w:val="TableContents"/>
              <w:bidi w:val="0"/>
              <w:spacing w:before="0" w:after="283"/>
              <w:jc w:val="left"/>
              <w:rPr/>
            </w:pPr>
            <w:r>
              <w:rPr/>
              <w:t> </w:t>
            </w:r>
          </w:p>
        </w:tc>
      </w:tr>
      <w:tr>
        <w:trPr/>
        <w:tc>
          <w:tcPr>
            <w:tcW w:w="7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14,232</w:t>
            </w:r>
          </w:p>
        </w:tc>
        <w:tc>
          <w:tcPr>
            <w:tcW w:w="393" w:type="dxa"/>
            <w:tcBorders/>
            <w:shd w:fill="CFF0FC" w:val="clear"/>
            <w:vAlign w:val="center"/>
          </w:tcPr>
          <w:p>
            <w:pPr>
              <w:pStyle w:val="TableContents"/>
              <w:bidi w:val="0"/>
              <w:spacing w:before="0" w:after="283"/>
              <w:jc w:val="left"/>
              <w:rPr/>
            </w:pPr>
            <w:r>
              <w:rPr/>
              <w:t> </w:t>
            </w:r>
          </w:p>
        </w:tc>
      </w:tr>
      <w:tr>
        <w:trPr/>
        <w:tc>
          <w:tcPr>
            <w:tcW w:w="7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(126,489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deficit</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(112,252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convertible preferred stock and stockholders’ deficit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58,922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6" w:name="stmt_of_operations_comp_loss"/>
      <w:bookmarkEnd w:id="6"/>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8"/>
        <w:gridCol w:w="146"/>
        <w:gridCol w:w="212"/>
        <w:gridCol w:w="936"/>
        <w:gridCol w:w="166"/>
        <w:gridCol w:w="146"/>
        <w:gridCol w:w="212"/>
        <w:gridCol w:w="936"/>
        <w:gridCol w:w="166"/>
        <w:gridCol w:w="146"/>
        <w:gridCol w:w="211"/>
        <w:gridCol w:w="931"/>
        <w:gridCol w:w="166"/>
        <w:gridCol w:w="146"/>
        <w:gridCol w:w="211"/>
        <w:gridCol w:w="931"/>
        <w:gridCol w:w="395"/>
      </w:tblGrid>
      <w:tr>
        <w:trPr/>
        <w:tc>
          <w:tcPr>
            <w:tcW w:w="4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1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14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41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41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32,094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14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41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41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27,047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41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41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28,107</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41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48,707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(26,825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(21,660</w:t>
            </w:r>
          </w:p>
        </w:tc>
        <w:tc>
          <w:tcPr>
            <w:tcW w:w="3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3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5" w:type="dxa"/>
            <w:tcBorders/>
            <w:shd w:fill="CFF0FC" w:val="clear"/>
            <w:vAlign w:val="center"/>
          </w:tcPr>
          <w:p>
            <w:pPr>
              <w:pStyle w:val="TableContents"/>
              <w:bidi w:val="0"/>
              <w:spacing w:before="0" w:after="283"/>
              <w:jc w:val="left"/>
              <w:rPr/>
            </w:pPr>
            <w:r>
              <w:rPr/>
              <w:t> </w:t>
            </w:r>
          </w:p>
        </w:tc>
      </w:tr>
      <w:tr>
        <w:trPr/>
        <w:tc>
          <w:tcPr>
            <w:tcW w:w="41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(7,054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(21,179</w:t>
            </w:r>
          </w:p>
        </w:tc>
        <w:tc>
          <w:tcPr>
            <w:tcW w:w="3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(21,190</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41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41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5,274,151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7" w:name="equity"/>
      <w:bookmarkEnd w:id="7"/>
      <w:r>
        <w:rPr>
          <w:rFonts w:ascii="Times New Roman" w:hAnsi="Times New Roman"/>
          <w:b/>
          <w:color w:val="000000"/>
          <w:sz w:val="20"/>
        </w:rPr>
        <w:t>Condensed Statements of Redeemable Convertible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4"/>
        <w:gridCol w:w="146"/>
        <w:gridCol w:w="146"/>
        <w:gridCol w:w="916"/>
        <w:gridCol w:w="146"/>
        <w:gridCol w:w="146"/>
        <w:gridCol w:w="196"/>
        <w:gridCol w:w="691"/>
        <w:gridCol w:w="146"/>
        <w:gridCol w:w="146"/>
        <w:gridCol w:w="146"/>
        <w:gridCol w:w="146"/>
        <w:gridCol w:w="826"/>
        <w:gridCol w:w="146"/>
        <w:gridCol w:w="146"/>
        <w:gridCol w:w="160"/>
        <w:gridCol w:w="379"/>
        <w:gridCol w:w="146"/>
        <w:gridCol w:w="146"/>
        <w:gridCol w:w="199"/>
        <w:gridCol w:w="612"/>
        <w:gridCol w:w="146"/>
        <w:gridCol w:w="146"/>
        <w:gridCol w:w="196"/>
        <w:gridCol w:w="751"/>
        <w:gridCol w:w="166"/>
        <w:gridCol w:w="146"/>
        <w:gridCol w:w="212"/>
        <w:gridCol w:w="814"/>
        <w:gridCol w:w="213"/>
      </w:tblGrid>
      <w:tr>
        <w:trPr/>
        <w:tc>
          <w:tcPr>
            <w:tcW w:w="1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16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5,430,298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(112,252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13" w:type="dxa"/>
            <w:tcBorders/>
            <w:shd w:fill="FFFFFF" w:val="clear"/>
            <w:vAlign w:val="center"/>
          </w:tcPr>
          <w:p>
            <w:pPr>
              <w:pStyle w:val="TableContents"/>
              <w:bidi w:val="0"/>
              <w:spacing w:before="0" w:after="283"/>
              <w:jc w:val="left"/>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w:t>
            </w:r>
          </w:p>
        </w:tc>
        <w:tc>
          <w:tcPr>
            <w:tcW w:w="213" w:type="dxa"/>
            <w:tcBorders/>
            <w:shd w:fill="CFF0FC"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5,461,202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12"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(135,010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4"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(119,898</w:t>
            </w:r>
          </w:p>
        </w:tc>
        <w:tc>
          <w:tcPr>
            <w:tcW w:w="21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213" w:type="dxa"/>
            <w:tcBorders/>
            <w:shd w:fill="FFFFFF" w:val="clear"/>
            <w:vAlign w:val="center"/>
          </w:tcPr>
          <w:p>
            <w:pPr>
              <w:pStyle w:val="TableContents"/>
              <w:bidi w:val="0"/>
              <w:spacing w:before="0" w:after="283"/>
              <w:jc w:val="left"/>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w:t>
            </w:r>
          </w:p>
        </w:tc>
        <w:tc>
          <w:tcPr>
            <w:tcW w:w="213" w:type="dxa"/>
            <w:tcBorders/>
            <w:shd w:fill="CFF0FC"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5,594,965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(127,275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213" w:type="dxa"/>
            <w:tcBorders/>
            <w:shd w:fill="FFFFFF" w:val="clear"/>
            <w:vAlign w:val="center"/>
          </w:tcPr>
          <w:p>
            <w:pPr>
              <w:pStyle w:val="TableContents"/>
              <w:bidi w:val="0"/>
              <w:spacing w:before="0" w:after="283"/>
              <w:jc w:val="left"/>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w:t>
            </w:r>
          </w:p>
        </w:tc>
        <w:tc>
          <w:tcPr>
            <w:tcW w:w="213" w:type="dxa"/>
            <w:tcBorders/>
            <w:shd w:fill="CFF0FC"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5,779,191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(135,982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4"/>
        <w:gridCol w:w="146"/>
        <w:gridCol w:w="146"/>
        <w:gridCol w:w="916"/>
        <w:gridCol w:w="146"/>
        <w:gridCol w:w="146"/>
        <w:gridCol w:w="196"/>
        <w:gridCol w:w="691"/>
        <w:gridCol w:w="146"/>
        <w:gridCol w:w="146"/>
        <w:gridCol w:w="146"/>
        <w:gridCol w:w="146"/>
        <w:gridCol w:w="826"/>
        <w:gridCol w:w="146"/>
        <w:gridCol w:w="146"/>
        <w:gridCol w:w="160"/>
        <w:gridCol w:w="379"/>
        <w:gridCol w:w="146"/>
        <w:gridCol w:w="146"/>
        <w:gridCol w:w="199"/>
        <w:gridCol w:w="612"/>
        <w:gridCol w:w="146"/>
        <w:gridCol w:w="146"/>
        <w:gridCol w:w="196"/>
        <w:gridCol w:w="751"/>
        <w:gridCol w:w="166"/>
        <w:gridCol w:w="146"/>
        <w:gridCol w:w="212"/>
        <w:gridCol w:w="814"/>
        <w:gridCol w:w="213"/>
      </w:tblGrid>
      <w:tr>
        <w:trPr/>
        <w:tc>
          <w:tcPr>
            <w:tcW w:w="1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16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5,123,735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12"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(97,025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4"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(86,398</w:t>
            </w:r>
          </w:p>
        </w:tc>
        <w:tc>
          <w:tcPr>
            <w:tcW w:w="21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w:t>
            </w:r>
          </w:p>
        </w:tc>
        <w:tc>
          <w:tcPr>
            <w:tcW w:w="213" w:type="dxa"/>
            <w:tcBorders/>
            <w:shd w:fill="FFFFFF" w:val="clear"/>
            <w:vAlign w:val="center"/>
          </w:tcPr>
          <w:p>
            <w:pPr>
              <w:pStyle w:val="TableContents"/>
              <w:bidi w:val="0"/>
              <w:spacing w:before="0" w:after="283"/>
              <w:jc w:val="left"/>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3" w:type="dxa"/>
            <w:tcBorders/>
            <w:shd w:fill="CFF0FC"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5,234,162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12"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(104,943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4"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(93,229</w:t>
            </w:r>
          </w:p>
        </w:tc>
        <w:tc>
          <w:tcPr>
            <w:tcW w:w="21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13" w:type="dxa"/>
            <w:tcBorders/>
            <w:shd w:fill="FFFFFF" w:val="clear"/>
            <w:vAlign w:val="center"/>
          </w:tcPr>
          <w:p>
            <w:pPr>
              <w:pStyle w:val="TableContents"/>
              <w:bidi w:val="0"/>
              <w:spacing w:before="0" w:after="283"/>
              <w:jc w:val="left"/>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213" w:type="dxa"/>
            <w:tcBorders/>
            <w:shd w:fill="CFF0FC"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5,335,150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(98,659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213" w:type="dxa"/>
            <w:tcBorders/>
            <w:shd w:fill="FFFFFF" w:val="clear"/>
            <w:vAlign w:val="center"/>
          </w:tcPr>
          <w:p>
            <w:pPr>
              <w:pStyle w:val="TableContents"/>
              <w:bidi w:val="0"/>
              <w:spacing w:before="0" w:after="283"/>
              <w:jc w:val="left"/>
              <w:rPr/>
            </w:pPr>
            <w:r>
              <w:rPr/>
              <w:t> </w:t>
            </w:r>
          </w:p>
        </w:tc>
      </w:tr>
      <w:tr>
        <w:trPr/>
        <w:tc>
          <w:tcPr>
            <w:tcW w:w="16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213" w:type="dxa"/>
            <w:tcBorders/>
            <w:shd w:fill="CFF0FC"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8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5,350,457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(118,215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(105,011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9"/>
        <w:gridCol w:w="146"/>
        <w:gridCol w:w="239"/>
        <w:gridCol w:w="838"/>
        <w:gridCol w:w="188"/>
        <w:gridCol w:w="165"/>
        <w:gridCol w:w="239"/>
        <w:gridCol w:w="838"/>
        <w:gridCol w:w="813"/>
      </w:tblGrid>
      <w:tr>
        <w:trPr/>
        <w:tc>
          <w:tcPr>
            <w:tcW w:w="6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7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center"/>
              <w:rPr/>
            </w:pPr>
            <w:r>
              <w:rPr/>
              <w:t> </w:t>
            </w:r>
          </w:p>
        </w:tc>
        <w:tc>
          <w:tcPr>
            <w:tcW w:w="188" w:type="dxa"/>
            <w:tcBorders/>
            <w:shd w:fill="CFF0FC" w:val="clear"/>
            <w:vAlign w:val="center"/>
          </w:tcPr>
          <w:p>
            <w:pPr>
              <w:pStyle w:val="TableContents"/>
              <w:bidi w:val="0"/>
              <w:spacing w:before="0" w:after="283"/>
              <w:jc w:val="center"/>
              <w:rPr/>
            </w:pPr>
            <w:r>
              <w:rPr/>
              <w:t> </w:t>
            </w:r>
          </w:p>
        </w:tc>
        <w:tc>
          <w:tcPr>
            <w:tcW w:w="165"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center"/>
              <w:rPr/>
            </w:pPr>
            <w:r>
              <w:rPr/>
              <w:t> </w:t>
            </w:r>
          </w:p>
        </w:tc>
        <w:tc>
          <w:tcPr>
            <w:tcW w:w="813" w:type="dxa"/>
            <w:tcBorders/>
            <w:shd w:fill="CFF0FC" w:val="clear"/>
            <w:vAlign w:val="center"/>
          </w:tcPr>
          <w:p>
            <w:pPr>
              <w:pStyle w:val="TableContents"/>
              <w:bidi w:val="0"/>
              <w:spacing w:before="0" w:after="283"/>
              <w:ind w:left="0" w:right="0" w:firstLine="200"/>
              <w:jc w:val="center"/>
              <w:rPr/>
            </w:pPr>
            <w:r>
              <w:rPr/>
              <w:t> </w:t>
            </w:r>
          </w:p>
        </w:tc>
      </w:tr>
      <w:tr>
        <w:trPr/>
        <w:tc>
          <w:tcPr>
            <w:tcW w:w="67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1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(21,190</w:t>
            </w:r>
          </w:p>
        </w:tc>
        <w:tc>
          <w:tcPr>
            <w:tcW w:w="813"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7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400"/>
              <w:jc w:val="right"/>
              <w:rPr/>
            </w:pPr>
            <w:r>
              <w:rPr/>
              <w:t> </w:t>
            </w:r>
          </w:p>
        </w:tc>
      </w:tr>
      <w:tr>
        <w:trPr/>
        <w:tc>
          <w:tcPr>
            <w:tcW w:w="673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8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673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81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8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673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813" w:type="dxa"/>
            <w:tcBorders/>
            <w:shd w:fill="CFF0FC" w:val="clear"/>
            <w:vAlign w:val="center"/>
          </w:tcPr>
          <w:p>
            <w:pPr>
              <w:pStyle w:val="TableContents"/>
              <w:bidi w:val="0"/>
              <w:spacing w:before="0" w:after="283"/>
              <w:ind w:left="0" w:right="0" w:firstLine="400"/>
              <w:jc w:val="left"/>
              <w:rPr/>
            </w:pPr>
            <w:r>
              <w:rPr/>
              <w:t> </w:t>
            </w:r>
          </w:p>
        </w:tc>
      </w:tr>
      <w:tr>
        <w:trPr/>
        <w:tc>
          <w:tcPr>
            <w:tcW w:w="673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8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color w:val="000000"/>
              </w:rPr>
            </w:pPr>
            <w:r>
              <w:rPr>
                <w:color w:val="000000"/>
              </w:rPr>
              <w:t>—</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673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disposal of property and equipment and recorders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813" w:type="dxa"/>
            <w:tcBorders/>
            <w:shd w:fill="CFF0FC" w:val="clear"/>
            <w:vAlign w:val="center"/>
          </w:tcPr>
          <w:p>
            <w:pPr>
              <w:pStyle w:val="TableContents"/>
              <w:bidi w:val="0"/>
              <w:spacing w:before="0" w:after="283"/>
              <w:ind w:left="0" w:right="0" w:firstLine="400"/>
              <w:jc w:val="left"/>
              <w:rPr/>
            </w:pPr>
            <w:r>
              <w:rPr/>
              <w:t> </w:t>
            </w:r>
          </w:p>
        </w:tc>
      </w:tr>
      <w:tr>
        <w:trPr/>
        <w:tc>
          <w:tcPr>
            <w:tcW w:w="673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813" w:type="dxa"/>
            <w:tcBorders/>
            <w:shd w:fill="FFFFFF" w:val="clear"/>
            <w:vAlign w:val="center"/>
          </w:tcPr>
          <w:p>
            <w:pPr>
              <w:pStyle w:val="TableContents"/>
              <w:bidi w:val="0"/>
              <w:spacing w:before="0" w:after="283"/>
              <w:ind w:left="0" w:right="0" w:firstLine="600"/>
              <w:jc w:val="right"/>
              <w:rPr/>
            </w:pPr>
            <w:r>
              <w:rPr/>
              <w:t> </w:t>
            </w:r>
          </w:p>
        </w:tc>
      </w:tr>
      <w:tr>
        <w:trPr/>
        <w:tc>
          <w:tcPr>
            <w:tcW w:w="673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813"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813"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813"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Contract costs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813"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non-current asset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813"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8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813" w:type="dxa"/>
            <w:tcBorders/>
            <w:shd w:fill="FFFFFF" w:val="clear"/>
            <w:vAlign w:val="center"/>
          </w:tcPr>
          <w:p>
            <w:pPr>
              <w:pStyle w:val="TableContents"/>
              <w:bidi w:val="0"/>
              <w:spacing w:before="0" w:after="283"/>
              <w:ind w:left="0" w:right="0" w:firstLine="600"/>
              <w:jc w:val="left"/>
              <w:rPr/>
            </w:pPr>
            <w:r>
              <w:rPr/>
              <w:t> </w:t>
            </w:r>
          </w:p>
        </w:tc>
      </w:tr>
      <w:tr>
        <w:trPr/>
        <w:tc>
          <w:tcPr>
            <w:tcW w:w="6739"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813" w:type="dxa"/>
            <w:tcBorders/>
            <w:shd w:fill="CFF0FC" w:val="clear"/>
            <w:vAlign w:val="center"/>
          </w:tcPr>
          <w:p>
            <w:pPr>
              <w:pStyle w:val="TableContents"/>
              <w:bidi w:val="0"/>
              <w:spacing w:before="0" w:after="283"/>
              <w:ind w:left="0" w:right="0" w:firstLine="600"/>
              <w:jc w:val="left"/>
              <w:rPr/>
            </w:pPr>
            <w:r>
              <w:rPr/>
              <w:t> </w:t>
            </w:r>
          </w:p>
        </w:tc>
      </w:tr>
      <w:tr>
        <w:trPr/>
        <w:tc>
          <w:tcPr>
            <w:tcW w:w="6739"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(25,068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(22,484</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813" w:type="dxa"/>
            <w:tcBorders/>
            <w:shd w:fill="FFFFFF" w:val="clear"/>
            <w:vAlign w:val="center"/>
          </w:tcPr>
          <w:p>
            <w:pPr>
              <w:pStyle w:val="TableContents"/>
              <w:bidi w:val="0"/>
              <w:spacing w:before="0" w:after="283"/>
              <w:ind w:left="0" w:right="0" w:firstLine="200"/>
              <w:jc w:val="right"/>
              <w:rPr/>
            </w:pPr>
            <w:r>
              <w:rPr/>
              <w:t> </w:t>
            </w:r>
          </w:p>
        </w:tc>
      </w:tr>
      <w:tr>
        <w:trPr/>
        <w:tc>
          <w:tcPr>
            <w:tcW w:w="67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recorder components and recorders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81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(1,080</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813" w:type="dxa"/>
            <w:tcBorders/>
            <w:shd w:fill="FFFFFF" w:val="clear"/>
            <w:vAlign w:val="center"/>
          </w:tcPr>
          <w:p>
            <w:pPr>
              <w:pStyle w:val="TableContents"/>
              <w:bidi w:val="0"/>
              <w:spacing w:before="0" w:after="283"/>
              <w:ind w:left="0" w:right="0" w:firstLine="200"/>
              <w:jc w:val="right"/>
              <w:rPr/>
            </w:pPr>
            <w:r>
              <w:rPr/>
              <w:t> </w:t>
            </w:r>
          </w:p>
        </w:tc>
      </w:tr>
      <w:tr>
        <w:trPr/>
        <w:tc>
          <w:tcPr>
            <w:tcW w:w="67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common stock pursuant to stock option exercises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7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debt issuance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8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color w:val="000000"/>
              </w:rPr>
            </w:pPr>
            <w:r>
              <w:rPr>
                <w:color w:val="000000"/>
              </w:rPr>
              <w:t>—</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67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color w:val="000000"/>
              </w:rPr>
            </w:pPr>
            <w:r>
              <w:rPr>
                <w:color w:val="000000"/>
              </w:rPr>
              <w:t>—</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7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deferred IPO offering costs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644</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(20,385</w:t>
            </w:r>
          </w:p>
        </w:tc>
        <w:tc>
          <w:tcPr>
            <w:tcW w:w="1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(22,920</w:t>
            </w:r>
          </w:p>
        </w:tc>
        <w:tc>
          <w:tcPr>
            <w:tcW w:w="81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68,235</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14,110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45,315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200"/>
              <w:jc w:val="right"/>
              <w:rPr/>
            </w:pPr>
            <w:r>
              <w:rPr/>
              <w:t> </w:t>
            </w:r>
          </w:p>
        </w:tc>
      </w:tr>
      <w:tr>
        <w:trPr/>
        <w:tc>
          <w:tcPr>
            <w:tcW w:w="67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1,194</w:t>
            </w:r>
          </w:p>
        </w:tc>
        <w:tc>
          <w:tcPr>
            <w:tcW w:w="18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1,313</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67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 obtained in exchange for operating lease obligation</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CFF0FC" w:val="clear"/>
            <w:vAlign w:val="center"/>
          </w:tcPr>
          <w:p>
            <w:pPr>
              <w:pStyle w:val="TableContents"/>
              <w:bidi w:val="0"/>
              <w:spacing w:before="0" w:after="283"/>
              <w:jc w:val="right"/>
              <w:rPr>
                <w:color w:val="000000"/>
              </w:rPr>
            </w:pPr>
            <w:r>
              <w:rPr>
                <w:color w:val="000000"/>
              </w:rPr>
              <w:t>—</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7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w:t>
            </w:r>
          </w:p>
        </w:tc>
        <w:tc>
          <w:tcPr>
            <w:tcW w:w="188"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67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Recorder components included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7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Unpaid deferred IPO offering costs included in 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CeriBell, Inc. (the “Company”) was incorporated in the state of Delaware as Brain Stethoscope, Inc., on August 29, 2014, and changed its name to CeriBell, Inc. on August 11, 2015, and maintains its principal office in Sunnyvale, California. The Company is a commercial-stage medical technology company focused on transforming the diagnosis and management of patients with serious neurological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Immediately prior to the closing of the Company’s IPO on October 15, 2024, all shares of the Company’s redeemable convertible preferred stock converted into shares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October 15, 2024, the Company completed its initial public offering of 12,196,969 shares of its common stock, which includes an additional 1,590,909 shares of common stock purchased by the underwriters pursuant to their option to purchase additional shares, at a price to the public of $17.00 per share. The gross proceeds to the Company from the initial public offering were approximately $207.3 million, before deducting underwriting discounts and commissions and estimated offering expenses payable by the Company. The shares and proceeds from the Company’s IPO and the underwriters’ exercise of their option to purchase additional shares are not reflected in the condensed financial statements as of and for the three and nine months ended September 30, 2024. All of the outstanding shares of convertible preferred stock were converted into common stock.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2024 and December 31, 2023, the Company’s principal sources of liquidity consisted of $14.1 million and $34.5 million of cash and cash equivalents,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On September 30, 2024 and December 31, 2023, the Company had an accumulated deficit of $154.4 million and $126.5 million, respectively.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6, 2024, the Company entered into a Venture Loan and Security Agreement (“VLSA”) with Silicon Valley Bank, a division of First-Citizens Bank &amp; Trust Company (“SVB”), as a lender, and Horizon Technology Finance Corporation (“Horizon”), as a lender and the collateral agent. The VLSA provides a term loan commitment of $50.0 million. The Company drew $20.0 million of the $50.0 million term loan commitment at closing, which was used to retire its existing debt with Horizon, pay transaction fees, and for general corporate purposes. The remaining $30.0 million term loan commitment consists of three tranches of $10.0 million commitments, expiring on each of December 31, 2024, March 31, 2025, and June 30, 2025. The maturity date of VLSA is March 1, 2029.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VLSA is secured by all assets of the Company, excluding intellectual property. There are no financial covenants as long as the net debt (defined as the difference between unrestricted cash and outstanding debt) does not exceed $40 million. Commencing on the last day of the calendar quarter in which the net debt exceeds $40.0 million and continuing until the repayment in full of the obligations (other than any inchoate indemnity obligations), the Company covenants, as of the last day of each fiscal quarter, to achieve annualized trailing six month revenue in an amount equal to or no less than its net debt balance. The Company must also maintain account balances in accounts at or through SVB representing at least fifty percent (50%) of the value of all deposit account balances all financial institutions through the time at which the debt has been repaid in full. Additionally, the Company shall obtain any business credit card, letter of credit and cash management services exclusively from SVB. In the event that the Company breaches one or more covenants, each lender’s obligation to lend its undisbursed portion of the loan commitment shall terminate and the lenders may choose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declare an event of default and require that the Company immediately repay all amounts outstanding of the aggregate principal amount, plus accrued interest, and foreclose on the collateral granted to it to secure such indebtedness.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 with the VLSA, the Company executed a Loan and Security Agreement with SVB to receive a senior revolving line of credit of up to $10.0 million (“Revolving Facility”). The Revolving Facility is secured by the Company's accounts receivable, inventory, and other property. There are no financial covenants as long as the net debt (defined as the difference between unrestricted cash and outstanding debt) does not exceed $40 million. Commencing on the last day of the calendar quarter in which the net debt exceeds $40.0 million and continuing until the repayment in full of the obligations, the Company covenants, as of the last day of each fiscal quarter, to achieve a recurring revenue ratio of not less than 1.00:1.00. The recurring revenue ratio is defined as annualized trailing six months of revenue divided by net debt. The Company may draw amounts up to 85% of the eligible trade receivables. In the event that the Company breaches one or more covenants, the lender may choose to declare an event of default and require that the Company immediately repay all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15, 2024, the Company completed its initial public offering and received gross proceeds of approximately $207.3 million, before deducting underwriting discounts and commissions and estimated offering expenses payable by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will be sufficient to fund the Company’s planned operating expenses and capital expenditure requirements for at least the next 12 months from the date these financial statements were available to be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(“GAAP”), and pursuant to the rules and regulations of the United States Securities and Exchange Commission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unaudited interim financial statements have been prepared on the same basis as the annual financial statements and, in the opinion of management, reflect all adjustments, which include only normal recurring adjustments, necessary to a fair statement of the Company’s financial position as of September 30, 2024, and the results of its operations for the three and nine months ended September 30, 2024 and 2023 and cash flows for the nine months ended September 30, 2024 and 2023. The condensed balance sheet at December 31, 2023, was derived from audited annual financial statements but does not contain all of the footnote disclosures from the annual financial statements. These interim financial results are not necessarily indicative of results expected for the full fiscal year or for any subsequent interim period and should be read in conjunction with the annual financial statements included in the Company’s final prospectus, dated October 10, 2024, filed with the SEC pursuant to Rule 424(b) under the Securities Act of 1933, as amended (the “Securities Act”) on October 11, 2024 (the “Prospectus”). </w:t>
      </w:r>
    </w:p>
    <w:p>
      <w:pPr>
        <w:pStyle w:val="TextBody"/>
        <w:bidi w:val="0"/>
        <w:spacing w:before="360" w:after="283"/>
        <w:jc w:val="both"/>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4, 2024, the Company amended and restated its amended and restated certificate of incorporation to effect a 1-for-2.57 reverse stock split of the Company’s common stock and redeemable convertible preferred stock (the “Reverse Stock Split”). The par value and authorized shares of the common stock and redeemable convertible preferred stock were not adjusted as a result of the Reverse Stock Split. All issued and outstanding common stock, preferred stock, options to purchase common stock, warrants to purchase redeemable convertible preferred stock and per share amounts contained in the financial statements have been retroactively adjusted to give effect to the Reverse Stock Split for all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valuation of warrants, valuation of the Company’s common stock (prior to the IPO), and valuation of the Company’s options to purchase common stock for purposes of accounting for stock-based compensation.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purchased with a maturity of three months or less on the date of acquisition to be cash equivalents. As of September 30, 2024 and December 31, 2023, cash and cash equivalents consist of cash in business checking accounts, demand deposit accounts, and money market funds.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accounts receivables at the invoiced amount. The Company maintains an allowance for credit losses for any receivables the Company may be unable to collect. The Company estimates uncollectible receivables on an individual basis based on the receivables’ age, customers’ expected ability to pay and collection history, and current economic conditions, among other factors that may affect customers’ ability to pay. The Company uses its judgment, based on the best available facts and circumstances, and records an allowance against amounts due to reduce the receivable to the amount that is expected to be collected. Allowances for credit losses are immaterial and included in accounts receivable, net on the balance sheets.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Inventory is recorded at the lower of cost or net realizable value, which approximates actual cost on the first-in, first-out basis. Inventory costs include direct materials, direct labor, and normal manufacturing overhead. The Company uses third party contract manufacturers to complete the manufacturing and assembly of material components on site. Final quality inspection and packaging is performed at the Company’s headquarters. Prior to the quality inspection and packaging, the inventory is considered component material. The Company periodically assesses the recoverability of all inventories to determine whether adjustments for impairment are required. The Company evaluates the related commercial mix of finished goods and other general obsolescence and impairment criteria in assessing the recoverability of the Company’s inventory and records a provision for excess, expired, and obsolete inventory based primarily on estimates of forecasted demand. Judgment is required in determining these provisions, and a change in the timing or level of demand for products, as compared to forecasted amounts, may result in recording additional provisions for excess, expired, and obsolete inventory in the future.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and amortization. Maintenance and repairs are charged to expense as incurred, and leasehold improvements are capitalized. When assets are retired or otherwise disposed of, the cost and accumulated depreciation and amortization are removed from the balance sheet and any resulting gain or loss is reflected in the statement of operations in the period realized. Depreciation and amortization are computed using the straight-line method over the estimated useful lives of the assets in accordance with the following table: </w:t>
      </w:r>
    </w:p>
    <w:p>
      <w:pPr>
        <w:pStyle w:val="TextBody"/>
        <w:bidi w:val="0"/>
        <w:spacing w:before="120" w:after="283"/>
        <w:jc w:val="both"/>
        <w:rPr/>
      </w:pPr>
      <w:r>
        <w:rPr/>
        <w:t> </w:t>
      </w:r>
    </w:p>
    <w:tbl>
      <w:tblPr>
        <w:tblW w:w="7333" w:type="dxa"/>
        <w:jc w:val="left"/>
        <w:tblInd w:w="0" w:type="dxa"/>
        <w:tblLayout w:type="fixed"/>
        <w:tblCellMar>
          <w:top w:w="28" w:type="dxa"/>
          <w:left w:w="28" w:type="dxa"/>
          <w:bottom w:w="28" w:type="dxa"/>
          <w:right w:w="28" w:type="dxa"/>
        </w:tblCellMar>
      </w:tblPr>
      <w:tblGrid>
        <w:gridCol w:w="3511"/>
        <w:gridCol w:w="146"/>
        <w:gridCol w:w="3676"/>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vAlign w:val="center"/>
          </w:tcPr>
          <w:p>
            <w:pPr>
              <w:pStyle w:val="TableContents"/>
              <w:bidi w:val="0"/>
              <w:spacing w:before="0" w:after="283"/>
              <w:jc w:val="left"/>
              <w:rPr/>
            </w:pPr>
            <w:r>
              <w:rPr/>
              <w:t> </w:t>
            </w:r>
          </w:p>
        </w:tc>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the useful life or term of the lease</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Right-of-Use Assets and Lease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determines if an arrangement is a lease, or contains a lease, at inception. The Company recognizes on its balance sheets operating lease liabilities representing the present value of future lease payments and an associated operating lease right-of-use (ROU) asset for any operating lease with a term greater than one year. As the Company leases do not provide an implicit rate, the Company generally uses an incremental borrowing rate based on the estimated rate of interest for collateralized borrowing over a term similar to the lease arrangement. Significant judgment is required in determining the incremental collateralized borrowing rate. Lease expense is recognized on a straight-line basis over the lease term.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Redeemable Convertible Preferred Stock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holders of the outstanding shares of redeemable convertible preferred stock do not have stated redemption rights; however, the holders of the redeemable convertible stock are entitled to preferential payments in the event of a sale, lease, transfer, exclusive license or other disposition of all or substantially all of the Company’s assets or intellectual property, the acquisition of the Company by another entity by means of any reorganization, merger, or consolidation following which the Company’s stockholders as of immediately prior to such acquisition fail to hold at least 50% of the voting power of the resulting entity, or a liquidation, dissolution or winding up of the Company (a “Deemed Liquidation Event”). Because a Deemed Liquidation Event is not solely within the Company’s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control, all shares of redeemable convertible preferred stock have been presented outside of permanent equity in the accompanying Balance Sheets for all periods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Company has issued freestanding warrants to purchase redeemable convertible preferred stock. The warrants are currently exercisable and are included in Other liabilities, long-term on the accompanying Balance Sheets. The redeemable convertible preferred stock warrants are subject to remeasurement at each balance sheet date, and any change in fair value is recognized as a component of non-operating income in the Statements of Operations and Comprehensive Loss. The Company uses the Black- Scholes option-pricing model to determine the fair value of the warrants.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accounts receivables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comprised 10% of the Company revenue for the three and nine months ended September 30, 2024 or 2023. No customers comprised 10% of the Company's accounts receivable balance as of September 30, 2024 or December 31,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liquidity and financial performance. There can be no assurance that the Company’s deposits in excess of the Federal Deposit Insurance Corporation (“FDIC”) or other comparable insurance limits will be backstopped by the U.S. or applicable foreign governments, or that any bank or financial institution with which the Company does business will be able to obtain needed liquidity from other banks, government institutions, or by acquisition in the event of a failure or liquidity crisis. The Company’s cash and cash equivalents are primarily held in money market funds.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include recorders, recorder components, and recorders at customer locations, as well as non-current deposits. The estimated useful life of recorders is three years and depreciation commences when recorders are placed into service at customer locations.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Deferred IPO Offering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IPO offering costs, consisting of legal fees, consulting fees, and accounting fees relating to the initial public offering are capitalized. The deferred IPO offering costs will be offset against offering proceeds upon the completion of the offering. The Company had no deferred IPO offering costs capitalized as of December 31, 2023. The Company had $3.9 million of deferred IPO offering costs capitalized as of September 30, 2024, included in other non-current assets. The deferred IPO offering costs will be reclassified as a reduction to equity as a result of the closing of the IPO in the fourth quarter of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reviews its long-lived assets, principally Property and Equipment and Right of Use Assets, for impairment whenever events or changes in circumstances indicate that the carrying amount of an asset may not be recoverable. Recoverability is measured by comparison of the carrying amount to the future cash flows that the assets are expected to generate. If such assets are considered to be impaired, the impairment to be recognized is measured by the amount by which the carrying amount of the assets exceeds the fair value of the assets. There have been no such impairments of long-lived assets recognized to 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of direct and indirect costs related to the manufacturing of the Company’s products as well as hosting costs for the Company’s Clarity and EEG portal subscription services. Direct costs include headband costs, depreciation of recorders at customer locations, and costs related to assembly and testing performed by the Company’s employees. Indirect costs consist of allocated overhead for employee costs and facility costs. Shipping and handling costs incurred for inventory purchases and product shipments as well as tariffs are recorded in cost of revenue in the statements of operations and comprehensive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About Segment and Geographic Areas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and manages its business as one reportable and operating segment. The Company’s chief executive officer, who is the chief operating decision maker, reviews financial information on an aggregate basis for purposes of allocating resources and evaluating financial performance. All of the Company’s revenue was in the United States for the three and nine months ended September 30, 2024 and 2023. Long-lived assets held outside of the United States are immaterial for the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an in-license arrangement with Stanford University whereby the Company owes low-single digit royalty percentages related to revenue that is derived pursuant to in-licensed technologies, subject to a minimum payment. Royalty obligations are expensed as cost of revenue, in the statements of operations and comprehensive loss, when incurred or over the minimum royalty periods and have not been material. The estimated future minimum payments are less than $0.1 million per year through the end of the patents’ lives. The Company has an option to extend the exclusivity of the license to the date the last licensed patent expires upon payment of a term exercise fee.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$48,000 and $47,000 for the three months ended September 30, 2024 and 2023, respectively, and $149,000 and $141,000, for the nine months ended September 30, 2024 and 2023,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charged to operations in the period incurred. Research and development costs include, but are not limited to, payroll and personnel and stock-based compensation expenses, laboratory supplies, consulting costs, and allocated overhead, including rent, equipment, depreciation, and utilities.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 in the statements of operations and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charges advertising costs to expense as incurred. Advertising costs were $108,000 and $272,000 for the three months ended September 30, 2024 and 2023, respectively, and were $271,000 and $384,000, for the nine months ended September 30, 2024 and 2023,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redeemable convertible preferred stock, stock options, and warrants to purchase convertible preferred stock on an as-converted basis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holders of redeemable convertible preferred stock do not have a contractual obligation to share in the Company’s losses. As such, the net loss was attributed entirely to common stockholders. Because the Company has reported a net loss for all periods presented, diluted net loss per common share is the same as basic net loss per common share for those periods.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stock-based compensation for employee and non-employee awards in accordance with ASC 718, </w:t>
      </w:r>
      <w:r>
        <w:rPr>
          <w:rFonts w:ascii="Times New Roman" w:hAnsi="Times New Roman"/>
          <w:i/>
          <w:color w:val="000000"/>
          <w:sz w:val="20"/>
        </w:rPr>
        <w:t xml:space="preserve">Compensation - Stock Compensation. </w:t>
      </w:r>
      <w:r>
        <w:rPr>
          <w:rFonts w:ascii="Times New Roman" w:hAnsi="Times New Roman"/>
          <w:color w:val="000000"/>
          <w:sz w:val="20"/>
        </w:rPr>
        <w:t>ASC 718 requires the recognition of compensation expense, using a fair value-based method, for costs related to all service-based share- based payments, including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estimates the fair value of options granted to employees on the grant date using the Black-Scholes option valuation model. This valuation model for stock-based compensation expense requires the Company to make assumptions and judgments about the variables used in the calculation, including the value of the Company’s stock, the expected volatility of the Company’s common stock, the expected term (based on an average of the midpoint of the requisite service period and the contractual term, and the historical exercise behavior), the risk-free interest rate and expected dividends.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Comprehensive loss includes net loss as well as other changes in stockholders’ deficit that result from transactions and economic events other than those with stockholders. For the three and nine months ended September 30, 2024 and 2023, there was no difference between net loss and comprehensive loss.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deferred tax assets and liabilities for the expected future tax consequences of events that have been included in the Company’s balance sheets and income tax returns. Deferred tax assets and liabilities are determined based on the differences between the financial statement carrying amounts and the tax bases of assets and liabilities and for loss and credit carryforwards using the enacted rates expected to be in effect when the differences are expected to reverse. The Company evaluates the realizability of its deferred tax assets and records a valuation allowance if it is more likely than not that some or all of the deferred tax assets may not be realized.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assesses its income tax positions and records tax benefits based upon management’s evaluation of the facts, circumstances, and information available at the reporting date. The Company accounts for uncertainty in income taxes based on the guidance within ASC 740-10, which requires a more-likely-than-not threshold for financial statement recognition and measurement of tax positions taken or expected to be taken in a tax return. For those tax positions where it is more likely than not that a tax benefit will be sustained, the Company records the largest amount of tax benefit with a greater than 50% likelihood of being realized upon ultimate settlement with a taxing authority having full knowledge of all relevant information. For those income tax positions where it is not more likely than not that a tax benefit will be sustained, no tax benefit is recognized in the financial statements. The Company classifies interest and penalties on uncertain tax positions as income tax expense.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August 2020, the FASB issued ASU 2020-06, </w:t>
      </w:r>
      <w:r>
        <w:rPr>
          <w:rFonts w:ascii="Times New Roman" w:hAnsi="Times New Roman"/>
          <w:i/>
          <w:color w:val="000000"/>
          <w:sz w:val="20"/>
        </w:rPr>
        <w:t xml:space="preserve">Debt-Debt with Conversion and Other Options (Subtopic 470-20) and Derivatives and Hedging-Contracts in Entity’s Own Equity (Subtopic 815-40): Accounting for Convertible Instruments and Contracts in an Entity’s Own Equity. </w:t>
      </w:r>
      <w:r>
        <w:rPr>
          <w:rFonts w:ascii="Times New Roman" w:hAnsi="Times New Roman"/>
          <w:color w:val="000000"/>
          <w:sz w:val="20"/>
        </w:rPr>
        <w:t>The amendment simplifies the accounting for certain financial instruments with characteristics of liabilities and equity, including convertible instruments and contracts on an entity’s own equity.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On January 1, 2024, the Company adopted ASU 2020-06, which had an immaterial impact on its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FASB issued ASU 2023-07 Segment Reporting—Improvements to Reportable Segment Disclosures. The amendment expands segment disclosures by requiring disclosure of significant segment expenses that are regularly provided to the chief operating decision maker (CODM), the amount and description of other segment items, permits companies to disclose more than one measure of segment profit or loss, and requires all annual segment disclosures to be included in the interim periods. The amendments do not change how an entity identifies its operating segments, aggregates those operating segments, or applies quantitative thresholds to determine its reportable segments. The amendments are effective for fiscal years beginning after December 15, 2023 and interim periods within fiscal years beginning after December 15, 2024. Early adoption is permitted. The adoption of ASU 2023-07 will impact the Company’s disclosures only.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The amendments expand income tax disclosure requirements by requiring an entity to disclose (i) specific categories in the rate reconciliation, (ii) additional information for reconciling items that meet a quantitative threshold, and (iii) the amount of taxes paid disaggregated by jurisdiction. The amendments are effective for fiscal years beginning after December 15, 2024. Early adoption is permitted. The adoption of ASU 2023-09 will impact the Company’s disclosures only and the Company is evaluating the effect of adopting the new disclosure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We are currently evaluating the impact this ASU will have on our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recognizes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w:t>
      </w:r>
      <w:r>
        <w:rPr>
          <w:rFonts w:ascii="Times New Roman" w:hAnsi="Times New Roman"/>
          <w:color w:val="212428"/>
          <w:sz w:val="20"/>
        </w:rPr>
        <w:t>ASC 606 established a principle for recognizing revenue upon the transfer of promised goods or services to customers, in an amount that reflects the expected consideration received in exchange for those goods or services. The core principle of ASC 606 is to recognize revenue to depict the transfer of promised goods or services to the Company’s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Topic 606, the Company recognizes revenue through the following steps: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a contract with a customer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the performance obligations in the contract, including the evaluation of performance obligations and the distinct goods or services in a contract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Analysis of the Standalone Selling Price (SSP) and allocation of the transaction price to the performance obligations in the contract, as appropriate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Recognition of revenue when, or as, the performance obligation is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a contract when both parties have approved the contract and the Company is committed to perform its obligations, the rights of the parties are identified, payment terms (generally net 30 days) are identified, the contract has commercial substance, and collectability of consideration is probable.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is recognized upon transfer of control of promised products to the customer in an amount reflecting the consideration that is expected to be received in exchange for those products. The Company enters into contracts that include one or more products that are generally capable of being distinct and accounted for as individual performance obligations, in addition to a monthly subscription fee that is generally capable of being distinct and accounted for as an individual performance obligation.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Identification and Satisfaction of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revenue is derived from the sale of its products to medical groups and hospitals through its direct sales force throughout the U.S. Performance obligations in the Company’s contracts that are satisfied at a point in time include EEG headbands and EEG recorders sold to customers. The Company recognizes revenue for its EEG recorders sold separately from subscriptions and its EEG headbands upon transfer of control to the customer at a point in time. Performance obligations in the Company’s contracts that are satisfied over time include the EEG portal and Clarity software-as-a-service (SaaS) subscription products. For its Clarity and portal subscription products, the Company recognizes revenue ratably over the period in which the customer has the ability to consume and receive benefit from its access to the subscription, which is generally month to month. The Company’s Clarity subscriptions include the use of EEG recorders by the customer over the subscription term. The Company identifies the EEG recorders used in conjunction with a subscription as an operating lease component in its arrangements with its customers and identifies the subscription as a non-lease component in its arrangements with its customers, which the Company determined to be predominant. The lease and non-lease revenue components have similar patterns of revenue recognition, and as such, allows the Company to elect the practical expedient to not separate the lease and non-lease components. Therefore, the overall arrangement is accounted for under ASC 606.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consideration associated with customer contracts includes both fixed and variable amounts. Variable consideration includes discounts, rebates, credits, incentives, penalties, or other similar items. The amount of consideration that can vary is less than 1% of total annual consideration. Variable consideration estimates are reassessed at each reporting period until the contingency is resolved. The changes to the transaction price due to a change in estimated variable consideration are recorded as an adjustment to revenue in the period the estimate is changed. Changes to variable consideration are tracked and material changes are disclosed. Such changes were immaterial for the three and nine months ended September 30, 2024 and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excludes sales tax from the transaction price and presents, as an accounting policy election, amounts collected from customers for sales and other taxes net of the related amounts remitted.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performance obligation is a promise in a contract to transfer a distinct good or service to the customer and is the basis of revenue recognition in accordance with GAAP. To determine the proper revenue recognition method for contracts, the Company evaluates whether two or more contracts should be combined and accounted for as one single contract and whether the combined or single contract should be accounted for as more than one performance obligation. This evaluation requires judgment, and the decision to combine a group of contracts or separate the combined or single contract into multiple performance obligations could change the amount of revenue and profit recorded in a given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about disaggregated revenue from contracts with customers by the nature of products and services provided (in thousands):</w:t>
      </w:r>
    </w:p>
    <w:p>
      <w:pPr>
        <w:pStyle w:val="TextBody"/>
        <w:bidi w:val="0"/>
        <w:jc w:val="both"/>
        <w:rPr/>
      </w:pPr>
      <w:r>
        <w:rPr/>
        <w:t> </w:t>
      </w:r>
    </w:p>
    <w:tbl>
      <w:tblPr>
        <w:tblW w:w="9911" w:type="dxa"/>
        <w:jc w:val="left"/>
        <w:tblInd w:w="0" w:type="dxa"/>
        <w:tblLayout w:type="fixed"/>
        <w:tblCellMar>
          <w:top w:w="28" w:type="dxa"/>
          <w:left w:w="28" w:type="dxa"/>
          <w:bottom w:w="28" w:type="dxa"/>
          <w:right w:w="28" w:type="dxa"/>
        </w:tblCellMar>
      </w:tblPr>
      <w:tblGrid>
        <w:gridCol w:w="4096"/>
        <w:gridCol w:w="146"/>
        <w:gridCol w:w="269"/>
        <w:gridCol w:w="864"/>
        <w:gridCol w:w="186"/>
        <w:gridCol w:w="186"/>
        <w:gridCol w:w="269"/>
        <w:gridCol w:w="864"/>
        <w:gridCol w:w="146"/>
        <w:gridCol w:w="146"/>
        <w:gridCol w:w="260"/>
        <w:gridCol w:w="834"/>
        <w:gridCol w:w="180"/>
        <w:gridCol w:w="180"/>
        <w:gridCol w:w="260"/>
        <w:gridCol w:w="834"/>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recorders and EEG headbands, point in time</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35,932</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w:t>
            </w:r>
          </w:p>
        </w:tc>
        <w:tc>
          <w:tcPr>
            <w:tcW w:w="191" w:type="dxa"/>
            <w:tcBorders/>
            <w:shd w:fill="CFF0FC" w:val="clear"/>
            <w:vAlign w:val="center"/>
          </w:tcPr>
          <w:p>
            <w:pPr>
              <w:pStyle w:val="TableContents"/>
              <w:bidi w:val="0"/>
              <w:spacing w:before="0" w:after="283"/>
              <w:jc w:val="left"/>
              <w:rPr/>
            </w:pPr>
            <w:r>
              <w:rPr/>
              <w:t> </w:t>
            </w:r>
          </w:p>
        </w:tc>
      </w:tr>
      <w:tr>
        <w:trPr/>
        <w:tc>
          <w:tcPr>
            <w:tcW w:w="4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portal and Clarity subscriptions, over time</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17,195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46,910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Currently, the Company’s customers are solely in the United States.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capitalized contract costs (in thousands):</w:t>
      </w:r>
    </w:p>
    <w:p>
      <w:pPr>
        <w:pStyle w:val="TextBody"/>
        <w:bidi w:val="0"/>
        <w:jc w:val="both"/>
        <w:rPr/>
      </w:pPr>
      <w:r>
        <w:rPr/>
        <w:t> </w:t>
      </w:r>
    </w:p>
    <w:tbl>
      <w:tblPr>
        <w:tblW w:w="10098" w:type="dxa"/>
        <w:jc w:val="left"/>
        <w:tblInd w:w="0" w:type="dxa"/>
        <w:tblLayout w:type="fixed"/>
        <w:tblCellMar>
          <w:top w:w="28" w:type="dxa"/>
          <w:left w:w="28" w:type="dxa"/>
          <w:bottom w:w="28" w:type="dxa"/>
          <w:right w:w="28" w:type="dxa"/>
        </w:tblCellMar>
      </w:tblPr>
      <w:tblGrid>
        <w:gridCol w:w="3941"/>
        <w:gridCol w:w="246"/>
        <w:gridCol w:w="268"/>
        <w:gridCol w:w="726"/>
        <w:gridCol w:w="338"/>
        <w:gridCol w:w="312"/>
        <w:gridCol w:w="268"/>
        <w:gridCol w:w="726"/>
        <w:gridCol w:w="266"/>
        <w:gridCol w:w="246"/>
        <w:gridCol w:w="245"/>
        <w:gridCol w:w="733"/>
        <w:gridCol w:w="309"/>
        <w:gridCol w:w="285"/>
        <w:gridCol w:w="245"/>
        <w:gridCol w:w="733"/>
        <w:gridCol w:w="211"/>
      </w:tblGrid>
      <w:tr>
        <w:trPr/>
        <w:tc>
          <w:tcPr>
            <w:tcW w:w="39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 balance beginning of the period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338"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309"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211" w:type="dxa"/>
            <w:tcBorders/>
            <w:shd w:fill="CFF0FC" w:val="clear"/>
            <w:vAlign w:val="center"/>
          </w:tcPr>
          <w:p>
            <w:pPr>
              <w:pStyle w:val="TableContents"/>
              <w:bidi w:val="0"/>
              <w:spacing w:before="0" w:after="283"/>
              <w:jc w:val="left"/>
              <w:rPr/>
            </w:pPr>
            <w:r>
              <w:rPr/>
              <w:t> </w:t>
            </w:r>
          </w:p>
        </w:tc>
      </w:tr>
      <w:tr>
        <w:trPr/>
        <w:tc>
          <w:tcPr>
            <w:tcW w:w="39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capitalized during the year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338" w:type="dxa"/>
            <w:tcBorders/>
            <w:shd w:fill="FFFFFF" w:val="clear"/>
            <w:vAlign w:val="center"/>
          </w:tcPr>
          <w:p>
            <w:pPr>
              <w:pStyle w:val="TableContents"/>
              <w:bidi w:val="0"/>
              <w:spacing w:before="0" w:after="283"/>
              <w:ind w:left="0" w:right="0" w:firstLine="100"/>
              <w:jc w:val="left"/>
              <w:rPr/>
            </w:pPr>
            <w:r>
              <w:rPr/>
              <w:t> </w:t>
            </w:r>
          </w:p>
        </w:tc>
        <w:tc>
          <w:tcPr>
            <w:tcW w:w="312" w:type="dxa"/>
            <w:tcBorders/>
            <w:shd w:fill="FFFFFF" w:val="clear"/>
            <w:vAlign w:val="center"/>
          </w:tcPr>
          <w:p>
            <w:pPr>
              <w:pStyle w:val="TableContents"/>
              <w:bidi w:val="0"/>
              <w:spacing w:before="0" w:after="283"/>
              <w:ind w:left="100" w:right="0" w:firstLine="100"/>
              <w:jc w:val="left"/>
              <w:rPr/>
            </w:pPr>
            <w:r>
              <w:rPr/>
              <w:t> </w:t>
            </w:r>
          </w:p>
        </w:tc>
        <w:tc>
          <w:tcPr>
            <w:tcW w:w="268"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309" w:type="dxa"/>
            <w:tcBorders/>
            <w:shd w:fill="FFFFFF" w:val="clear"/>
            <w:vAlign w:val="center"/>
          </w:tcPr>
          <w:p>
            <w:pPr>
              <w:pStyle w:val="TableContents"/>
              <w:bidi w:val="0"/>
              <w:spacing w:before="0" w:after="283"/>
              <w:ind w:left="0" w:right="0" w:firstLine="100"/>
              <w:jc w:val="left"/>
              <w:rPr/>
            </w:pPr>
            <w:r>
              <w:rPr/>
              <w:t> </w:t>
            </w:r>
          </w:p>
        </w:tc>
        <w:tc>
          <w:tcPr>
            <w:tcW w:w="285" w:type="dxa"/>
            <w:tcBorders/>
            <w:shd w:fill="FFFFFF" w:val="clear"/>
            <w:vAlign w:val="center"/>
          </w:tcPr>
          <w:p>
            <w:pPr>
              <w:pStyle w:val="TableContents"/>
              <w:bidi w:val="0"/>
              <w:spacing w:before="0" w:after="283"/>
              <w:ind w:left="100" w:right="0" w:firstLine="100"/>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211" w:type="dxa"/>
            <w:tcBorders/>
            <w:shd w:fill="FFFFFF" w:val="clear"/>
            <w:vAlign w:val="center"/>
          </w:tcPr>
          <w:p>
            <w:pPr>
              <w:pStyle w:val="TableContents"/>
              <w:bidi w:val="0"/>
              <w:spacing w:before="0" w:after="283"/>
              <w:jc w:val="left"/>
              <w:rPr/>
            </w:pPr>
            <w:r>
              <w:rPr/>
              <w:t> </w:t>
            </w:r>
          </w:p>
        </w:tc>
      </w:tr>
      <w:tr>
        <w:trPr/>
        <w:tc>
          <w:tcPr>
            <w:tcW w:w="394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amortized during the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Costs as of period end</w:t>
            </w:r>
          </w:p>
        </w:tc>
        <w:tc>
          <w:tcPr>
            <w:tcW w:w="2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3,050</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3,050</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Contract Liabilities and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liabilities consist of up-front payments received from customers primarily for the Clarity SaaS subscriptions. Contract liabilities related to up-front payments received from customers were $138,000 and $240,000 as of September 30, 2024 and 2023,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contract liabilities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90"/>
        <w:gridCol w:w="146"/>
        <w:gridCol w:w="318"/>
        <w:gridCol w:w="727"/>
        <w:gridCol w:w="250"/>
        <w:gridCol w:w="220"/>
        <w:gridCol w:w="318"/>
        <w:gridCol w:w="727"/>
        <w:gridCol w:w="166"/>
        <w:gridCol w:w="146"/>
        <w:gridCol w:w="308"/>
        <w:gridCol w:w="703"/>
        <w:gridCol w:w="242"/>
        <w:gridCol w:w="213"/>
        <w:gridCol w:w="308"/>
        <w:gridCol w:w="703"/>
        <w:gridCol w:w="220"/>
      </w:tblGrid>
      <w:tr>
        <w:trPr/>
        <w:tc>
          <w:tcPr>
            <w:tcW w:w="4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beginning of the period</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5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42"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20" w:type="dxa"/>
            <w:tcBorders/>
            <w:shd w:fill="CFF0FC"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Contract Liabilities revenue during the period</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5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24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20" w:type="dxa"/>
            <w:tcBorders/>
            <w:shd w:fill="FFFFFF" w:val="clear"/>
            <w:vAlign w:val="center"/>
          </w:tcPr>
          <w:p>
            <w:pPr>
              <w:pStyle w:val="TableContents"/>
              <w:bidi w:val="0"/>
              <w:spacing w:before="0" w:after="283"/>
              <w:jc w:val="left"/>
              <w:rPr/>
            </w:pPr>
            <w:r>
              <w:rPr/>
              <w:t> </w:t>
            </w:r>
          </w:p>
        </w:tc>
      </w:tr>
      <w:tr>
        <w:trPr/>
        <w:tc>
          <w:tcPr>
            <w:tcW w:w="44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recognized during the period</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9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period end</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short-term remaining performance obligations are expected to be recognized within 12 months and non-current performance obligations are expected to be recognized within 5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This level consists of quoted prices (unadjusted) in active markets that are accessible at the measurement date for assets or liabilities. The fair value hierarchy gives the highest priority to Level 1 inputs.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This level consists of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This level consists of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represent the Company’s financial assets and liabilities according to the fair value hierarchy, measured at fair value (in thousands):</w:t>
      </w:r>
    </w:p>
    <w:p>
      <w:pPr>
        <w:pStyle w:val="TextBody"/>
        <w:bidi w:val="0"/>
        <w:jc w:val="left"/>
        <w:rPr/>
      </w:pPr>
      <w:r>
        <w:rPr/>
        <w:t> </w:t>
      </w:r>
    </w:p>
    <w:tbl>
      <w:tblPr>
        <w:tblW w:w="7500" w:type="dxa"/>
        <w:jc w:val="left"/>
        <w:tblInd w:w="0" w:type="dxa"/>
        <w:tblLayout w:type="fixed"/>
        <w:tblCellMar>
          <w:top w:w="28" w:type="dxa"/>
          <w:left w:w="28" w:type="dxa"/>
          <w:bottom w:w="28" w:type="dxa"/>
          <w:right w:w="28" w:type="dxa"/>
        </w:tblCellMar>
      </w:tblPr>
      <w:tblGrid>
        <w:gridCol w:w="2551"/>
        <w:gridCol w:w="446"/>
        <w:gridCol w:w="211"/>
        <w:gridCol w:w="676"/>
        <w:gridCol w:w="146"/>
        <w:gridCol w:w="146"/>
        <w:gridCol w:w="239"/>
        <w:gridCol w:w="391"/>
        <w:gridCol w:w="146"/>
        <w:gridCol w:w="146"/>
        <w:gridCol w:w="211"/>
        <w:gridCol w:w="421"/>
        <w:gridCol w:w="146"/>
        <w:gridCol w:w="146"/>
        <w:gridCol w:w="211"/>
        <w:gridCol w:w="676"/>
        <w:gridCol w:w="591"/>
      </w:tblGrid>
      <w:tr>
        <w:trPr/>
        <w:tc>
          <w:tcPr>
            <w:tcW w:w="25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2023</w:t>
            </w:r>
          </w:p>
        </w:tc>
        <w:tc>
          <w:tcPr>
            <w:tcW w:w="4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551" w:type="dxa"/>
            <w:tcBorders/>
            <w:shd w:fill="CFF0FC" w:val="cle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446" w:type="dxa"/>
            <w:tcBorders/>
            <w:shd w:fill="CFF0FC" w:val="clear"/>
            <w:vAlign w:val="center"/>
          </w:tcPr>
          <w:p>
            <w:pPr>
              <w:pStyle w:val="TableContents"/>
              <w:bidi w:val="0"/>
              <w:spacing w:before="0" w:after="283"/>
              <w:ind w:left="30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Assets,</w:t>
            </w:r>
            <w:r>
              <w:rPr>
                <w:rFonts w:ascii="Times New Roman" w:hAnsi="Times New Roman"/>
                <w:color w:val="000000"/>
                <w:sz w:val="20"/>
              </w:rPr>
              <w:t> at fair value</w:t>
            </w:r>
          </w:p>
        </w:tc>
        <w:tc>
          <w:tcPr>
            <w:tcW w:w="4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4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55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w:t>
            </w:r>
          </w:p>
        </w:tc>
        <w:tc>
          <w:tcPr>
            <w:tcW w:w="4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Liabilities, </w:t>
            </w:r>
            <w:r>
              <w:rPr>
                <w:rFonts w:ascii="Times New Roman" w:hAnsi="Times New Roman"/>
                <w:color w:val="000000"/>
                <w:sz w:val="20"/>
              </w:rPr>
              <w:t>at fair value</w:t>
            </w:r>
          </w:p>
        </w:tc>
        <w:tc>
          <w:tcPr>
            <w:tcW w:w="4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50" w:type="dxa"/>
        <w:jc w:val="left"/>
        <w:tblInd w:w="0" w:type="dxa"/>
        <w:tblLayout w:type="fixed"/>
        <w:tblCellMar>
          <w:top w:w="28" w:type="dxa"/>
          <w:left w:w="28" w:type="dxa"/>
          <w:bottom w:w="28" w:type="dxa"/>
          <w:right w:w="28" w:type="dxa"/>
        </w:tblCellMar>
      </w:tblPr>
      <w:tblGrid>
        <w:gridCol w:w="2551"/>
        <w:gridCol w:w="146"/>
        <w:gridCol w:w="211"/>
        <w:gridCol w:w="676"/>
        <w:gridCol w:w="146"/>
        <w:gridCol w:w="146"/>
        <w:gridCol w:w="239"/>
        <w:gridCol w:w="391"/>
        <w:gridCol w:w="146"/>
        <w:gridCol w:w="146"/>
        <w:gridCol w:w="211"/>
        <w:gridCol w:w="571"/>
        <w:gridCol w:w="146"/>
        <w:gridCol w:w="146"/>
        <w:gridCol w:w="211"/>
        <w:gridCol w:w="676"/>
        <w:gridCol w:w="5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September 30, 2024</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5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Assets, </w:t>
            </w:r>
            <w:r>
              <w:rPr>
                <w:rFonts w:ascii="Times New Roman" w:hAnsi="Times New Roman"/>
                <w:color w:val="000000"/>
                <w:sz w:val="20"/>
              </w:rPr>
              <w:t>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Liabilities, </w:t>
            </w:r>
            <w:r>
              <w:rPr>
                <w:rFonts w:ascii="Times New Roman" w:hAnsi="Times New Roman"/>
                <w:color w:val="000000"/>
                <w:sz w:val="20"/>
              </w:rPr>
              <w:t>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carrying amount of the Company’s notes payable is carried at amortized cost and approximates its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valuation technique used to measure the fair value of money market funds is derived from quoted prices in active markets for identical assets or liabilities, which is categorized as Level 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value of the warrants to purchase the Company’s redeemable convertible preferred stock is dependent on the inputs for which there is little or no market data, in particular the value of the Company’s stock. As a result, the valuation of the warrants is categorized as Level 3. When a determination is made to classify a financial instrument within Level 3, the determination is based upon the lowest level of significance of the unobservable inputs to the overall fair value measurement. However, Level 3 financial instruments typically include, in addition to the unobservable inputs, observable inputs (that is, components that are actively quoted and can be validated to external sources). Accordingly, the gain or loss for changes in fair value recognized in the statements of operations and comprehensive loss are due in part, to observable factors that are part of the Level 3 methodology recognized. Warrants are included in Other liabilities, long-term on the balance sheets. The fair values could change significantly based on future market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the warrant liability was determined using the Black-Scholes option pricing model using the following assumptions, as well as the estimates of the valuation of the underlying preferred stock:</w:t>
      </w:r>
    </w:p>
    <w:p>
      <w:pPr>
        <w:pStyle w:val="TextBody"/>
        <w:bidi w:val="0"/>
        <w:jc w:val="both"/>
        <w:rPr/>
      </w:pPr>
      <w:r>
        <w:rPr/>
        <w:t> </w:t>
      </w:r>
    </w:p>
    <w:tbl>
      <w:tblPr>
        <w:tblW w:w="5745" w:type="dxa"/>
        <w:jc w:val="left"/>
        <w:tblInd w:w="0" w:type="dxa"/>
        <w:tblLayout w:type="fixed"/>
        <w:tblCellMar>
          <w:top w:w="28" w:type="dxa"/>
          <w:left w:w="28" w:type="dxa"/>
          <w:bottom w:w="28" w:type="dxa"/>
          <w:right w:w="28" w:type="dxa"/>
        </w:tblCellMar>
      </w:tblPr>
      <w:tblGrid>
        <w:gridCol w:w="2086"/>
        <w:gridCol w:w="146"/>
        <w:gridCol w:w="448"/>
        <w:gridCol w:w="1067"/>
        <w:gridCol w:w="146"/>
        <w:gridCol w:w="146"/>
        <w:gridCol w:w="449"/>
        <w:gridCol w:w="106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5.58 - 9.36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6.00 - 7.00</w:t>
            </w:r>
          </w:p>
        </w:tc>
        <w:tc>
          <w:tcPr>
            <w:tcW w:w="191"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 - 63.70%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 - 76.00%</w:t>
            </w:r>
          </w:p>
        </w:tc>
        <w:tc>
          <w:tcPr>
            <w:tcW w:w="191" w:type="dxa"/>
            <w:tcBorders/>
            <w:shd w:fill="FFFFFF" w:val="clear"/>
            <w:vAlign w:val="center"/>
          </w:tcPr>
          <w:p>
            <w:pPr>
              <w:pStyle w:val="TableContents"/>
              <w:bidi w:val="0"/>
              <w:spacing w:before="0" w:after="283"/>
              <w:jc w:val="righ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 - 3.80%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 - 4.60%</w:t>
            </w:r>
          </w:p>
        </w:tc>
        <w:tc>
          <w:tcPr>
            <w:tcW w:w="191" w:type="dxa"/>
            <w:tcBorders/>
            <w:shd w:fill="CFF0FC" w:val="clear"/>
            <w:vAlign w:val="center"/>
          </w:tcPr>
          <w:p>
            <w:pPr>
              <w:pStyle w:val="TableContents"/>
              <w:bidi w:val="0"/>
              <w:spacing w:before="0" w:after="283"/>
              <w:jc w:val="righ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Balance Sheet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725" w:type="dxa"/>
        <w:jc w:val="left"/>
        <w:tblInd w:w="0" w:type="dxa"/>
        <w:tblLayout w:type="fixed"/>
        <w:tblCellMar>
          <w:top w:w="28" w:type="dxa"/>
          <w:left w:w="28" w:type="dxa"/>
          <w:bottom w:w="28" w:type="dxa"/>
          <w:right w:w="28" w:type="dxa"/>
        </w:tblCellMar>
      </w:tblPr>
      <w:tblGrid>
        <w:gridCol w:w="1861"/>
        <w:gridCol w:w="146"/>
        <w:gridCol w:w="307"/>
        <w:gridCol w:w="833"/>
        <w:gridCol w:w="146"/>
        <w:gridCol w:w="146"/>
        <w:gridCol w:w="294"/>
        <w:gridCol w:w="80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materials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91" w:type="dxa"/>
            <w:tcBorders/>
            <w:shd w:fill="CFF0FC" w:val="clear"/>
            <w:vAlign w:val="center"/>
          </w:tcPr>
          <w:p>
            <w:pPr>
              <w:pStyle w:val="TableContents"/>
              <w:bidi w:val="0"/>
              <w:spacing w:before="0" w:after="283"/>
              <w:jc w:val="lef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5,868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comprised of the following (in thousands):</w:t>
      </w:r>
    </w:p>
    <w:p>
      <w:pPr>
        <w:pStyle w:val="TextBody"/>
        <w:bidi w:val="0"/>
        <w:jc w:val="left"/>
        <w:rPr/>
      </w:pPr>
      <w:r>
        <w:rPr/>
        <w:t> </w:t>
      </w:r>
    </w:p>
    <w:tbl>
      <w:tblPr>
        <w:tblW w:w="6975" w:type="dxa"/>
        <w:jc w:val="left"/>
        <w:tblInd w:w="0" w:type="dxa"/>
        <w:tblLayout w:type="fixed"/>
        <w:tblCellMar>
          <w:top w:w="28" w:type="dxa"/>
          <w:left w:w="28" w:type="dxa"/>
          <w:bottom w:w="28" w:type="dxa"/>
          <w:right w:w="28" w:type="dxa"/>
        </w:tblCellMar>
      </w:tblPr>
      <w:tblGrid>
        <w:gridCol w:w="4111"/>
        <w:gridCol w:w="146"/>
        <w:gridCol w:w="307"/>
        <w:gridCol w:w="833"/>
        <w:gridCol w:w="146"/>
        <w:gridCol w:w="146"/>
        <w:gridCol w:w="294"/>
        <w:gridCol w:w="80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9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91"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9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91" w:type="dxa"/>
            <w:tcBorders/>
            <w:shd w:fill="FFFFFF" w:val="clear"/>
            <w:vAlign w:val="center"/>
          </w:tcPr>
          <w:p>
            <w:pPr>
              <w:pStyle w:val="TableContents"/>
              <w:bidi w:val="0"/>
              <w:spacing w:before="0" w:after="283"/>
              <w:jc w:val="righ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2,945</w:t>
            </w:r>
          </w:p>
        </w:tc>
        <w:tc>
          <w:tcPr>
            <w:tcW w:w="19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$164,000 and $173,000 for the three months ended September 30, 2024 and 2023, respectively, and $482,000 and $373,000 for the nine months ended September 30, 2024 and 2023,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are comprised of the following (in thousands):</w:t>
      </w:r>
    </w:p>
    <w:p>
      <w:pPr>
        <w:pStyle w:val="TextBody"/>
        <w:bidi w:val="0"/>
        <w:jc w:val="both"/>
        <w:rPr/>
      </w:pPr>
      <w:r>
        <w:rPr/>
        <w:t> </w:t>
      </w:r>
    </w:p>
    <w:tbl>
      <w:tblPr>
        <w:tblW w:w="8350" w:type="dxa"/>
        <w:jc w:val="left"/>
        <w:tblInd w:w="0" w:type="dxa"/>
        <w:tblLayout w:type="fixed"/>
        <w:tblCellMar>
          <w:top w:w="28" w:type="dxa"/>
          <w:left w:w="28" w:type="dxa"/>
          <w:bottom w:w="28" w:type="dxa"/>
          <w:right w:w="28" w:type="dxa"/>
        </w:tblCellMar>
      </w:tblPr>
      <w:tblGrid>
        <w:gridCol w:w="5446"/>
        <w:gridCol w:w="146"/>
        <w:gridCol w:w="307"/>
        <w:gridCol w:w="833"/>
        <w:gridCol w:w="166"/>
        <w:gridCol w:w="146"/>
        <w:gridCol w:w="294"/>
        <w:gridCol w:w="80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5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at customer locations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211" w:type="dxa"/>
            <w:tcBorders/>
            <w:shd w:fill="CFF0FC" w:val="clear"/>
            <w:vAlign w:val="center"/>
          </w:tcPr>
          <w:p>
            <w:pPr>
              <w:pStyle w:val="TableContents"/>
              <w:bidi w:val="0"/>
              <w:spacing w:before="0" w:after="283"/>
              <w:jc w:val="left"/>
              <w:rPr/>
            </w:pPr>
            <w:r>
              <w:rPr/>
              <w:t> </w:t>
            </w:r>
          </w:p>
        </w:tc>
      </w:tr>
      <w:tr>
        <w:trPr/>
        <w:tc>
          <w:tcPr>
            <w:tcW w:w="5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of recorders at customer locations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Recorders at customer locations, net</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w:t>
            </w:r>
          </w:p>
        </w:tc>
        <w:tc>
          <w:tcPr>
            <w:tcW w:w="211" w:type="dxa"/>
            <w:tcBorders/>
            <w:shd w:fill="CFF0FC" w:val="clear"/>
            <w:vAlign w:val="center"/>
          </w:tcPr>
          <w:p>
            <w:pPr>
              <w:pStyle w:val="TableContents"/>
              <w:bidi w:val="0"/>
              <w:spacing w:before="0" w:after="283"/>
              <w:jc w:val="right"/>
              <w:rPr/>
            </w:pPr>
            <w:r>
              <w:rPr/>
              <w:t> </w:t>
            </w:r>
          </w:p>
        </w:tc>
      </w:tr>
      <w:tr>
        <w:trPr/>
        <w:tc>
          <w:tcPr>
            <w:tcW w:w="5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and related components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211" w:type="dxa"/>
            <w:tcBorders/>
            <w:shd w:fill="FFFFFF" w:val="clear"/>
            <w:vAlign w:val="center"/>
          </w:tcPr>
          <w:p>
            <w:pPr>
              <w:pStyle w:val="TableContents"/>
              <w:bidi w:val="0"/>
              <w:spacing w:before="0" w:after="283"/>
              <w:jc w:val="left"/>
              <w:rPr/>
            </w:pPr>
            <w:r>
              <w:rPr/>
              <w:t> </w:t>
            </w:r>
          </w:p>
        </w:tc>
      </w:tr>
      <w:tr>
        <w:trPr/>
        <w:tc>
          <w:tcPr>
            <w:tcW w:w="5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IPO cost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right"/>
              <w:rPr/>
            </w:pPr>
            <w:r>
              <w:rPr/>
              <w:t> </w:t>
            </w:r>
          </w:p>
        </w:tc>
      </w:tr>
      <w:tr>
        <w:trPr/>
        <w:tc>
          <w:tcPr>
            <w:tcW w:w="5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financing cost</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non-current assets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1,984</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Recorder depreciation expense was $79,000 and $90,000 for the three months ended September 30, 2024 and 2023, respectively, and $295,000 and $241,000 for the nine months ended September 30, 2024 and 2023,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are comprised of the following (in thousands):</w:t>
      </w:r>
    </w:p>
    <w:p>
      <w:pPr>
        <w:pStyle w:val="TextBody"/>
        <w:bidi w:val="0"/>
        <w:jc w:val="both"/>
        <w:rPr/>
      </w:pPr>
      <w:r>
        <w:rPr/>
        <w:t> </w:t>
      </w:r>
    </w:p>
    <w:tbl>
      <w:tblPr>
        <w:tblW w:w="5595" w:type="dxa"/>
        <w:jc w:val="left"/>
        <w:tblInd w:w="0" w:type="dxa"/>
        <w:tblLayout w:type="fixed"/>
        <w:tblCellMar>
          <w:top w:w="28" w:type="dxa"/>
          <w:left w:w="28" w:type="dxa"/>
          <w:bottom w:w="28" w:type="dxa"/>
          <w:right w:w="28" w:type="dxa"/>
        </w:tblCellMar>
      </w:tblPr>
      <w:tblGrid>
        <w:gridCol w:w="2731"/>
        <w:gridCol w:w="146"/>
        <w:gridCol w:w="307"/>
        <w:gridCol w:w="833"/>
        <w:gridCol w:w="146"/>
        <w:gridCol w:w="146"/>
        <w:gridCol w:w="294"/>
        <w:gridCol w:w="80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bonuses and payroll</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1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91" w:type="dxa"/>
            <w:tcBorders/>
            <w:shd w:fill="FFFFFF" w:val="clear"/>
            <w:vAlign w:val="center"/>
          </w:tcPr>
          <w:p>
            <w:pPr>
              <w:pStyle w:val="TableContents"/>
              <w:bidi w:val="0"/>
              <w:spacing w:before="0" w:after="283"/>
              <w:jc w:val="lef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other costs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91" w:type="dxa"/>
            <w:tcBorders/>
            <w:shd w:fill="CFF0FC"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7,540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There has been no Company matching of employee contributions to the plan through December 31, 2023, and September 30,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 provision for a liability when management believes that it is both probable that a liability has been incurred and the amount of the loss can be reasonably estimated. The Company is not presently a party to any litigation. Legal fees are expensed in the period in which they are incurred. As of December 31, 2023 and September 30, 2024, there were no litigation liabilities recorded.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New Operating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2024, the Company entered into an operating lease agreement for additional office and warehouse space in Sunnyvale, California. The lease commenced when the Company obtained early use of the property beginning on June 1, 2024. The lease terminates on January 31,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ROU asset relates to its leased corporate offices and warehouse in Sunnyvale, CA. Supplemental balance sheet information related to leases was as follows (in thousands):</w:t>
      </w:r>
    </w:p>
    <w:p>
      <w:pPr>
        <w:pStyle w:val="TextBody"/>
        <w:bidi w:val="0"/>
        <w:jc w:val="both"/>
        <w:rPr/>
      </w:pPr>
      <w:r>
        <w:rPr/>
        <w:t> </w:t>
      </w:r>
    </w:p>
    <w:tbl>
      <w:tblPr>
        <w:tblW w:w="7015" w:type="dxa"/>
        <w:jc w:val="left"/>
        <w:tblInd w:w="0" w:type="dxa"/>
        <w:tblLayout w:type="fixed"/>
        <w:tblCellMar>
          <w:top w:w="28" w:type="dxa"/>
          <w:left w:w="28" w:type="dxa"/>
          <w:bottom w:w="28" w:type="dxa"/>
          <w:right w:w="28" w:type="dxa"/>
        </w:tblCellMar>
      </w:tblPr>
      <w:tblGrid>
        <w:gridCol w:w="3901"/>
        <w:gridCol w:w="146"/>
        <w:gridCol w:w="307"/>
        <w:gridCol w:w="833"/>
        <w:gridCol w:w="271"/>
        <w:gridCol w:w="146"/>
        <w:gridCol w:w="294"/>
        <w:gridCol w:w="80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16" w:type="dxa"/>
            <w:tcBorders/>
            <w:shd w:fill="CFF0FC" w:val="cle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liability, long-term</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discount rate</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leases office space and warehouse space under non-cancelable operating leases. As of September 30, 2024, and December 31, 2023, the future minimum lease payments under the non-cancelable operating lease are as follows (in thousands):</w:t>
      </w:r>
    </w:p>
    <w:p>
      <w:pPr>
        <w:pStyle w:val="TextBody"/>
        <w:bidi w:val="0"/>
        <w:jc w:val="both"/>
        <w:rPr/>
      </w:pPr>
      <w:r>
        <w:rPr/>
        <w:t> </w:t>
      </w:r>
    </w:p>
    <w:tbl>
      <w:tblPr>
        <w:tblW w:w="4883" w:type="dxa"/>
        <w:jc w:val="left"/>
        <w:tblInd w:w="0" w:type="dxa"/>
        <w:tblLayout w:type="fixed"/>
        <w:tblCellMar>
          <w:top w:w="28" w:type="dxa"/>
          <w:left w:w="28" w:type="dxa"/>
          <w:bottom w:w="28" w:type="dxa"/>
          <w:right w:w="28" w:type="dxa"/>
        </w:tblCellMar>
      </w:tblPr>
      <w:tblGrid>
        <w:gridCol w:w="2986"/>
        <w:gridCol w:w="546"/>
        <w:gridCol w:w="307"/>
        <w:gridCol w:w="833"/>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11" w:type="dxa"/>
            <w:tcBorders/>
            <w:shd w:fill="FFFFFF" w:val="cle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5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5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5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5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5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5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5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Lease Liabilities</w:t>
            </w:r>
          </w:p>
        </w:tc>
        <w:tc>
          <w:tcPr>
            <w:tcW w:w="546" w:type="dxa"/>
            <w:tcBorders/>
            <w:shd w:fill="CFF0FC" w:val="clear"/>
            <w:vAlign w:val="center"/>
          </w:tcPr>
          <w:p>
            <w:pPr>
              <w:pStyle w:val="TableContents"/>
              <w:bidi w:val="0"/>
              <w:spacing w:before="0" w:after="283"/>
              <w:ind w:left="400" w:right="0" w:firstLine="400"/>
              <w:jc w:val="right"/>
              <w:rPr/>
            </w:pPr>
            <w:r>
              <w:rPr/>
              <w:t> </w:t>
            </w:r>
          </w:p>
        </w:tc>
        <w:tc>
          <w:tcPr>
            <w:tcW w:w="3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2,628</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Lease expense recognized under the leases, including additional rent charges for property management, operating lease costs, and variable lease costs, was $297,000 and $196,000 for the three months ended September 30, 2024 and 2023, respectively, and $730,000 and $625,000 for the nine months ended September 30, 2024 and 2023, respectively. Variable rent expense recognized for operating leases was $52,000 and $44,000 for the three months ended September 30, 2024 and 2023, respectively, and $216,000 and $211,000 for the nine months ended September 30, 2024 and 2023, respectively. Operating lease cost was $245,000 and $152,000 for the three months ended September 30, 2024 and 2023, respectively, and $514,000 and $414,000 for the nine months ended September 30, 2024 and 2023,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cash payments related to the leases were $204,000 and $198,000 for the three months ended September 30, 2024 and 2023, respectively, and $641,000 and $593,000 for the nine months ended September 30, 2024 and 2023,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2024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 The Company and the Lenders agreed to refinance the existing Horizon term loan facility which also modified, among other things, the repayment terms of the existing Horizon term loan and the maturity date from October 2024 to March 2029. The amounts borrowed under the VLSA are secured by all of the Company's assets, excluding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drew down the entire first tranche of $20,000,000 in principal (“Term Loan”), including $6,000,000 from SVB (“SVB Loan”) and $14,000,000 from Horizon (“Horizon Loan”) and utilized a portion of the proceeds to repay the remaining principal on the 2020 Loan. Subject to the VLSA terms, the Company is entitled to receive up to $30,000,000 (“Outstanding Commitment”) in three additional tranches, $10,000,000 each, expiring on December 31, 2024, March 31, 2025, and June 30, 2025. Each lender’s obligation to lend its undisbursed portion of the Outstanding Commitment to the Company shall terminate if, in such Lender’s sole good faith discretion, there has been a material adverse change in the results of operations or financial condition of the Company, whether or not arising from transactions in the ordinary course of business, or there has been any material adverse deviation by the Company from the business plan of the Company presented to any Lender. No material adverse changes have been identified as of September 30, 2024. In each of the three additional tranches, $3,000,000 is allocated to SVB, and $7,000,000 is allocated to Horizon. Any amounts drawn under the Outstanding Commitment are subject to the same terms and conditions as the SVB Loan and Horizon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 Loan is payable to the Lenders in twelve equal monthly installments between April 1, 2028 (“Amortization Date”) and March 1, 2029 (“Maturity Date”) subject to certain prepayment fees in accordance with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SVB Loan carries a variable per-annum interest rate at the Prime Rate (as published in the Wall Street Journal), subject to the floor of 6.00%. The Horizon Loan carries a variable per-annum interest rate at the Prime Rate plus 2.75%, subject to the floor of 9.25%. The Company is also required to pay end-of-term fees of 4.0% per tranche drawn on the Maturity Date or upon repayment of the amounts due to the Lenders under the VLSA. The Company is required to pay additional commitment fees of $35,000 upon funding of each additional tranche.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paid to the Lenders $245,000 and issued warrants to purchase 41,345 shares of the Company’s Series C-1 Preferred Stock at a price of $11.49 per share (“Initial Warrants”). The fair value of the Initial Warrants was determined to be approximately $304,000. If the Company draws down any amounts of the Outstanding Commitment, it will be required to issue additional warrants exercisable for shares of the Company’s most senior Preferred Stock with the aggregate exercise price of $150,000 per tranche (“Additional Warrants”). The exercise price of the Additional Warrants will be $11.49 per share, subject to a down-round adjustment. See Note 10 for a discussion of the Initial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VLSA was treated as a loan syndication, and the SVB Loan was determined to be a new loan. The issuance of the Horizon Loan was accounted for as a modification of the outstanding term loan. The Company utilized the proceeds from the Horizon Loan to repay the outstanding principal of $11,250,000 and end-of-term fees of $845,000 under the existing term loan due to Horizon.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Senior Revolving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2024, the Company also executed a Loan and Security Agreement (“LSA”) with SVB to receive a senior revolving line of credit of up to $10,000,000 (“Revolving Facility”). The Revolving Facility is secured by the Company’s accounts receivable, inventory, and other property, excluding intellectual property. The Company may draw up to 85% of the eligible trade receivables and is required to remit the underlying customer proceeds to repay the Revolving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Revolving Facility carries a variable per-annum interest rate at the Prime Rate plus 0.25%, subject to the floor of 6.00%, and includes additional fees of $300,000 that are payable regardless of whether any amounts are drawn. The Revolving Facility matures on February 6, 2026. Any borrowings under the Revolving Facility are subordinate to the VLSA.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allocated the issuance costs under the LSA and VLSA as follows: (1) $535,000 to the Term Loan liability representing the initial lender fees and the fair value of the Initial Warrants to be recognized as interest expense through the Maturity Date, (2) $347,000 to the deferred debt financing cost asset to be recognized as interest expense through the Maturity Date and to be reclassified to the Term Loan liability upon draws or expiration of the tranches, and (3) $116,000 to the Revolving Facility deferred debt financing cost asset to be recognized as interest expense over the availability period of two years. The end-of-term fee is being accreted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the debt issuance costs are being amortized over the term of the notes using the effective interest method. The effective interest rate is 9.5%, inclusive of the end-of-term fee and debt issuance as of September 30,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LSA and VLSA have interrelated provisions and financial covenants based on net indebtedness and certain revenue-based ratios. Upon an event of default, the interest on the Term Loan and Revolving facility may be increased by 5.0%. The Term Loan also includes a late payment fee of 6.0% of the amount not paid when due.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2024, the Company was in compliance with debt covenants under the LSA and VLSA. No amounts were drawn under the Outstanding Commitment and Revolving Facility through September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payable consists of the following (in thousands):</w:t>
      </w:r>
    </w:p>
    <w:p>
      <w:pPr>
        <w:pStyle w:val="TextBody"/>
        <w:bidi w:val="0"/>
        <w:jc w:val="both"/>
        <w:rPr/>
      </w:pPr>
      <w:r>
        <w:rPr/>
        <w:t> </w:t>
      </w:r>
    </w:p>
    <w:tbl>
      <w:tblPr>
        <w:tblW w:w="5785" w:type="dxa"/>
        <w:jc w:val="left"/>
        <w:tblInd w:w="0" w:type="dxa"/>
        <w:tblLayout w:type="fixed"/>
        <w:tblCellMar>
          <w:top w:w="28" w:type="dxa"/>
          <w:left w:w="28" w:type="dxa"/>
          <w:bottom w:w="28" w:type="dxa"/>
          <w:right w:w="28" w:type="dxa"/>
        </w:tblCellMar>
      </w:tblPr>
      <w:tblGrid>
        <w:gridCol w:w="2881"/>
        <w:gridCol w:w="146"/>
        <w:gridCol w:w="271"/>
        <w:gridCol w:w="869"/>
        <w:gridCol w:w="166"/>
        <w:gridCol w:w="146"/>
        <w:gridCol w:w="260"/>
        <w:gridCol w:w="835"/>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28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notes payable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w:t>
            </w:r>
          </w:p>
        </w:tc>
        <w:tc>
          <w:tcPr>
            <w:tcW w:w="211" w:type="dxa"/>
            <w:tcBorders/>
            <w:shd w:fill="CFF0FC" w:val="clear"/>
            <w:vAlign w:val="center"/>
          </w:tcPr>
          <w:p>
            <w:pPr>
              <w:pStyle w:val="TableContents"/>
              <w:bidi w:val="0"/>
              <w:spacing w:before="0" w:after="283"/>
              <w:jc w:val="left"/>
              <w:rPr/>
            </w:pPr>
            <w:r>
              <w:rPr/>
              <w:t> </w:t>
            </w:r>
          </w:p>
        </w:tc>
      </w:tr>
      <w:tr>
        <w:trPr/>
        <w:tc>
          <w:tcPr>
            <w:tcW w:w="28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fee accretion</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1" w:type="dxa"/>
            <w:tcBorders/>
            <w:shd w:fill="FFFFFF" w:val="clear"/>
            <w:vAlign w:val="center"/>
          </w:tcPr>
          <w:p>
            <w:pPr>
              <w:pStyle w:val="TableContents"/>
              <w:bidi w:val="0"/>
              <w:spacing w:before="0" w:after="283"/>
              <w:jc w:val="right"/>
              <w:rPr/>
            </w:pPr>
            <w:r>
              <w:rPr/>
              <w:t> </w:t>
            </w:r>
          </w:p>
        </w:tc>
      </w:tr>
      <w:tr>
        <w:trPr/>
        <w:tc>
          <w:tcPr>
            <w:tcW w:w="28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Notes Payable</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9"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11,833</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Collateral for the VLSA consists of a security interest in all assets of the Company, excluding intellectual property.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Redeemable Convertible Preferred Stock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Company’s Amended and Restated Certificate of Incorporation, the Company is authorized to issue 46,831,773 and 46,624,838 shares of $0.001 par value redeemable convertible preferred stock as of September 30, 2024 and December 31, 2023,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2023, the designated and outstanding redeemable convertible preferred stock are as follows:</w:t>
      </w:r>
    </w:p>
    <w:p>
      <w:pPr>
        <w:pStyle w:val="TextBody"/>
        <w:bidi w:val="0"/>
        <w:jc w:val="both"/>
        <w:rPr/>
      </w:pPr>
      <w:r>
        <w:rPr/>
        <w:t> </w:t>
      </w:r>
    </w:p>
    <w:tbl>
      <w:tblPr>
        <w:tblW w:w="8062" w:type="dxa"/>
        <w:jc w:val="left"/>
        <w:tblInd w:w="0" w:type="dxa"/>
        <w:tblLayout w:type="fixed"/>
        <w:tblCellMar>
          <w:top w:w="28" w:type="dxa"/>
          <w:left w:w="28" w:type="dxa"/>
          <w:bottom w:w="28" w:type="dxa"/>
          <w:right w:w="28" w:type="dxa"/>
        </w:tblCellMar>
      </w:tblPr>
      <w:tblGrid>
        <w:gridCol w:w="586"/>
        <w:gridCol w:w="146"/>
        <w:gridCol w:w="146"/>
        <w:gridCol w:w="1036"/>
        <w:gridCol w:w="146"/>
        <w:gridCol w:w="146"/>
        <w:gridCol w:w="163"/>
        <w:gridCol w:w="1157"/>
        <w:gridCol w:w="146"/>
        <w:gridCol w:w="146"/>
        <w:gridCol w:w="211"/>
        <w:gridCol w:w="1141"/>
        <w:gridCol w:w="146"/>
        <w:gridCol w:w="146"/>
        <w:gridCol w:w="211"/>
        <w:gridCol w:w="781"/>
        <w:gridCol w:w="146"/>
        <w:gridCol w:w="146"/>
        <w:gridCol w:w="238"/>
        <w:gridCol w:w="887"/>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r>
          </w:p>
        </w:tc>
        <w:tc>
          <w:tcPr>
            <w:tcW w:w="191" w:type="dxa"/>
            <w:tcBorders/>
            <w:shd w:fill="FFFFFF" w:val="clear"/>
            <w:vAlign w:val="center"/>
          </w:tcPr>
          <w:p>
            <w:pPr>
              <w:pStyle w:val="TableContents"/>
              <w:bidi w:val="0"/>
              <w:spacing w:before="0" w:after="283"/>
              <w:jc w:val="center"/>
              <w:rPr/>
            </w:pPr>
            <w:r>
              <w:rPr/>
              <w:t> </w:t>
            </w:r>
          </w:p>
        </w:tc>
      </w:tr>
      <w:tr>
        <w:trPr/>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Preference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shd w:fill="FFFFFF" w:val="clear"/>
            <w:vAlign w:val="center"/>
          </w:tcPr>
          <w:p>
            <w:pPr>
              <w:pStyle w:val="TableContents"/>
              <w:bidi w:val="0"/>
              <w:spacing w:before="0" w:after="283"/>
              <w:jc w:val="center"/>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91" w:type="dxa"/>
            <w:tcBorders/>
            <w:shd w:fill="CFF0FC"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12,115,096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35,396</w:t>
            </w:r>
          </w:p>
        </w:tc>
        <w:tc>
          <w:tcPr>
            <w:tcW w:w="191" w:type="dxa"/>
            <w:tcBorders/>
            <w:shd w:fill="CFF0FC"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22,973,771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101,523,315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100,876</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C-NV</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46,624,838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17,817,643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152,590,358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147,412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September 30, 2024, the designated and outstanding redeemable convertible preferred stock are as follows:</w:t>
      </w:r>
    </w:p>
    <w:p>
      <w:pPr>
        <w:pStyle w:val="TextBody"/>
        <w:bidi w:val="0"/>
        <w:spacing w:before="40" w:after="283"/>
        <w:jc w:val="both"/>
        <w:rPr/>
      </w:pPr>
      <w:r>
        <w:rPr/>
        <w:t> </w:t>
      </w:r>
    </w:p>
    <w:tbl>
      <w:tblPr>
        <w:tblW w:w="8062" w:type="dxa"/>
        <w:jc w:val="left"/>
        <w:tblInd w:w="0" w:type="dxa"/>
        <w:tblLayout w:type="fixed"/>
        <w:tblCellMar>
          <w:top w:w="28" w:type="dxa"/>
          <w:left w:w="28" w:type="dxa"/>
          <w:bottom w:w="28" w:type="dxa"/>
          <w:right w:w="28" w:type="dxa"/>
        </w:tblCellMar>
      </w:tblPr>
      <w:tblGrid>
        <w:gridCol w:w="586"/>
        <w:gridCol w:w="146"/>
        <w:gridCol w:w="146"/>
        <w:gridCol w:w="1036"/>
        <w:gridCol w:w="146"/>
        <w:gridCol w:w="146"/>
        <w:gridCol w:w="163"/>
        <w:gridCol w:w="1157"/>
        <w:gridCol w:w="146"/>
        <w:gridCol w:w="146"/>
        <w:gridCol w:w="211"/>
        <w:gridCol w:w="1141"/>
        <w:gridCol w:w="146"/>
        <w:gridCol w:w="146"/>
        <w:gridCol w:w="211"/>
        <w:gridCol w:w="781"/>
        <w:gridCol w:w="146"/>
        <w:gridCol w:w="146"/>
        <w:gridCol w:w="238"/>
        <w:gridCol w:w="887"/>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r>
          </w:p>
        </w:tc>
        <w:tc>
          <w:tcPr>
            <w:tcW w:w="191" w:type="dxa"/>
            <w:tcBorders/>
            <w:shd w:fill="FFFFFF" w:val="clear"/>
            <w:vAlign w:val="center"/>
          </w:tcPr>
          <w:p>
            <w:pPr>
              <w:pStyle w:val="TableContents"/>
              <w:bidi w:val="0"/>
              <w:spacing w:before="0" w:after="283"/>
              <w:jc w:val="center"/>
              <w:rPr/>
            </w:pPr>
            <w:r>
              <w:rPr/>
              <w:t> </w:t>
            </w:r>
          </w:p>
        </w:tc>
      </w:tr>
      <w:tr>
        <w:trPr/>
        <w:tc>
          <w:tcPr>
            <w:tcW w:w="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Preference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shd w:fill="FFFFFF" w:val="clear"/>
            <w:vAlign w:val="center"/>
          </w:tcPr>
          <w:p>
            <w:pPr>
              <w:pStyle w:val="TableContents"/>
              <w:bidi w:val="0"/>
              <w:spacing w:before="0" w:after="283"/>
              <w:jc w:val="center"/>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3,130,799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91" w:type="dxa"/>
            <w:tcBorders/>
            <w:shd w:fill="CFF0FC"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12,115,096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35,396</w:t>
            </w:r>
          </w:p>
        </w:tc>
        <w:tc>
          <w:tcPr>
            <w:tcW w:w="191" w:type="dxa"/>
            <w:tcBorders/>
            <w:shd w:fill="CFF0FC" w:val="cle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23,180,706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101,523,315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100,876</w:t>
            </w:r>
          </w:p>
        </w:tc>
        <w:tc>
          <w:tcPr>
            <w:tcW w:w="191" w:type="dxa"/>
            <w:tcBorders/>
            <w:shd w:fill="FFFFFF" w:val="clear"/>
            <w:vAlign w:val="center"/>
          </w:tcPr>
          <w:p>
            <w:pPr>
              <w:pStyle w:val="TableContents"/>
              <w:bidi w:val="0"/>
              <w:spacing w:before="0" w:after="283"/>
              <w:jc w:val="left"/>
              <w:rPr/>
            </w:pPr>
            <w:r>
              <w:rPr/>
              <w:t> </w:t>
            </w:r>
          </w:p>
        </w:tc>
      </w:tr>
      <w:tr>
        <w:trPr/>
        <w:tc>
          <w:tcPr>
            <w:tcW w:w="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C-NV</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46,831,773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17,817,643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152,590,358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147,412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holders of the outstanding shares of redeemable convertible preferred stock do not have stated redemption rights; however, the holders of the redeemable convertible stock are entitled to preferential payments in the event of a sale, lease, transfer, exclusive license or other disposition of all or substantially all of the Company’s assets or intellectual property, the acquisition of the Company by another entity by means of any reorganization, merger or consolidation following which the Company’s stockholders as of immediately prior to such acquisition fail to hold at least 50% of the voting power of the resulting entity, or a liquidation, dissolution or winding up of the Company (a “Deemed Liquidation Event”).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rights, preferences and privileges of the redeemable convertible preferred stockholders are as follows: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the non-voting holders of Series C-NV redeemable convertible preferred stock, the holders of redeemable convertible preferred stock are entitled to vote on all matters on which the common stockholders are entitled to vote. Holders of redeemable convertible preferred stock and common stock vote together as a single class, with respect to any matter upon which holders of common stock have the right to vote. Each holder of redeemable convertible preferred stock is entitled to the number of votes equal to the number of common stock shares into which the shares held by such holder are convertible. The holders of a majority of the voting shares are able to elect all of the directors.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as, and if declared by the Board of Directors, the Company shall declare dividends on the Series C preferred stock (the “Series C Dividends”) at an annual rate of $0.9190 per share (the “Series C Dividend Rate”) according to the number of shares of Series C preferred stock held by such holders. The right to receive dividends on shares of Series C preferred stock shall not be cumulative, and no right to dividends shall accrue to holders of Series C preferred stock by reason of the fact that dividends on said shares are not declared or paid in any calendar year. Payment of any dividends to the holders of Series C preferred stock shall be payable in preference and priority to any declaration or payment of any dividend distribution on Series B preferred stock, Series A preferred stock, Series Seed preferred stock and common stock of the Company and the Company shall not declare, pay or set aside any dividends on shares of any other class or series of capital stock of the Company unless the holders of the Series C preferred stock then outstanding shall first receive, or simultaneously receive, the Series C 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as, and if declared by the Board of Directors, the Company shall declare dividends on the Series B preferred stock (the “Series B Dividends”) at an annual rate of $0.6124 per share (the “Series B Dividend Rate”) according to the number of shares of Series B preferred stock held by such holders. The right to receive dividends on shares of Series B preferred stock shall not be cumulative, and no right to dividends shall accrue to holders of Series B preferred stock by reason of the fact that dividends on said shares are not declared or paid in any calendar year. Payment of any dividends to the holders of Series B preferred stock shall be payable in preference and priority to any declaration or payment of any dividend distribution on Series A preferred stock, Series Seed preferred stock and common stock of the Company and the Company shall not declare, pay or set aside any dividends on shares of any other class or series of capital stock of the Company (other than the Series C Dividends) unless the holders of the Series B preferred stock then outstanding shall first receive, or simultaneously receive, the Series B 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as, and if declared by the Board of Directors, the Company shall declare dividends on the Series A preferred stock (the “Series A Dividends”) at an annual rate of $0.3565 per share (the “Series A Dividend Rate”) according to the number of shares of Series A preferred stock held by such holders. The right to receive dividends on shares of Series A preferred stock shall not be cumulative, and no right to dividends shall accrue to holders of Series A preferred stock by reason of the fact that dividends on said shares are not declared or paid in any calendar year. Payment of any dividends to the holders of Series A preferred stock shall be payable in preference and priority to any declaration or payment of any dividend distribution on Series Seed preferred stock and common stock of the Company and the Company shall not declare, pay or set aside any dividends on shares of any other class or series of capital stock of the Company (other than the Series C Dividends and the Series B Dividends) unless the holders of the Series A preferred stock then outstanding shall first receive, or simultaneously receive, the Series A 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the payment or setting aside for payment of the dividends for Series A, B, and C Dividends, when, as, and if declared by the Board of Directors, the Company shall declare dividends pro rata on the common stock and the preferred stock on a pari passu basis according to the number of shares of common stock held by such holders. For this purpose each holder of shares of preferred stock will be treated as holding the greatest whole number of shares of common stock then issuable upon conversion of all shares of preferred stock held by such holder. No dividends have been declared to date.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any liquidation, including a deemed liquidity event, dissolution, or winding up of the Company, either voluntary or involuntary, the holders of Series C redeemable convertible preferred stock first are entitled to receive, prior and in preference to any distribution of any of the assets of the Company to the holders of common stock, Series B, Series A and Series Seed redeemable convertible preferred stock, an amount equal to the greater of the sum $11.49 per share as adjusted for any stock splits, stock dividends, combinations, recapitalizations plus all declared but unpaid dividends on such shares, and such amount per share as would have been payable had all shares of Series C and redeemable convertible preferred stock been converted into common stock prior to such liquidation, dissolution, or winding up of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completion of the distribution of the full amount of Series C, the holders of Series B are entitled to receive, prior and in preference to any distribution of any of the assets of the Company to the holders of common stock, Series A and Series Seed convertible preferred stock, an amount equal to the greater of the sum $7.6540 per share, as adjusted for any stock splits, stock dividends, combinations, recapitalizations plus all declared but unpaid dividends on such shares, and such amount per share as would have been payable had all shares of Series B redeemable convertible preferred stock been converted into common stock prior to such liquidation, dissolution, or winding up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completion of the distribution of the full amount to Series C and Series B redeemable convertible preferred shareholders, the holders of Series A and Series Seed convertible preferred stock are entitled to receive, prior and in preference to any distribution of any of the assets of the Company to the holders of common stock, for each share of Series A convertible preferred stock, an amount equal to the greater of the sum of $4.4564, as adjusted for any recapitalizations plus all declared but unpaid dividends on such shares, and such amount per share as would have been payable had all shares of Series A redeemable convertible preferred stock been converted into common stock immediately prior to such liquidation, dissolution, or winding up of the Company, and for each share of Series Seed redeemable convertible preferred stock, $0.8233 and an amount equal to all declared but unpaid dividends on such shares as adjusted for any recapitalizations.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assets legally available for distribution are insufficient to cover the amounts owed to the holders of Series A and Series Seed convertible preferred stock together as a class, the assets shall be distributed with equal priority and pro rata among the holders of both Series A and Series Seed redeemable convertible preferred stock in proportion to the full amounts that they would have received had funds been sufficient.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completion of the distributions of the full amount required to the holders of Series C, Series B, Series A, and Series Seed redeemable convertible preferred stock, all of the remaining assets of the Company available for distribution to stockholders shall be distributed among the holders of common stock and Series Seed redeemable convertible preferred stock pro rata based on the number of shares of common stock held by each (treating the shares of Series Seed redeemable convertible preferred stock for this purpose as if they had been converted to shares of common stock at the then-effective conversion price for such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share of redeemable convertible preferred stock is convertible at the option of the holder into that number of common shares that is equal to the original issuance price of the redeemable convertible preferred stock divided by the conversion price, subject to adjustment for events of dilution. Upon conversion, holders of Series C-NV convertible preferred stock may elect to receive non-voting common stock or common stock on the same terms. The original issuance price is equal to $0.8233 per Series Seed preferred share, $4.4564 per Series A preferred share, $7.6540 per Series B preferred share, and $11.49 per Series C preferred share. As of September 30, 2024 and December 31, 2023, all redeemable convertible preferred units were convertible into common shares at a one-for-one conversion ratio. Holders of convertible preferred stock may elect to convert their shares into common stock at any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share of convertible preferred stock will automatically convert into shares of common stock at the then effective conversion rate for each such share (i) immediately prior to the closing of a qualified public offering of the Company’s common stock in which gross proceeds exceed $70 million and at a price not less than $22.98 per share or (ii) upon the receipt by the Company of a written request for such conversion from the holders of a majority of the then-outstanding convertible 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closed its initial public offering on October 15, 2024 and all of the outstanding shares of convertible preferred stock were converted into common stock.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issued warrants in conjunction with its debt financings, see Note 9. All warrants are currently exercisable, in whole or in part, and expire in 2030, 2032, and 2034. </w:t>
      </w:r>
    </w:p>
    <w:p>
      <w:pPr>
        <w:pStyle w:val="TextBody"/>
        <w:bidi w:val="0"/>
        <w:jc w:val="both"/>
        <w:rPr/>
      </w:pPr>
      <w:r>
        <w:rPr/>
        <w:t> </w:t>
      </w:r>
    </w:p>
    <w:tbl>
      <w:tblPr>
        <w:tblW w:w="6143"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676"/>
        <w:gridCol w:w="146"/>
        <w:gridCol w:w="146"/>
        <w:gridCol w:w="146"/>
        <w:gridCol w:w="78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w:t>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w:t>
              <w:br/>
              <w:t>C-1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September 30, 2024</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redeemable convertible preferred stock warrant liability is included in other liabilities, long-term. The change in the value of the warrant liability for the three and nine months ended September 30, 2024 and 2023, and the year ended December 31, 2023 is summarized in the following table (in thousands).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fair value activity for the warrant liability (in thousands):</w:t>
      </w:r>
    </w:p>
    <w:p>
      <w:pPr>
        <w:pStyle w:val="TextBody"/>
        <w:bidi w:val="0"/>
        <w:spacing w:before="240" w:after="283"/>
        <w:jc w:val="both"/>
        <w:rPr/>
      </w:pPr>
      <w:r>
        <w:rPr/>
        <w:t> </w:t>
      </w:r>
    </w:p>
    <w:tbl>
      <w:tblPr>
        <w:tblW w:w="7726" w:type="dxa"/>
        <w:jc w:val="left"/>
        <w:tblInd w:w="0" w:type="dxa"/>
        <w:tblLayout w:type="fixed"/>
        <w:tblCellMar>
          <w:top w:w="28" w:type="dxa"/>
          <w:left w:w="28" w:type="dxa"/>
          <w:bottom w:w="28" w:type="dxa"/>
          <w:right w:w="28" w:type="dxa"/>
        </w:tblCellMar>
      </w:tblPr>
      <w:tblGrid>
        <w:gridCol w:w="2776"/>
        <w:gridCol w:w="146"/>
        <w:gridCol w:w="211"/>
        <w:gridCol w:w="421"/>
        <w:gridCol w:w="146"/>
        <w:gridCol w:w="146"/>
        <w:gridCol w:w="2761"/>
        <w:gridCol w:w="146"/>
        <w:gridCol w:w="211"/>
        <w:gridCol w:w="57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September 30, 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1,055</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warrants are subject to remeasurement at each balance sheet date, and any change in fair value is recognized as a change in fair value of warrant liability in the statements of operations and comprehensive loss. Immediately prior to the completion of an initial public offering, the warrants will convert into warrants to purchase shares of the Company's common stock. To the extent the warrants are not previously exercised, and if the fair market value of one share is greater than the exercise price under the warrants then in effect, the warrants shall be deemed automatically exercised immediately before expiration.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Effective February 6, 2024, the Company, Horizon and SVB entered into a $60 million financing commitment, consisting of $50 million term loan commitment and $10 million revolving line of credit. Warrants representing the right to purchase 41,345 shares of Series C-1 redeemable convertible preferred stock at a price of $11.49 per share were issued upon closing. Immediately prior to the completion of an initial public offering, the warrants to purchase shares of Series C-1 redeemable convertible preferred stock will convert into warrants to purchase shares of the Company's common stock. To the extent the warrants are not previously exercised, and if the fair market value of one share is greater than the exercise price under the warrants then in effect, this warrant shall be deemed automatically exercised immediately before its expiration. See Note 9 for a discussion of the new financing commitment.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 Deficit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authorized to issue 76,879,683 and 76,672,748 shares of $0.001 par value common stock as of September 30, 2024 and December 31, 2023, respectively. Authorized shares of common stock as of September 30, 2024 and December 31, 2023 include 626,398 shares of non-voting common stock, none of which are outstanding.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common stock are entitled to receive dividends whenever funds and assets are legally available and when declared by the Board of Directors, subject to the prior rights of holders of redeemable convertible preferred stock outstanding. As of September 30, 2024 and December 31, 2023, no dividends had been declared.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2024 and December 31, 2023, the Company had reserved common stock for future issuance as follows:</w:t>
      </w:r>
    </w:p>
    <w:p>
      <w:pPr>
        <w:pStyle w:val="TextBody"/>
        <w:bidi w:val="0"/>
        <w:jc w:val="both"/>
        <w:rPr/>
      </w:pPr>
      <w:r>
        <w:rPr/>
        <w:t> </w:t>
      </w:r>
    </w:p>
    <w:tbl>
      <w:tblPr>
        <w:tblW w:w="8424" w:type="dxa"/>
        <w:jc w:val="left"/>
        <w:tblInd w:w="0" w:type="dxa"/>
        <w:tblLayout w:type="fixed"/>
        <w:tblCellMar>
          <w:top w:w="28" w:type="dxa"/>
          <w:left w:w="28" w:type="dxa"/>
          <w:bottom w:w="28" w:type="dxa"/>
          <w:right w:w="28" w:type="dxa"/>
        </w:tblCellMar>
      </w:tblPr>
      <w:tblGrid>
        <w:gridCol w:w="5431"/>
        <w:gridCol w:w="146"/>
        <w:gridCol w:w="146"/>
        <w:gridCol w:w="1036"/>
        <w:gridCol w:w="146"/>
        <w:gridCol w:w="146"/>
        <w:gridCol w:w="146"/>
        <w:gridCol w:w="1036"/>
        <w:gridCol w:w="1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shd w:fill="FFFFFF" w:val="clear"/>
            <w:vAlign w:val="center"/>
          </w:tcPr>
          <w:p>
            <w:pPr>
              <w:pStyle w:val="TableContents"/>
              <w:bidi w:val="0"/>
              <w:spacing w:before="0" w:after="283"/>
              <w:jc w:val="center"/>
              <w:rPr/>
            </w:pPr>
            <w:r>
              <w:rPr/>
              <w:t> </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Seed 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1,218,208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1,218,208</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A redeemable convertible preferred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3,026,755</w:t>
            </w:r>
          </w:p>
        </w:tc>
        <w:tc>
          <w:tcPr>
            <w:tcW w:w="191" w:type="dxa"/>
            <w:tcBorders/>
            <w:shd w:fill="FFFFFF" w:val="clear"/>
            <w:vAlign w:val="center"/>
          </w:tcPr>
          <w:p>
            <w:pPr>
              <w:pStyle w:val="TableContents"/>
              <w:bidi w:val="0"/>
              <w:spacing w:before="0" w:after="283"/>
              <w:jc w:val="left"/>
              <w:rPr/>
            </w:pPr>
            <w:r>
              <w:rPr/>
              <w:t> </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B 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4,648,714</w:t>
            </w:r>
          </w:p>
        </w:tc>
        <w:tc>
          <w:tcPr>
            <w:tcW w:w="191" w:type="dxa"/>
            <w:tcBorders/>
            <w:shd w:fill="CFF0FC"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C redeemable convertible preferred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8,923,966</w:t>
            </w:r>
          </w:p>
        </w:tc>
        <w:tc>
          <w:tcPr>
            <w:tcW w:w="191" w:type="dxa"/>
            <w:tcBorders/>
            <w:shd w:fill="FFFFFF" w:val="clear"/>
            <w:vAlign w:val="center"/>
          </w:tcPr>
          <w:p>
            <w:pPr>
              <w:pStyle w:val="TableContents"/>
              <w:bidi w:val="0"/>
              <w:spacing w:before="0" w:after="283"/>
              <w:jc w:val="left"/>
              <w:rPr/>
            </w:pPr>
            <w:r>
              <w:rPr/>
              <w:t> </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B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45,726</w:t>
            </w:r>
          </w:p>
        </w:tc>
        <w:tc>
          <w:tcPr>
            <w:tcW w:w="191" w:type="dxa"/>
            <w:tcBorders/>
            <w:shd w:fill="CFF0FC"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Series C-1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w:t>
            </w:r>
          </w:p>
        </w:tc>
        <w:tc>
          <w:tcPr>
            <w:tcW w:w="191" w:type="dxa"/>
            <w:tcBorders/>
            <w:shd w:fill="FFFFFF" w:val="clear"/>
            <w:vAlign w:val="center"/>
          </w:tcPr>
          <w:p>
            <w:pPr>
              <w:pStyle w:val="TableContents"/>
              <w:bidi w:val="0"/>
              <w:spacing w:before="0" w:after="283"/>
              <w:jc w:val="left"/>
              <w:rPr/>
            </w:pPr>
            <w:r>
              <w:rPr/>
              <w:t> </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under the 2014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4,120,841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4,746,527</w:t>
            </w:r>
          </w:p>
        </w:tc>
        <w:tc>
          <w:tcPr>
            <w:tcW w:w="191" w:type="dxa"/>
            <w:tcBorders/>
            <w:shd w:fill="CFF0FC"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under the 2024 EIP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1,556,057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 under the 2024 EIP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reserved for future issuance under the 2014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409,017</w:t>
            </w:r>
          </w:p>
        </w:tc>
        <w:tc>
          <w:tcPr>
            <w:tcW w:w="191" w:type="dxa"/>
            <w:tcBorders/>
            <w:shd w:fill="FFFFFF" w:val="clear"/>
            <w:vAlign w:val="center"/>
          </w:tcPr>
          <w:p>
            <w:pPr>
              <w:pStyle w:val="TableContents"/>
              <w:bidi w:val="0"/>
              <w:spacing w:before="0" w:after="283"/>
              <w:jc w:val="left"/>
              <w:rPr/>
            </w:pPr>
            <w:r>
              <w:rPr/>
              <w:t> </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reserved for future issuance under the 2024 EIP</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23,753,112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23,034,141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2014, the Company’s Board of Directors adopted the 2014 Stock Incentive Plan (the “2014 Plan”) under which incentive stock options (“ISO”), non-statutory stock options (“NQ”), restricted stock, restricted stock units (“RSU”), stock appreciation rights (“SAR”), dividend equivalent rights, performance stock units (“PSU”), and performance shares may be granted to its employees, directors, and consultants. To date only ISO and NQ awards have been granted. The Board of Directors determines the terms and conditions of the awards, including the number of awards to be granted and vesting criteria at the time of grant. The term of each option shall be stated in the option agreement; however, the term shall be no more than ten years from the date of the grant thereof. Options granted under the 2014 Plan generally vest over a four-year period starting from the date specified in each agreement. Stock options must be granted with an exercise price no less than the stock’s fair market value at the date of grant. Except for as-needed increases in the size of the total option pool, the 2014 Plan has had no major changes since its inception.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23, 2024, the Company’s Board of Directors terminated the 2014 Plan and adopted the 2024 Equity Incentive Plan (the “2024 EIP”). An aggregate of 3,610,238 shares of the Company's common stock under the 2014 Plan plus forfeited shares to the Company under the 2014 Plan may be issued under the 2024 EIP. Upon termination of the 2014 Plan, no additional awards will be granted under the 2014 Plan. Under the 2024 EIP, ISOs, NQs, RSUs, and other stock-based awards may be granted to its employees, directors, and consultants. To date, only ISO, NQ, and performance based awards have been granted. The Board of Directors determines the terms and conditions of the awards, including the number of awards to be granted and vesting criteria at the time of grant. The term of each option shall be stated in the option agreement; however, the term shall be no more than ten years from the date of the grant thereof. Stock options must be granted with an exercise price no less than the stock’s fair market value at the date of grant.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under the plans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89"/>
        <w:gridCol w:w="146"/>
        <w:gridCol w:w="146"/>
        <w:gridCol w:w="931"/>
        <w:gridCol w:w="166"/>
        <w:gridCol w:w="146"/>
        <w:gridCol w:w="275"/>
        <w:gridCol w:w="750"/>
        <w:gridCol w:w="146"/>
        <w:gridCol w:w="146"/>
        <w:gridCol w:w="224"/>
        <w:gridCol w:w="722"/>
        <w:gridCol w:w="146"/>
        <w:gridCol w:w="146"/>
        <w:gridCol w:w="164"/>
        <w:gridCol w:w="769"/>
        <w:gridCol w:w="193"/>
      </w:tblGrid>
      <w:tr>
        <w:trPr/>
        <w:tc>
          <w:tcPr>
            <w:tcW w:w="4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9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3" w:type="dxa"/>
            <w:tcBorders/>
            <w:shd w:fill="FFFFFF" w:val="clear"/>
            <w:vAlign w:val="center"/>
          </w:tcPr>
          <w:p>
            <w:pPr>
              <w:pStyle w:val="TableContents"/>
              <w:bidi w:val="0"/>
              <w:spacing w:before="0" w:after="283"/>
              <w:jc w:val="center"/>
              <w:rPr/>
            </w:pPr>
            <w:r>
              <w:rPr/>
              <w:t> </w:t>
            </w:r>
          </w:p>
        </w:tc>
      </w:tr>
      <w:tr>
        <w:trPr/>
        <w:tc>
          <w:tcPr>
            <w:tcW w:w="49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193" w:type="dxa"/>
            <w:tcBorders/>
            <w:shd w:fill="FFFFFF" w:val="clear"/>
            <w:vAlign w:val="center"/>
          </w:tcPr>
          <w:p>
            <w:pPr>
              <w:pStyle w:val="TableContents"/>
              <w:bidi w:val="0"/>
              <w:spacing w:before="0" w:after="283"/>
              <w:jc w:val="center"/>
              <w:rPr/>
            </w:pPr>
            <w:r>
              <w:rPr/>
              <w:t> </w:t>
            </w:r>
          </w:p>
        </w:tc>
      </w:tr>
      <w:tr>
        <w:trPr/>
        <w:tc>
          <w:tcPr>
            <w:tcW w:w="498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(thousands)</w:t>
            </w:r>
          </w:p>
        </w:tc>
        <w:tc>
          <w:tcPr>
            <w:tcW w:w="193" w:type="dxa"/>
            <w:tcBorders/>
            <w:shd w:fill="FFFFFF" w:val="clear"/>
            <w:vAlign w:val="center"/>
          </w:tcPr>
          <w:p>
            <w:pPr>
              <w:pStyle w:val="TableContents"/>
              <w:bidi w:val="0"/>
              <w:spacing w:before="0" w:after="283"/>
              <w:jc w:val="center"/>
              <w:rPr/>
            </w:pPr>
            <w:r>
              <w:rPr/>
              <w:t> </w:t>
            </w:r>
          </w:p>
        </w:tc>
      </w:tr>
      <w:tr>
        <w:trPr/>
        <w:tc>
          <w:tcPr>
            <w:tcW w:w="49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4,746,527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13,383</w:t>
            </w:r>
          </w:p>
        </w:tc>
        <w:tc>
          <w:tcPr>
            <w:tcW w:w="1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9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1,713,753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3"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49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3"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49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3"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r>
      <w:tr>
        <w:trPr/>
        <w:tc>
          <w:tcPr>
            <w:tcW w:w="498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5,676,898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59,386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vested, and expected to vest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59,386</w:t>
            </w:r>
          </w:p>
        </w:tc>
        <w:tc>
          <w:tcPr>
            <w:tcW w:w="193" w:type="dxa"/>
            <w:tcBorders/>
            <w:shd w:fill="FFFFFF" w:val="clear"/>
            <w:vAlign w:val="center"/>
          </w:tcPr>
          <w:p>
            <w:pPr>
              <w:pStyle w:val="TableContents"/>
              <w:bidi w:val="0"/>
              <w:spacing w:before="0" w:after="283"/>
              <w:jc w:val="left"/>
              <w:rPr/>
            </w:pPr>
            <w:r>
              <w:rPr/>
              <w:t> </w:t>
            </w:r>
          </w:p>
        </w:tc>
      </w:tr>
      <w:tr>
        <w:trPr/>
        <w:tc>
          <w:tcPr>
            <w:tcW w:w="49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exercisable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2024, the aggregate unrecognized compensation costs related to outstanding unvested options under the 2014 Plan and 2024 EIP was $16.3 million. The Company expects to recognize those costs over a weighted average period of 2.9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118,999 and 64,527 of option awards outstanding as of September 30, 2024, and December 31, 2023,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estimated the fair value of stock options using the Black-Scholes option-pricing model. The fair value of service-based stock options is amortized on a straight-line basis over the requisite service period of the awards.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employee stock options granted was estimated using the following weighted-average assumptions:</w:t>
      </w:r>
    </w:p>
    <w:p>
      <w:pPr>
        <w:pStyle w:val="TextBody"/>
        <w:bidi w:val="0"/>
        <w:jc w:val="both"/>
        <w:rPr/>
      </w:pPr>
      <w:r>
        <w:rPr/>
        <w:t> </w:t>
      </w:r>
    </w:p>
    <w:tbl>
      <w:tblPr>
        <w:tblW w:w="7602" w:type="dxa"/>
        <w:jc w:val="left"/>
        <w:tblInd w:w="0" w:type="dxa"/>
        <w:tblLayout w:type="fixed"/>
        <w:tblCellMar>
          <w:top w:w="28" w:type="dxa"/>
          <w:left w:w="28" w:type="dxa"/>
          <w:bottom w:w="28" w:type="dxa"/>
          <w:right w:w="28" w:type="dxa"/>
        </w:tblCellMar>
      </w:tblPr>
      <w:tblGrid>
        <w:gridCol w:w="2086"/>
        <w:gridCol w:w="146"/>
        <w:gridCol w:w="174"/>
        <w:gridCol w:w="558"/>
        <w:gridCol w:w="174"/>
        <w:gridCol w:w="324"/>
        <w:gridCol w:w="174"/>
        <w:gridCol w:w="174"/>
        <w:gridCol w:w="558"/>
        <w:gridCol w:w="174"/>
        <w:gridCol w:w="324"/>
        <w:gridCol w:w="146"/>
        <w:gridCol w:w="168"/>
        <w:gridCol w:w="537"/>
        <w:gridCol w:w="168"/>
        <w:gridCol w:w="312"/>
        <w:gridCol w:w="168"/>
        <w:gridCol w:w="168"/>
        <w:gridCol w:w="537"/>
        <w:gridCol w:w="168"/>
        <w:gridCol w:w="364"/>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74"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74"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8"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8"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74"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74"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8"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8"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74"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5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74"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8"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8"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74"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color w:val="000000"/>
              </w:rPr>
            </w:pPr>
            <w:r>
              <w:rPr>
                <w:color w:val="000000"/>
              </w:rPr>
              <w:t>—</w:t>
            </w:r>
          </w:p>
        </w:tc>
        <w:tc>
          <w:tcPr>
            <w:tcW w:w="174"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right"/>
              <w:rPr>
                <w:color w:val="000000"/>
              </w:rPr>
            </w:pPr>
            <w:r>
              <w:rPr>
                <w:color w:val="000000"/>
              </w:rPr>
              <w:t>—</w:t>
            </w:r>
          </w:p>
        </w:tc>
        <w:tc>
          <w:tcPr>
            <w:tcW w:w="168" w:type="dxa"/>
            <w:tcBorders/>
            <w:shd w:fill="FFFFFF" w:val="clear"/>
            <w:vAlign w:val="center"/>
          </w:tcPr>
          <w:p>
            <w:pPr>
              <w:pStyle w:val="TableContents"/>
              <w:bidi w:val="0"/>
              <w:spacing w:before="0" w:after="283"/>
              <w:jc w:val="right"/>
              <w:rPr/>
            </w:pPr>
            <w:r>
              <w:rPr/>
              <w:t> </w:t>
            </w:r>
          </w:p>
        </w:tc>
        <w:tc>
          <w:tcPr>
            <w:tcW w:w="31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right"/>
              <w:rPr>
                <w:color w:val="000000"/>
              </w:rPr>
            </w:pPr>
            <w:r>
              <w:rPr>
                <w:color w:val="000000"/>
              </w:rPr>
              <w:t>—</w:t>
            </w:r>
          </w:p>
        </w:tc>
        <w:tc>
          <w:tcPr>
            <w:tcW w:w="168" w:type="dxa"/>
            <w:tcBorders/>
            <w:shd w:fill="FFFFFF" w:val="clear"/>
            <w:vAlign w:val="center"/>
          </w:tcPr>
          <w:p>
            <w:pPr>
              <w:pStyle w:val="TableContents"/>
              <w:bidi w:val="0"/>
              <w:spacing w:before="0" w:after="283"/>
              <w:jc w:val="right"/>
              <w:rPr/>
            </w:pPr>
            <w:r>
              <w:rPr/>
              <w:t> </w:t>
            </w:r>
          </w:p>
        </w:tc>
        <w:tc>
          <w:tcPr>
            <w:tcW w:w="364"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the Company did not have any trading history for the Company’s common stock.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total stock-based compensation expense was as follows (in thousands):</w:t>
      </w:r>
    </w:p>
    <w:p>
      <w:pPr>
        <w:pStyle w:val="TextBody"/>
        <w:bidi w:val="0"/>
        <w:jc w:val="both"/>
        <w:rPr/>
      </w:pPr>
      <w:r>
        <w:rPr/>
        <w:t> </w:t>
      </w:r>
    </w:p>
    <w:tbl>
      <w:tblPr>
        <w:tblW w:w="9045" w:type="dxa"/>
        <w:jc w:val="left"/>
        <w:tblInd w:w="0" w:type="dxa"/>
        <w:tblLayout w:type="fixed"/>
        <w:tblCellMar>
          <w:top w:w="28" w:type="dxa"/>
          <w:left w:w="28" w:type="dxa"/>
          <w:bottom w:w="28" w:type="dxa"/>
          <w:right w:w="28" w:type="dxa"/>
        </w:tblCellMar>
      </w:tblPr>
      <w:tblGrid>
        <w:gridCol w:w="3526"/>
        <w:gridCol w:w="146"/>
        <w:gridCol w:w="259"/>
        <w:gridCol w:w="703"/>
        <w:gridCol w:w="179"/>
        <w:gridCol w:w="179"/>
        <w:gridCol w:w="179"/>
        <w:gridCol w:w="259"/>
        <w:gridCol w:w="518"/>
        <w:gridCol w:w="179"/>
        <w:gridCol w:w="179"/>
        <w:gridCol w:w="146"/>
        <w:gridCol w:w="234"/>
        <w:gridCol w:w="633"/>
        <w:gridCol w:w="162"/>
        <w:gridCol w:w="162"/>
        <w:gridCol w:w="162"/>
        <w:gridCol w:w="234"/>
        <w:gridCol w:w="633"/>
        <w:gridCol w:w="162"/>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2"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2"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1,376</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3,209</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3"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1,933</w:t>
            </w:r>
          </w:p>
        </w:tc>
        <w:tc>
          <w:tcPr>
            <w:tcW w:w="162"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rPr>
        <w:t>The total fair value of options vested are $1.2 million, $0.7 million, for the three months ended September 30, 2024 and 2023, respectively, and was $2.8 million and $1.8 million for the nine months ended September 30, 2024 and 2023, respectively.</w:t>
      </w:r>
      <w:r>
        <w:rPr>
          <w:rFonts w:ascii="Times New Roman" w:hAnsi="Times New Roman"/>
          <w:color w:val="FF0000"/>
          <w:sz w:val="20"/>
        </w:rPr>
        <w:t xml:space="preserve"> </w:t>
      </w:r>
      <w:r>
        <w:rPr>
          <w:rFonts w:ascii="Times New Roman" w:hAnsi="Times New Roman"/>
          <w:color w:val="000000"/>
          <w:sz w:val="20"/>
        </w:rPr>
        <w:t>Stock-based compensation expense does not include the impact of estimated forfeitures. Forfeitures are taken as a reduction in expense in the period in which they occur. No compensation cost is recorded for awards that do not vest. Total stock-based compensation expense includes non-employee stock-based compensation of $93,000 and $64,000 for the three months ended September 30, 2024 and 2023, respectively, and $165,000 and $412,000 for the nine months ended September 30, 2024 and 2023,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attributable to the Company’s common stockholders is computed by dividing the net loss attributable to the Company’s common stockholders by the weighted-average number of shares of common stock outstanding during the period. Diluted net loss per share is the same as basic net loss per share for all years presented because the effects of potentially dilutive items were anti-dilutive given the Company’s net loss position in each period presented.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(in thousands, except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77"/>
        <w:gridCol w:w="146"/>
        <w:gridCol w:w="258"/>
        <w:gridCol w:w="901"/>
        <w:gridCol w:w="202"/>
        <w:gridCol w:w="178"/>
        <w:gridCol w:w="258"/>
        <w:gridCol w:w="773"/>
        <w:gridCol w:w="166"/>
        <w:gridCol w:w="146"/>
        <w:gridCol w:w="239"/>
        <w:gridCol w:w="836"/>
        <w:gridCol w:w="187"/>
        <w:gridCol w:w="165"/>
        <w:gridCol w:w="239"/>
        <w:gridCol w:w="836"/>
        <w:gridCol w:w="398"/>
      </w:tblGrid>
      <w:tr>
        <w:trPr/>
        <w:tc>
          <w:tcPr>
            <w:tcW w:w="4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(27,879</w:t>
            </w:r>
          </w:p>
        </w:tc>
        <w:tc>
          <w:tcPr>
            <w:tcW w:w="1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(21,190</w:t>
            </w:r>
          </w:p>
        </w:tc>
        <w:tc>
          <w:tcPr>
            <w:tcW w:w="3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w:t>
            </w:r>
          </w:p>
        </w:tc>
        <w:tc>
          <w:tcPr>
            <w:tcW w:w="202"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4277"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w:t>
            </w:r>
          </w:p>
        </w:tc>
        <w:tc>
          <w:tcPr>
            <w:tcW w:w="20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8"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3"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w:t>
            </w:r>
          </w:p>
        </w:tc>
        <w:tc>
          <w:tcPr>
            <w:tcW w:w="18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w:t>
            </w:r>
          </w:p>
        </w:tc>
        <w:tc>
          <w:tcPr>
            <w:tcW w:w="39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pStyle w:val="TextBody"/>
        <w:bidi w:val="0"/>
        <w:jc w:val="both"/>
        <w:rPr/>
      </w:pPr>
      <w:r>
        <w:rPr/>
        <w:t> </w:t>
      </w:r>
    </w:p>
    <w:tbl>
      <w:tblPr>
        <w:tblW w:w="9363" w:type="dxa"/>
        <w:jc w:val="left"/>
        <w:tblInd w:w="0" w:type="dxa"/>
        <w:tblLayout w:type="fixed"/>
        <w:tblCellMar>
          <w:top w:w="28" w:type="dxa"/>
          <w:left w:w="28" w:type="dxa"/>
          <w:bottom w:w="28" w:type="dxa"/>
          <w:right w:w="28" w:type="dxa"/>
        </w:tblCellMar>
      </w:tblPr>
      <w:tblGrid>
        <w:gridCol w:w="3346"/>
        <w:gridCol w:w="146"/>
        <w:gridCol w:w="199"/>
        <w:gridCol w:w="922"/>
        <w:gridCol w:w="199"/>
        <w:gridCol w:w="199"/>
        <w:gridCol w:w="199"/>
        <w:gridCol w:w="922"/>
        <w:gridCol w:w="146"/>
        <w:gridCol w:w="146"/>
        <w:gridCol w:w="192"/>
        <w:gridCol w:w="890"/>
        <w:gridCol w:w="192"/>
        <w:gridCol w:w="192"/>
        <w:gridCol w:w="192"/>
        <w:gridCol w:w="890"/>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w:t>
            </w:r>
          </w:p>
        </w:tc>
        <w:tc>
          <w:tcPr>
            <w:tcW w:w="39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23,597</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23,597</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22,533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an effective tax rate of 0.0% for both the three and nine months ended September 30, 2024 and 2023. The Company continues to incur operating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nine months ended September 30, 2024 and 2023, the Company has evaluated all available evidence, both positive and negative, including historical levels of income, expectations and risks associated with estimates of future taxable income and has determined that it is more likely than not that its net deferred tax assets will not be realized. Due to uncertainties surrounding the realization of the deferred tax assets, the Company continues to maintain a full valuation allowance against its net deferred tax assets.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2_managements_discussion"/>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financial statements and related notes included elsewhere in this Quarterly Report on Form 10-Q and our audited financial statements and the related notes and the discussion under the heading “Management’s Discussion and Analysis of Financial Condition and Results of Operations” for the year ended December 31, 2023 included in our final prospectus, dated October 10, 2024, filed with the SEC pursuant to Rule 424(b) under the Securities Act of 1933</w:t>
      </w:r>
      <w:r>
        <w:rPr>
          <w:rFonts w:ascii="Times New Roman" w:hAnsi="Times New Roman"/>
          <w:color w:val="000000"/>
          <w:sz w:val="20"/>
        </w:rPr>
        <w:t xml:space="preserve">, </w:t>
      </w:r>
      <w:r>
        <w:rPr>
          <w:rFonts w:ascii="Times New Roman" w:hAnsi="Times New Roman"/>
          <w:i/>
          <w:color w:val="000000"/>
          <w:sz w:val="20"/>
        </w:rPr>
        <w:t>as amended (the “Securities Act”) on October 11, 2024 (the “Prospectus”). In addition to historical financial information, the following discussion contains forward 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commercial-stage medical technology company focused on transforming the diagnosis and management of patients with serious neurological conditions. We have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initially focused on becoming the standard of care for the detection and management of seizures in the acute care setting, where the technological and operational limitations of conventional EEG systems have contributed to significant delays in seizure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in the acute care setting, resulting in improved patient outcomes and hospital and payer economics. As of September 30, 2024, the Ceribell System has been adopted by more than 500 active accounts, ranging from top academic centers to small community hospitals, and has been used to care for over 100,000 patients. For information regarding how patient care and clinical outcomes are measured, see “Business—Market Overview—Challenges of Managing Seizures in the Acute Care Setting” in the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specifically designed the Ceribell System to address the limitations of conventional EEG in the acute care setting and improve clinical outcomes of critically ill patients at high risk of seizures. The Ceribell System integrates proprietary, highly portable hardware with AI-powered algorithms to aid in the detection and management of seizures. Our hardware is composed of a disposable, flexible headband and a pocket-sized, battery-operated recorder used to capture and wirelessly transmit EEG signals. The hardware is simple to use and, after approximately one hour of training, can be applied within minutes by any non-specialized healthcare professional. EEG data captured by the recorder is interpreted by our proprietary AI-powered seizure detection algorithm, Clarity, which continuously monitors the patient’s EEG signal and can support the clinician’s real-time assessment of seizure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Ceribell EEG becoming the standard of care for the detection and management of seizures in the acute care setting. There are approximately 5,800 acute care facilities in the United States that we believe could benefit from our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within two to four years and, in the future, elsewhere outside of the United States. We also plan to engage in market access initiatives in attractive international regions in which we see significant opportunity.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headband and recorder from our facilities in Sunnyvale, California. Contract manufacturers in China assemble the Ceribell headband, with final inspection and labelling completed at our California facilities. We have dual sources for major components of the headband. The components for our recorder are procured from various suppliers and shipped to our facilities for final testing and assembly.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research and development activities, obtaining FDA clearances and other regulatory achievements, business planning, raising capital, establishing and maintaining our intellectual property portfolio, conducting direct sales efforts and marketing initiatives, conducting clinical studies, and providing general and administrative support for these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bookmarkStart w:id="11" w:name="page89"/>
      <w:bookmarkEnd w:id="11"/>
      <w:r>
        <w:rPr>
          <w:rFonts w:ascii="Times New Roman" w:hAnsi="Times New Roman"/>
          <w:color w:val="000000"/>
          <w:sz w:val="20"/>
        </w:rPr>
        <w:t>As of September 30, 2024, we had an accumulated deficit of $154.4 million. To date, we have funded our operations primarily through proceeds from the sale of shares of our redeemable convertible preferred stock, term loan proceeds, and cash generated from the sale of headbands and subscriptions. As of September 30, 2024, we had $14.1 million in cash and cash equivalents. For the period from our inception through September 30, 2024, we had received aggregate gross proceeds of $151.0 million from sales of our common stock, convertible notes, and redeemable convertible preferred stock and $35.0 million from term loans. In February 2024, we executed a Venture Loan and Security Agreement (“VLSA”) with Silicon Valley Bank, a division of First-Citizens Bank &amp; Trust Company (“SVB”), as a lender, and Horizon Technology Finance Corporation (“Horizon”), as a lender and collateral agent of $50.0 million. The Company drew $20.0 million of the $50.0 million term loan commitment at closing with a $30.0 million term loan commitment remaining. The Company used a portion of the proceeds to pay the remaining principal and end-of-term fee of prior term loan as well as the fees associated with the VLSA. Net proceeds were $7.6 million. Concurrent with the VLSA, we also entered into a Loan and Security Agreement with SVB for a senior revolving line of credit of up to $10.0 million (“Revolving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operating losses since the commencement of our operations and we expect to continue to incur losses as we grow and continue the transition to operating as a public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Model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for the foreseeable future.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Adoption of the Ceribell System in new accounts. </w:t>
      </w:r>
      <w:r>
        <w:rPr>
          <w:rFonts w:ascii="Times New Roman" w:hAnsi="Times New Roman"/>
          <w:color w:val="000000"/>
          <w:sz w:val="20"/>
        </w:rPr>
        <w:t>As of September 30, 2024, we had over 500 active accounts. We define active accounts as those with an active subscription or recent headband usage, which is typically considered to have occurred during the previous six months. When determining the number of active accounts, we do not count a care facility (such as a hospital) as more than one account, even though the facility may have both an Emergency Department (“ED”) and an Intensive Care Unit (“ICU”) using the Ceribell System. In addition, the headbands used as part of the Ceribell System are designed to be used only once by a single patient, so an active account is expected to purchase multiple headbands to be used as part of the Ceribell System. There are approximately 5,800 acute care facilities in the United States that we believe could benefit from our system. We believe that any facility with either an Intensive Care Unit (“ICU”) or Emergency Department (“ED”), or both, has patients who could benefit from the Ceribell System, because the patients arriving at such facilities may experience seizures triggered by the conditions leading them to seek acute medical care. We have initially targeted a subset of these acute care facilities through our commercial organization, prioritizing certain facilities based on factors such as geographic characteristics and sales potential. Over time, we expect to target additional acute care facilities as we grow our sales. To penetrate these hospitals, we continue to increase the size of our commercial organization. This team comprises TMs and CAMs, who are responsible for new account acquisition by engaging with key decision makers to educate them about the value proposition of the Ceribell System. As we seek to increase our account base, we expect that our revenue will increase due to increased utilization of the headbands and therefore increased product revenue, as well as new Clarity subscribers and increased subscription revenue. The rate at which we grow our commercial organization and the speed at which newly hired personnel become effective can impact our revenue growth and our costs incurred in anticipation of such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Utilization of the Ceribell System within our existing customer base.</w:t>
      </w:r>
      <w:r>
        <w:rPr>
          <w:color w:val="000000"/>
        </w:rPr>
        <w:t xml:space="preserve"> </w:t>
      </w:r>
      <w:r>
        <w:rPr>
          <w:rFonts w:ascii="Times New Roman" w:hAnsi="Times New Roman"/>
          <w:color w:val="000000"/>
          <w:sz w:val="20"/>
        </w:rPr>
        <w:t>Our revenue is impacted by the utilization of the headband component of the Ceribell System within hospitals. Because the headbands used as part of the Ceribell System are designed to be used only once by a single patient, utilization has a direct relationship with our product revenue. Within each hospital, we are initially focused on site onboarding and launch. Currently, many patients are not promptly monitored by EEG, as a physician may not be aware of the risk of seizures in a given patient population. Our CAMs work to raise awareness of our technology as well as, non-convulsive seizures generally, and the risks of delayed treatment. Even at facilities with access to the Ceribell System, clinicians may not use Ceribell on all eligible patients if they are not fully aware of the risks of seizures and the benefits of our solution. Once a launch is complete, our CAMs drive greater utilization of the Ceribell System within the hospital by reinforcing our value proposition, increasing disease state awareness, and supporting the integration of standard protocols or workflows for monitoring at-risk patients. CAMs also are focused on expanding the use of our system into additional departments within the hospital. As hospitals and physicians gain exposure to our system, we expect to leverage their experiences to increase usage and establish rapid EEG as the standard of care for the detection and management of seizures in the acute care setting.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Investment in research and development to drive innovation and expand our addressable market.</w:t>
      </w:r>
      <w:r>
        <w:rPr>
          <w:color w:val="000000"/>
        </w:rPr>
        <w:t xml:space="preserve"> </w:t>
      </w:r>
      <w:r>
        <w:rPr>
          <w:rFonts w:ascii="Times New Roman" w:hAnsi="Times New Roman"/>
          <w:color w:val="000000"/>
          <w:sz w:val="20"/>
        </w:rPr>
        <w:t>Our research and development initiatives are focused on introducing enhancements, features, and improvements aimed at increasing the value provided by our system for diagnosing and monitoring seizures in the acute care setting. We believe the platform nature of our system will enable us to efficiently deploy it for use in other serious neurological conditions beyond seizures, and we have begun the technical validation process for several additional indications.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from two recurring sources. Product revenue is generated by the sale of our disposable headbands that are intended for single patient use. Subscription revenue is generated by monthly subscription fees charged to our hospital customers for use of Clarity, recorders, and our portal. Revenue from sales of headbands is recognized at a point in time upon transfer of control of the product. We generally recognize subscription revenue ratably over the related contractual term beginning on the date that the system is made available to a customer. Our revenue fluctuates primarily based on the number of active accounts and the volume of headband usage.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revenue will continue to fluctuate quarter-to-quarter due to a variety of factors, including the potential success of our sales force in extending adoption of the Ceribell System to new accounts and expanding the utilization of our system in existing accounts. For purposes of managing our business, we do not separately track increases in revenue solely attributable to new accounts. We may experience fluctuations in the number of headbands used by our customers based on seasonal factors that impact the number of patients in the acute care setting. For example, the number of patients in the intensive care unit is typically lower during the summer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primarily of the cost of materials and labor to manufacture headbands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increases to sales prices, the timing of our acquisition of new customers, renewals of and follow-on sales to existing customers, costs associated with third-party hosting fees, costs associated with third party manufacturing and supply chain purchases of inventory, and other direct costs such as tariffs and shipping. We expect our gross margin to remain relatively constant over the short term and to increase over the long term as we focus on optimizing our manufacturing processes and to the extent our production volume increases, our fixed manufacturing costs would be spread over a larger number of units, thereby reducing our per-unit manufacturing costs. Our gross margin may fluctuate from period to period, based upon the factors described above and in the section titled “Risk Factors” included elsewhere in this Quarterly Report on Form 10-Q.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bookmarkStart w:id="12" w:name="page91"/>
      <w:bookmarkEnd w:id="12"/>
      <w:r>
        <w:rPr>
          <w:rFonts w:ascii="Times New Roman" w:hAnsi="Times New Roman"/>
          <w:color w:val="000000"/>
          <w:sz w:val="20"/>
        </w:rPr>
        <w:t>Research and development expenses are incurred in connection with the advancement of the Ceribell System with the goal to improve and expand on our existing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our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improve and optimize our algorithm, leverage our platform to expand indications, and develop products for use beyond the acute care setting.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in critically ill patient populations, including expenses related to travel, conferences, trade shows, and consulting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sales and marketing expenses to increase for the foreseeable future as we continue to increase the size of our sales organization and market penetration in the United States, seek to expand indications, and potentially establish an international presence by pursuing marketing authorizations and engaging in other market access initiatives in international regions in which we see significant potential opportunity. However, we expect sales and marketing expenses to decrease as a percentage of revenue primarily as, and to the extent that, our revenue grows.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However, we expect general and administrative expenses to decrease as a percentage of revenue primarily as, and to the extent, our revenue grows.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is primarily interest income on our cash and cash equivalents, interest expense on our term loans, and change in the fair value of the warrant liability. Interest expense primarily consists of interest on our term loans and a non-cash interest charge related to amortization of debt issuance costs. Gains and losses related to the change in fair value of the redeemable convertible preferred stock warrant liability issued as a part of our term loans are recognized in the income statement each quarter until the warrants are exercised, expire, or become exercisable into shares of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 for the Three and Nine Months Ended September 30, 2024 and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pStyle w:val="TextBody"/>
        <w:bidi w:val="0"/>
        <w:jc w:val="both"/>
        <w:rPr/>
      </w:pPr>
      <w:r>
        <w:rPr/>
        <w:t> </w:t>
      </w:r>
    </w:p>
    <w:tbl>
      <w:tblPr>
        <w:tblW w:w="9874" w:type="dxa"/>
        <w:jc w:val="left"/>
        <w:tblInd w:w="0" w:type="dxa"/>
        <w:tblLayout w:type="fixed"/>
        <w:tblCellMar>
          <w:top w:w="28" w:type="dxa"/>
          <w:left w:w="28" w:type="dxa"/>
          <w:bottom w:w="28" w:type="dxa"/>
          <w:right w:w="28" w:type="dxa"/>
        </w:tblCellMar>
      </w:tblPr>
      <w:tblGrid>
        <w:gridCol w:w="3791"/>
        <w:gridCol w:w="146"/>
        <w:gridCol w:w="264"/>
        <w:gridCol w:w="921"/>
        <w:gridCol w:w="207"/>
        <w:gridCol w:w="182"/>
        <w:gridCol w:w="264"/>
        <w:gridCol w:w="846"/>
        <w:gridCol w:w="166"/>
        <w:gridCol w:w="146"/>
        <w:gridCol w:w="211"/>
        <w:gridCol w:w="631"/>
        <w:gridCol w:w="166"/>
        <w:gridCol w:w="146"/>
        <w:gridCol w:w="243"/>
        <w:gridCol w:w="628"/>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3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pPr>
            <w:r>
              <w:rPr/>
              <w:t> </w:t>
            </w:r>
          </w:p>
        </w:tc>
      </w:tr>
      <w:tr>
        <w:trPr/>
        <w:tc>
          <w:tcPr>
            <w:tcW w:w="3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13,321</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17,195</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111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pPr>
            <w:r>
              <w:rPr/>
              <w:t> </w:t>
            </w:r>
          </w:p>
        </w:tc>
      </w:tr>
      <w:tr>
        <w:trPr/>
        <w:tc>
          <w:tcPr>
            <w:tcW w:w="3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15,011</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400"/>
              <w:jc w:val="left"/>
              <w:rPr/>
            </w:pPr>
            <w:r>
              <w:rPr/>
              <w:t> </w:t>
            </w:r>
          </w:p>
        </w:tc>
      </w:tr>
      <w:tr>
        <w:trPr/>
        <w:tc>
          <w:tcPr>
            <w:tcW w:w="3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9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9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24,948</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(9,937</w:t>
            </w:r>
          </w:p>
        </w:tc>
        <w:tc>
          <w:tcPr>
            <w:tcW w:w="2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9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400"/>
              <w:jc w:val="left"/>
              <w:rPr/>
            </w:pPr>
            <w:r>
              <w:rPr/>
              <w:t> </w:t>
            </w:r>
          </w:p>
        </w:tc>
      </w:tr>
      <w:tr>
        <w:trPr/>
        <w:tc>
          <w:tcPr>
            <w:tcW w:w="379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2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(7,054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9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600"/>
              <w:jc w:val="left"/>
              <w:rPr/>
            </w:pPr>
            <w:r>
              <w:rPr/>
              <w:t> </w:t>
            </w:r>
          </w:p>
        </w:tc>
      </w:tr>
      <w:tr>
        <w:trPr/>
        <w:tc>
          <w:tcPr>
            <w:tcW w:w="3791"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(10,417</w:t>
            </w:r>
          </w:p>
        </w:tc>
        <w:tc>
          <w:tcPr>
            <w:tcW w:w="20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2"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(7,054</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28"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9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tbl>
      <w:tblPr>
        <w:tblW w:w="9829" w:type="dxa"/>
        <w:jc w:val="left"/>
        <w:tblInd w:w="0" w:type="dxa"/>
        <w:tblLayout w:type="fixed"/>
        <w:tblCellMar>
          <w:top w:w="28" w:type="dxa"/>
          <w:left w:w="28" w:type="dxa"/>
          <w:bottom w:w="28" w:type="dxa"/>
          <w:right w:w="28" w:type="dxa"/>
        </w:tblCellMar>
      </w:tblPr>
      <w:tblGrid>
        <w:gridCol w:w="3791"/>
        <w:gridCol w:w="146"/>
        <w:gridCol w:w="248"/>
        <w:gridCol w:w="866"/>
        <w:gridCol w:w="195"/>
        <w:gridCol w:w="171"/>
        <w:gridCol w:w="248"/>
        <w:gridCol w:w="866"/>
        <w:gridCol w:w="166"/>
        <w:gridCol w:w="146"/>
        <w:gridCol w:w="211"/>
        <w:gridCol w:w="676"/>
        <w:gridCol w:w="166"/>
        <w:gridCol w:w="146"/>
        <w:gridCol w:w="202"/>
        <w:gridCol w:w="669"/>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3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pPr>
            <w:r>
              <w:rPr/>
              <w:t> </w:t>
            </w:r>
          </w:p>
        </w:tc>
      </w:tr>
      <w:tr>
        <w:trPr/>
        <w:tc>
          <w:tcPr>
            <w:tcW w:w="3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35,932</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46,910</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ind w:left="0" w:right="0" w:firstLine="200"/>
              <w:jc w:val="left"/>
              <w:rPr/>
            </w:pPr>
            <w:r>
              <w:rPr/>
              <w:t> </w:t>
            </w:r>
          </w:p>
        </w:tc>
      </w:tr>
      <w:tr>
        <w:trPr/>
        <w:tc>
          <w:tcPr>
            <w:tcW w:w="37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6,398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40,512</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400"/>
              <w:jc w:val="left"/>
              <w:rPr/>
            </w:pPr>
            <w:r>
              <w:rPr/>
              <w:t> </w:t>
            </w:r>
          </w:p>
        </w:tc>
      </w:tr>
      <w:tr>
        <w:trPr/>
        <w:tc>
          <w:tcPr>
            <w:tcW w:w="3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9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33,812</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9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67,337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(26,825</w:t>
            </w:r>
          </w:p>
        </w:tc>
        <w:tc>
          <w:tcPr>
            <w:tcW w:w="1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(21,660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9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400"/>
              <w:jc w:val="left"/>
              <w:rPr/>
            </w:pPr>
            <w:r>
              <w:rPr/>
              <w:t> </w:t>
            </w:r>
          </w:p>
        </w:tc>
      </w:tr>
      <w:tr>
        <w:trPr/>
        <w:tc>
          <w:tcPr>
            <w:tcW w:w="379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1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(21,179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(6,700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9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ind w:left="0" w:right="0" w:firstLine="600"/>
              <w:jc w:val="left"/>
              <w:rPr/>
            </w:pPr>
            <w:r>
              <w:rPr/>
              <w:t> </w:t>
            </w:r>
          </w:p>
        </w:tc>
      </w:tr>
      <w:tr>
        <w:trPr/>
        <w:tc>
          <w:tcPr>
            <w:tcW w:w="3791"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(27,879</w:t>
            </w:r>
          </w:p>
        </w:tc>
        <w:tc>
          <w:tcPr>
            <w:tcW w:w="19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9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 Not Meaningful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the Three and Nine Months Ended September 30, 2024 and 2023</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revenue for the three and nine-months period ended September 30, 2024, increased $4.6 million and $11.4 million, or 52% and 46%, respectively, compared to the same periods of fiscal year 2023. Product revenue growth is primarily driven by the addition of new customers and an increase in utilization of headbands and resulting headband sales, driven by continued customer education that resulted in increased awareness and adoption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revenue for the three and nine-months period ended September 30, 2024, increased $1.0 million and $3.4 million, or 36% and 46%, respectively, compared to the same periods of fiscal year 2023. Subscription revenue growth is primarily driven by an increase in adoption of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cost of revenue for the three and nine-months period ended September 30, 2024, increased $0.3 million and $1.3 million, or 18% and 28%, respectively, compared to the same periods of fiscal year 2023 The increase in cost of goods sold for products was primarily due to an increase in headband sales to new and existing active accounts, partially offset by a decrease in the unit cost of materials.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cost of revenue for the three and nine-months period ended September 30, 2024, decreased $0.02 million and increased $0.04 million, or (19)% and 14%, respectively, compared to the same periods of fiscal year 2023. The increase in subscription cost of revenue was primarily due to increased hosting costs for new active accounts for subscriptions and incremental recorder depreciation associated with new subscriptions.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 and Gross Margin</w:t>
      </w:r>
    </w:p>
    <w:p>
      <w:pPr>
        <w:pStyle w:val="TextBody"/>
        <w:bidi w:val="0"/>
        <w:jc w:val="both"/>
        <w:rPr/>
      </w:pPr>
      <w:r>
        <w:rPr/>
        <w:t> </w:t>
      </w:r>
    </w:p>
    <w:tbl>
      <w:tblPr>
        <w:tblW w:w="7756" w:type="dxa"/>
        <w:jc w:val="left"/>
        <w:tblInd w:w="0" w:type="dxa"/>
        <w:tblLayout w:type="fixed"/>
        <w:tblCellMar>
          <w:top w:w="28" w:type="dxa"/>
          <w:left w:w="28" w:type="dxa"/>
          <w:bottom w:w="28" w:type="dxa"/>
          <w:right w:w="28" w:type="dxa"/>
        </w:tblCellMar>
      </w:tblPr>
      <w:tblGrid>
        <w:gridCol w:w="2236"/>
        <w:gridCol w:w="146"/>
        <w:gridCol w:w="271"/>
        <w:gridCol w:w="870"/>
        <w:gridCol w:w="348"/>
        <w:gridCol w:w="187"/>
        <w:gridCol w:w="271"/>
        <w:gridCol w:w="735"/>
        <w:gridCol w:w="271"/>
        <w:gridCol w:w="146"/>
        <w:gridCol w:w="214"/>
        <w:gridCol w:w="582"/>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w:t>
            </w:r>
          </w:p>
        </w:tc>
        <w:tc>
          <w:tcPr>
            <w:tcW w:w="348"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w:t>
            </w:r>
          </w:p>
        </w:tc>
        <w:tc>
          <w:tcPr>
            <w:tcW w:w="348"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348"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758" w:type="dxa"/>
        <w:jc w:val="left"/>
        <w:tblInd w:w="0" w:type="dxa"/>
        <w:tblLayout w:type="fixed"/>
        <w:tblCellMar>
          <w:top w:w="28" w:type="dxa"/>
          <w:left w:w="28" w:type="dxa"/>
          <w:bottom w:w="28" w:type="dxa"/>
          <w:right w:w="28" w:type="dxa"/>
        </w:tblCellMar>
      </w:tblPr>
      <w:tblGrid>
        <w:gridCol w:w="2236"/>
        <w:gridCol w:w="146"/>
        <w:gridCol w:w="250"/>
        <w:gridCol w:w="800"/>
        <w:gridCol w:w="321"/>
        <w:gridCol w:w="172"/>
        <w:gridCol w:w="250"/>
        <w:gridCol w:w="800"/>
        <w:gridCol w:w="271"/>
        <w:gridCol w:w="146"/>
        <w:gridCol w:w="211"/>
        <w:gridCol w:w="676"/>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2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40,512</w:t>
            </w:r>
          </w:p>
        </w:tc>
        <w:tc>
          <w:tcPr>
            <w:tcW w:w="321"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29,859</w:t>
            </w:r>
          </w:p>
        </w:tc>
        <w:tc>
          <w:tcPr>
            <w:tcW w:w="321"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w:t>
            </w:r>
          </w:p>
        </w:tc>
        <w:tc>
          <w:tcPr>
            <w:tcW w:w="321"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Gross profit increased $5.3 million and $13.5 million, or 54% and 50%, for the three and nine months ended September 30, 2024, respectively, compared to the same periods of fiscal year 2023. The increase is primarily due to increased revenue and decreased cost of goods sold per unit, as non-variable costs are allocated among a larger number of units.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$1.1 million or 47%, for the three months ended September 30, 2024, compared to the same period of fiscal year 2023. The increase was primarily due to an increase of $0.6 million in personnel and related expenses directly associated with an increase in headcount, as well as an increase of $0.4 million in clinical study and professional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increased $3.3 million or 53%, for the nine months ended September 30, 2024, compared to the same period of fiscal year 2023. The increase was primarily due to an increase of $1.9 million in personnel and related expenses directly associated with an increase in headcount, as well as an increase of $1.3 million in clinical study and professional expenses.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Sales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$2.9 million, or 31%, for the three months ended September 30, 2024, respectively, compared to the same periods of fiscal year 2023. The increase was primarily due to an increase in personnel and related expenses directly associated with an increase in headcount.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$5.7 million, or 20%, for the nine months ended September 30, 2024, respectively, compared to the same periods of fiscal year 2023. The increase was primarily due to an increase in personnel and related expenses directly associated with an increase in headcount.</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$4.0 million or 81%, for the three months ended September 30, 2024, compared to the same period of fiscal year 2023. The increase was primarily due to an increase of $2.1 million in personnel and related expenses directly associated with an increase in headcount, as well as an increase of $1.7 million in legal, accounting, and professional service fees related to our transition to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increased $9.6 million or 67%, for the nine months ended September 30, 2024, compared to the same period of fiscal year 2023. The increase was primarily due to an increase of $5.7 million in personnel and related expenses directly associated with an increase in headcount, as well as an increase of $3.1 million in legal, accounting, and professional service fees related to our transition to a public company, and an increase of $0.4 million in increased software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decreased $0.6 million for the three months ended September 30, 2024 as compared to the same period for fiscal year 2023. The decrease was primarily due to a decrease of $0.4 million interest income related to a decrease in cash and $0.2 million in other expense as a result of the change in fair value of the 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decreased $1.5 million for the nine months ended September 30, 2024 as compared to the same period for fiscal year 2023. The decrease was primarily due to a decrease of $0.9 million interest income related to a decrease in cash and $0.4 million in other expense as a result of the change in fair value of the warrant liability.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a summary of our cash flows for each of the periods presented:</w:t>
      </w:r>
    </w:p>
    <w:p>
      <w:pPr>
        <w:pStyle w:val="TextBody"/>
        <w:bidi w:val="0"/>
        <w:jc w:val="both"/>
        <w:rPr/>
      </w:pPr>
      <w:r>
        <w:rPr/>
        <w:t> </w:t>
      </w:r>
    </w:p>
    <w:tbl>
      <w:tblPr>
        <w:tblW w:w="6417" w:type="dxa"/>
        <w:jc w:val="left"/>
        <w:tblInd w:w="0" w:type="dxa"/>
        <w:tblLayout w:type="fixed"/>
        <w:tblCellMar>
          <w:top w:w="28" w:type="dxa"/>
          <w:left w:w="28" w:type="dxa"/>
          <w:bottom w:w="28" w:type="dxa"/>
          <w:right w:w="28" w:type="dxa"/>
        </w:tblCellMar>
      </w:tblPr>
      <w:tblGrid>
        <w:gridCol w:w="3466"/>
        <w:gridCol w:w="146"/>
        <w:gridCol w:w="248"/>
        <w:gridCol w:w="866"/>
        <w:gridCol w:w="195"/>
        <w:gridCol w:w="171"/>
        <w:gridCol w:w="248"/>
        <w:gridCol w:w="86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(25,068</w:t>
            </w:r>
          </w:p>
        </w:tc>
        <w:tc>
          <w:tcPr>
            <w:tcW w:w="1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the nine months ended September 30, 2024, consisted primarily of our net loss of $27.9 million, offset by non-cash charges of stock-based compensation of $3.2 million, depreciation and amortization of $1.1 million, and the change in fair value of our redeemable convertible preferred stock warrants. Additionally we had a net increase in operating assets of $3.6 million and a net decrease in operating liabilities of $1.5 million. Net operating assets increased due to the timing of inventory purchases and accounts receivable due to the overall increase in sales in the nine months ended September 30, 2024. Net operating liabilities decreased primarily due to timing of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during the nine months ended September 30, 2023, consisted primarily of our net loss of $21.2 million, offset by non-cash charges of stock-based compensation of $1.9 million and depreciation and amortization of $0.9 million. Additionally we had a net increase in operating assets of $4.9 million and a net decrease in operating liabilities of $0.8 million. Net operating assets increased due to the timing of inventory purchases and accounts receivable due to the overall increase in sales in the nine months ended September 30, 2023. Net operating liabilities decreased primarily due to timing of payments.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during both the nine months ended September 30, 2024 and 2023 was $1.1 million, and consisted of purchases of equipment and recorders provided to customers.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in financing activities during the nine months ended September 30, 2024, consisted primarily of $0.9 million in proceeds from the exercise of options, $2.8 million in payments of deferred initial public offering costs, and $7.6 million in net proceeds from debt issuance.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provided in financing activities during the nine months ended September 30, 2023, consisted primarily of $0.6 million in proceeds from the exercise of options.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contractual obligations at September 30, 2024 include: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Debt </w:t>
      </w:r>
      <w:r>
        <w:rPr>
          <w:rFonts w:ascii="Times New Roman" w:hAnsi="Times New Roman"/>
          <w:color w:val="000000"/>
          <w:sz w:val="20"/>
        </w:rPr>
        <w:t>— Principal payments required on long-term debt outstanding at September 30, 2024, was $20.0 million. Please refer to the section titled “Liquidity” in Note 1 for a discussion of changes in commitments.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 As of September 30, 2024, estimated contractual obligations for operating lease payments were $2.8 million due within 28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to our financial statements elsewhere in these financial statements for information about our significant accounting policies and how estimates are involved in the preparation of our financial statements. There have been no material changes to our significant accounting policies and estimates as described in the Prospectus.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 to our financial statements included elsewhere in this </w:t>
      </w:r>
      <w:r>
        <w:rPr>
          <w:rFonts w:ascii="Times New Roman" w:hAnsi="Times New Roman"/>
          <w:color w:val="000000"/>
          <w:sz w:val="18"/>
        </w:rPr>
        <w:t xml:space="preserve">Quarterly Report on Form 10-Q </w:t>
      </w:r>
      <w:r>
        <w:rPr>
          <w:rFonts w:ascii="Times New Roman" w:hAnsi="Times New Roman"/>
          <w:color w:val="000000"/>
          <w:sz w:val="20"/>
        </w:rPr>
        <w:t>for a description of recent accounting pronouncements applicable to our financial statements.</w:t>
      </w:r>
    </w:p>
    <w:p>
      <w:pPr>
        <w:pStyle w:val="TextBody"/>
        <w:bidi w:val="0"/>
        <w:spacing w:before="360" w:after="283"/>
        <w:jc w:val="both"/>
        <w:rPr>
          <w:rFonts w:ascii="Times New Roman" w:hAnsi="Times New Roman"/>
          <w:b/>
          <w:color w:val="000000"/>
          <w:sz w:val="20"/>
        </w:rPr>
      </w:pPr>
      <w:bookmarkStart w:id="13" w:name="item_3_q_q_disclosures"/>
      <w:bookmarkEnd w:id="13"/>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4" w:name="item_4_controls_and_procedures"/>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these disclosure controls and procedures were effective at a reasonable assurance level as of September 30,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during the quarter ended September 30, 2024 by this Quarterly Report on Form 10-Q that have materially affected, or are reasonably likely to materially affect, our internal control over financial reporting.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5" w:name="part_ii_other_information"/>
      <w:bookmarkEnd w:id="15"/>
      <w:r>
        <w:rPr>
          <w:rFonts w:ascii="Times New Roman" w:hAnsi="Times New Roman"/>
          <w:b/>
          <w:color w:val="000000"/>
          <w:sz w:val="20"/>
        </w:rPr>
        <w:t>PART II—OTHER INFORMATION</w:t>
      </w:r>
    </w:p>
    <w:p>
      <w:pPr>
        <w:pStyle w:val="TextBody"/>
        <w:bidi w:val="0"/>
        <w:spacing w:before="360" w:after="283"/>
        <w:jc w:val="both"/>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Future litigation may be necessary to defend ourselves, our partners, and our customers by determining the scope, enforceability, and validity of third-party proprietary rights, to establish our proprietary rights or for other matters. Involvement in such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pStyle w:val="TextBody"/>
        <w:bidi w:val="0"/>
        <w:spacing w:before="360" w:after="283"/>
        <w:jc w:val="both"/>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Factors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This Quarterly Report on Form 10-Q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financial condition, results of operations, and prospects. This discussion should be read in conjunction with the other information in this Quarterly Report on Form 10-Q, including our unaudited condensed financial statements and the related notes and “Management’s Discussion and Analysis of Financial Condition and Results of Operations. The occurrence of any of the events or developments described below could have a material adverse effect on our business, financial condition, results of operations, and prospects. Additional risks and uncertainties not presently known to us or that we currently deem immaterial may also impair our business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and Industry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a limited operating history and have experienced periods of significant business changes in a short time, making it difficult for you to evaluate our business and future prospects. If we are unable to manage our business and any fluctuations in our business effectively, our business and growth prospects could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founded in 2014 and began selling Ceribell headbands, recorders, and portal access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growing to over 100 employees in 2021 and growing to over 200 employees in 2023. However, we have a limited operating history, which makes evaluation of our future prospects difficult. Since inception, we have had periods of significant growth in revenue and employees which have required us to scale the size of our organization as our business has rapidly changed. Any growth that we experience in the future will require us to further expand our sales and marketing and research and development personnel (including those with clinical, software and hardware expertise), our manufacturing operations, and our general and administrative infrastructure. While our quarterly revenues have generally increased each quarter since our commercial launch, our results of operations have fluctuated in the past, and our future quarterly and annual results of operations may fluctuate as we focus on increasing the demand for our products. We may need to make business decisions that could adversely affect our results of operations and prospects, such as modifications to our pricing and reimbursement strategy, business structure, or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challenges we face in managing our business, including the changing reimbursement, regulatory and competitive landscapes, place significant demands on our management, financial, operational, manufacturing, technological, and other resources, and we expect that managing our business will continue to place significant demands on our management and other resources and will require us to continue developing and improving our operational, financial and other internal controls, reporting systems, and procedures. In particular, continued growth increases the challenges involved in a number of areas, including recruiting and retaining sufficient skilled personnel, providing adequate training and supervision to maintain our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any changes in scale, related quality, or compliance assurance, including those related to any future additional indications for the Ceribell System, will be successfully implemented or that appropriate personnel will be available to facilitate the management of and changes to our business. Failure to implement necessary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quality and compliance procedures, transition to new manufacturing processes or supply chains, or hire or maintain necessary personnel could result 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business through the various challenges we face, we may not be 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a history of net losses, and we expect to incur additional substantial losses in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net losses since inception, and we expect to incur additional substantial losses in the foreseeable future. We incurred net losses of $10.4 million and $7.1 million for the three months ended September 30, 2024 and 2023, respectively, and $27.9 million and $21.2 million for the nine months ended September 30, 2024 and 2023, respectively. As of September 30, 2024, we had an accumulated deficit of $154.4 million. We also expect our operating expenses to increase in future periods, and if our revenue growth does not increase to more than offset these anticipated increases in our operating expenses, we may not be able to achieve or maintain profitability, and our business, financial condition, results of operations, and prospects will be harmed. Since inception, we have spent significant amounts to develop the Ceribell System and related algorithms, to fund clinical studies, to develop and build our manufacturing capacities, to scale our commercial operations, and to recruit and retain key talent.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subscriptions, typically on 30 days’ notice to us without payment of a penalty or termination fee, and we may not be able to replace any customers that elect to terminate or not renew their subscriptions.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conveying to hospitals and healthcare professionals the benefits of the Ceribell System in the acute care setting compared to the standard of care, which includes conventional EEG systems. 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produces by the Ceribell System. In addition, negative clinical research results or publicity or an adverse change to published or unpublished guidelines or recommendations from third parties (including, without limitation, medical societies) relating to the use, clinical benefit, or risk profile of the Ceribell System or other AI-enabled devices, or reduced montage EEGs or rapid EEGs in general, could result in negative perceptions by healthcare professionals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affect our brand and reputation. For example, Villamar et al. (2023), a study that retrospectively reviewed EEG recordings for 21 patients who were admitted to a medical intensive care unit after cardiac arrest, found that the Clarity algorithm that was in use at the time of the study did not detect seizures in the four patients who were experiencing them. While we constantly work to improve our algorithm and overall system, the technologies we work with are novel and complex, and we cannot assure you that there will not be additional negative reports on the Ceribell System in the future. Further, customers who are dissatisfied with their experiences with the Ceribell System as well as competitors may post negative reviews on social media, and we have been, and may in the future become, the subject of blog, forum, or other postings that contain negative statements about us and 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(if any)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 result in decreased sales of our products. A number of other factors, including the impacts of economic conditions and regulatory changes on hospital budgets and spending patterns, could potentially negatively affect new customer acquisitions and demand for our products.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operate in a highly competitive industry, and competitive pressures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and a number of smaller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our competitors may be able to offer products that are more technologically advanced, cost-effective, or attractive than the Ceribell System, and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Adapting our manufacturing and production capacities to evolving patterns of demand is expensive, time-consuming, and subject to significant uncertainties. We may not be able to adequately predict existing customer trends and may be unable to adjust our production and inventory levels in a timely manner.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market the Ceribell System directly to potential customers in the United States, where we face the risk of significant changes in the demand for our products, including demand for our disposable headbands based on usage rates. If demand decreases, we will need to implement capacity and cost reduction measures involving restructuring costs. If demand increases, we will be required to make capital expenditures related to increased production and expenditures to hire and train production, sales and marketing, and product support personnel. This would put pressure on our internal and third-party manufacturing capabilities. For example, a sudden increase in demand could require increased production of components, such as our disposable headbands that are intended for single patient use, so that our customers can timely deliver care to their patients. Adapting to changes in demand inherently lags behind the actual changes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and forecast of future demand.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dependent on international manufacturers and suppliers, which exposes us to foreign operational risks that may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manufacturers and suppliers that are based outside of the United States, including in China, to supply components used in the manufacturing of our products and complete the primary assembly and initial inspection of our headbands.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reliance on an international supply chain and operations exposes us to risks and uncertainties,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or material delays or disruption, including logistics challenges such as delays or disruptions in shipping;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higher prices for components used in the manufacturing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controlling quality of supplies and finished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trade protection measures, tariffs, and other duties, especially in light of trade disputes between the United States and several foreign countries, including China;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political, social, and economic instability;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outbreak of contagious diseases;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laws and business practices that favor local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interruptions and limitations in telecommunication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import and export license requirements and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in the protection of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inflation, recession and/or deflation;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threat of nationalization and expropriation;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exchange controls, currency restrictions, and fluctuations in currency values;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adverse tax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supplies being purchased through purchase orders without long-term guaranteed commitments from our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suppliers ceasing to do business with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labor disputes, terrorism, vandalism, natural disasters, or work stoppages.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these risks were to materialize, it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source and manufacture a substantial number of our products from third-party suppliers and manufacturers in China, which exposes us to risks inherent in doing business in China.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source and manufacture a substantial number of our products from third-party suppliers and manufacturers in China. We rely on two primary contract manufacturers in China to complete the manufacturing, primary assembly, and inspection of our headband. In addition, we have a team of contractors who are employed by an agency in China and perform monitoring and quality inspection services at the facilities of our manufacturers in China.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suppliers and manufacturers in China expose us to political, legal, and economic risks. Our operations and the operations of our third-party suppliers and manufacturers in China may be adversely affected by deterioration of the U.S.-China relationship; adverse changes in U.S. economic and political policies relating to China (and vice versa), such as policies favoring domestically manufactured products; and changes in the United States and Chinese laws and regulations such as those related to, among other things, sanctions, taxation, import and export restrictions, tariffs, environmental protection, land use rights, intellectual property,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currency controls, network security, labor and human rights practices, privacy, public health, and other matters. For example, in December 2021, the U.S. Congress enacted the Uyghur Forced Labor Prevention Act in an effort to prevent what it viewed as forced labor and human rights abuses in the Xinjiang Uyghur Autonomous Region (“XUAR”). If it is determined that our third-party suppliers and manufacturers produce or manufacture our components or products wholly or in part from the XUAR, then we could be prohibited from importing such components or products into the United States. In addition, the political, legal, and economic climate in China, both nationally and regionally, is fluid and unpredictable. Chinese trade regulations are in a state of flux, and we or our third-party suppliers and manufacturers in China may become subject to additional taxation, tariffs, and duties, including retaliatory trade restrictions. Sustained uncertainty about or worsening of tensions between the United States and China could also result in a global economic slowdown and long-term changes to global trade. Furthermore, the third parties we rely on in China may disclose our confidential information or intellectual property to competitors or third parties, which could result in the illegal distribution and sale of counterfeit versions of our products. If any of these events occur, our business, financial condition, results of operations, and prospects could be materially and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with the rapid development of the Chinese economy, the cost of labor has increased and may continue to increase in the future. Our results of operations will be materially and adversely affected if the labor costs of our suppliers and manufacturers increase significantly and are passed on to us. In addition, our manufacturers and suppliers may not be able to find a sufficient number of qualified workers due to the intensely competitive and fluid market for skilled labor in China, which would negatively affect our manufacturers’ and suppliers’ ability to meet our needs. Any of these events may materially and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If we cannot innovate at the pace of our competitors, we may not be able to develop or exploit new technologies in time to remain competitive.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We will also need to anticipate customer demand with respect to these technologies and which technological advances are most desirable in the EEG monitoring products and any future additional products we market. This need will result in requiring our employees to continue learning and adapting to new technologies, and us competing for highly skilled talent in a competitive market. Our operating results depend to a significant extent on our ability to anticipate and adapt to technological changes in the EEG monitoring market, maintain innovation, maintain a strong product pipeline, and reduce or maintain low costs for producing high-quality EEG monitoring products. Any inability to do so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Any future sales in international markets will subject us to additional costs and risks that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 date, all of our sales have been to customers in the United States. We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t>
      </w:r>
      <w:r>
        <w:rPr>
          <w:rFonts w:ascii="Times New Roman" w:hAnsi="Times New Roman"/>
          <w:i/>
          <w:color w:val="000000"/>
          <w:sz w:val="20"/>
        </w:rPr>
        <w:t>We face risks related to obtaining necessary foreign regulatory clearance or approvals</w:t>
      </w:r>
      <w:r>
        <w:rPr>
          <w:rFonts w:ascii="Times New Roman" w:hAnsi="Times New Roman"/>
          <w:color w:val="000000"/>
          <w:sz w:val="20"/>
        </w:rPr>
        <w:t xml:space="preserve">.” In addition, expansion into foreign markets will impose additional burdens on our executive and administrative personnel, finance and legal teams, sales and marketing teams, and general managerial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attract and retain senior management and other key personnel, our business may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our culture, our business may be negatively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Potential obstacles include reduced adoption of our culture by new employees, limited ability to maintain consistency of culture within business teams, and failure to attract and retain leaders who are mission-minded and support our culture.</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successfully develop new products and effectively manage their introduction or improve our existing products,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design and manufacturing processes and technical support for our products, may also become more complex. Accordingly, if we fail to effectively manage introductions of new or advanced products, our business may be adversely affected.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spend significant amounts on marketing and brand-building initiatives to acquire and retain customers, which may not be successful or cost effective.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spend significant amounts in marketing initiatives to increase market awareness of the Ceribell System and the prevalence of seizures in critically ill patient populations. Through our marketing and educational efforts, we reinforce the prevalence and severity of non-convulsive status epilepticus, the importance of prompt diagnosis and treatment, and the limitations of conventional EEG systems in the acute care setting. We believe our marketing programs are essential to increasing adoption of our system and expanding the use of EEG monitoring to a greater number of at-risk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have developed robust marketing initiatives, we may fail to identify marketing opportunities that satisfy our anticipated return on marketing spend or accurately predict customer acquisition or product-related concerns. If any of our marketing efforts prove less successful than anticipated in attracting new or retaining existing customers, we may not be able to recover our marketing spend, and our rates of customer acquisition and/or customer retention may fail to meet market expectations, which could have a material adverse effect on our business, financial condition, results of operations, and prospects. Our marketing efforts may not result in increased sales of our products, and we may be unable to compete effectively in the long term.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believe that building a strong brand and developing and achieving broad awareness of the Ceribell System is critical to achieving market success. If any of our brand-building activities prove less successful than anticipated, or such activities are inhibited by negative perceptions on the part of healthcare professionals, including with respect to AI-enabled devices or reduced montage EEG in general, or the safety, reliability and efficacy of the Ceribell System, it could have a material adverse impact on our ability to attract new and retain existing customers and on the use of our products by existing customers. If this were to occur, we might not be able to recover our brand-building spend, and our rates of customer acquisition and retention and product usage could fail to meet market expectations, any of which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contains highly complex electronic and other components which are sourced from external third parties, and there is an inherent risk that defects may occur in the production of any of our products. We rely on the suppliers’ internal procedures designed to minimize risks that may arise from quality issues, and perform quality checks ourselves, but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 harm. We may be sued if any of our devices allegedly causes injury or is found to be otherwise unsuitable during product testing, manufacturing, marketing, sale, or use. For example, Clarity is not designed to detect all short seizures, and users of the Ceribell System could allege that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a successful defense would require significant financial and management resources.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current or future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customers and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investigations, product recalls, withdrawals or labelling, marketing or promotional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sell our current or any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sale of our current or any future products we develop. Although we currently carry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size and expected growth of our addressable market has not been established with precision, and may be smaller than we estimate.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Alternative technologies or therapies addressing seizure, non-convulsive status epilepticus or other indications we intend to expand into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 the future be deemed to manufacture or contract to manufacture products that contain conflict minerals.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deemed to manufacture or contract to manufacture products that contain certain minerals that have been designated as “conflict minerals” under the Dodd-Frank Wall Street Reform and Consumer Protection Act. As a result, in future periods, we may be required to diligence the origin of such minerals and disclose and report whether or not such minerals originated in the Democratic Republic of the Congo or adjoining countries. The implementation of these new requirements could adversely affect the sourcing, availability, and pricing of materials used in the manufacture of our products. In addition, we may incur additional costs to comply with the disclosure requirements, including costs related to determining the source of any relevant minerals and metals used in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continued rapid growth could strain our personnel resources and infrastructure, and if we are unable to manage the anticipated growth of our business, our business, financial condition, results of operations, and prospects could be materially adversely effected.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rapid growth in business. Any growth that we experience in the future will pose challenges to our organization, requiring us to expand our sales, marketing, manufacturing, and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and unanticipated costs and disruptions to our operations. Additionally, rapid expansion could pose challenges to retaining our existing employees, for example, by requiring us to rely on overtime to increase capacity that could, in turn, result in greater employee attrition and/or a loss in productivity during the process of recruiting and training additional resources and add to our operating expenses. In addition, rapid and significant growth may strain our administrative and operational infrastructure, financial and management controls, and reporting systems and procedures. Our ability to manage our business and growth will depend on our ability to continue to improve our infrastructure, controls, systems, and procedures at a pace consistent with our growth. If we are unable to manage our growth effectively, it may be difficult for us to execute our business strategy and our business, financial condition, results of operations, and prospects may be materially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conditions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 In addition, inflation also affects our customers' purchasing power and thus could indirectly impact our revenues.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Hospitals, in particular, are experiencing and may continue to experience financial and operational pressures as a result of staffing shortages, the supply chain environment, and high inflation, which could impact their ability to access capital markets and other funding 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we have experienced, and may continue to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 Related to Regulatory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adequate reimbursement becomes unavailable for the diagnostic tests using our products, it could diminish our sales or affect our ability to sell the Ceribell System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discharged status, patient age, and complicating secondary diagnoses, among other things. In August 2023, CMS approved an NTAP under the Medicare inpatient prospective payment system for our newest Clarity algorithm, effective October 1, 2023. The NTAP designation for a product lasts for no more than three years for a specific indication. Once our new Clarity algorithm is no longer eligible for NTAP, the additional cost associated with the use of our products could affect our customers’ profit margin. In light of the potential additional associated cost, some of our target customers may be unwilling to adopt our products and some of our existing customers may terminate their contracts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customers that use our products may be </w:t>
      </w:r>
      <w:r>
        <w:rPr>
          <w:rFonts w:ascii="Times New Roman" w:hAnsi="Times New Roman"/>
          <w:color w:val="231F20"/>
          <w:sz w:val="20"/>
        </w:rPr>
        <w:t>subject to reimbursement claim denials upon submission of their claims. Customers may also be 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review new and existing technologies for possible coverage and can, without notice, deny or reverse coverage for new or existing products and tests. There can also be no assurance that third-party payer policies will provide coverage for tests using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In Europe, reimbursement is entirely regulated at member state level, varies significantly between countries, and member states are facing increased pressure to limit public healthcare spending.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hAnsi="Times New Roman"/>
          <w:color w:val="231F20"/>
          <w:sz w:val="20"/>
        </w:rPr>
        <w:t>relationships with providers are subject to scrutiny under these laws. The healthcare laws and regulations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Health Insurance Portability and Accountability Act of 1996, as amended by the Health Information Technology for Economic and Clinical Health Act of 2009, and regulations implemented thereunder (collectively, “HIPAA”), which, in 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to report annually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consumer protection and unfair competition laws, which broadly regulate marketplace activities and activities that potentially harm customers;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hAnsi="Times New Roman"/>
          <w:color w:val="231F20"/>
          <w:sz w:val="20"/>
        </w:rPr>
        <w:t xml:space="preserve">laws and regulations may restrict or prohibit a wide range of pricing, discounting, marketing and promotion, sales commission, customer incentive programs, and other business arrangements, as well as interactions with healthcare professionals through consultant arrangements, product training, sponsorships, or other activities. </w:t>
      </w:r>
      <w:r>
        <w:rPr>
          <w:rFonts w:ascii="Times New Roman" w:hAnsi="Times New Roman"/>
          <w:color w:val="000000"/>
          <w:sz w:val="20"/>
        </w:rPr>
        <w:t>Efforts to ensure that our business arrangements with third parties will comply with applicable healthcare and other laws and regulations will involve substantial costs. It is possible that governmental authorities will conclude that our business practices, including arrangements with teleneurology 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hAnsi="Times New Roman"/>
          <w:color w:val="231F20"/>
          <w:sz w:val="20"/>
        </w:rPr>
        <w:t>In addition, as a result of these investigations and qui tam 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other regulators (both domestic and foreign),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w:t>
      </w:r>
      <w:r>
        <w:rPr>
          <w:rFonts w:ascii="Times New Roman" w:hAnsi="Times New Roman"/>
          <w:color w:val="231F20"/>
          <w:sz w:val="20"/>
        </w:rPr>
        <w:t xml:space="preserve">industry, including the sale of medical devices, are subject to extensive laws and regulations intended to prevent fraud, misconduct, kickbacks, self-dealing, and other abusive practices.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w:t>
      </w:r>
      <w:r>
        <w:rPr>
          <w:rFonts w:ascii="Times New Roman" w:hAnsi="Times New Roman"/>
          <w:color w:val="000000"/>
          <w:sz w:val="20"/>
        </w:rPr>
        <w:t xml:space="preserve">oversight if we become subject to a consent decree or corporate integrity agreement, </w:t>
      </w:r>
      <w:r>
        <w:rPr>
          <w:rFonts w:ascii="Times New Roman" w:hAnsi="Times New Roman"/>
          <w:color w:val="231F20"/>
          <w:sz w:val="20"/>
        </w:rPr>
        <w:t>and curtailment of operations, any of which could adversely affect our business, financial condition, results of operations, and prospects.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policy changes, including recently enacted legislation reforming the U.S. healthcare system,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 On June 17, 2021, the U.S. Supreme Court dismissed the most recent challenge on procedural grounds that argued the ACA is unconstitutional in its entirety because the “individual mandate” was repealed by Congress.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the effect of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 healthcare may adversely affect our ability to set a price that we believe is fair for our products, our ability to generate revenue and achieve or maintain profitability, and 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of, or uncertainty with respect to, future coverage or reimbursement rates could affect demand for our products, which could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contracted physicians to provide remote EEG interpretation services to certain customers must be structured in compliance with state laws prohibiting the corporate practice of medicine or fee splitting and could be found to violate such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physicians providing remote EEG interpretation services to certain customers may implicate certain state laws that generally prohibit non-professional entities from providing licensed medical services or exercising control over licensed physicians or other healthcare professionals (such activities generally referred to as the “corporate practice of medicine”) or engaging in certain practices such as fee-splitting with such licensed professionals. The interpretation and enforcement of these laws vary significantly from state to state. There can be no assurance that these laws will be interpreted in a manner consistent with our practices or that other laws or regulations will not be enacted in the future that could have a material adverse effect on our business, financial condition, results of operations, and prospects. Regulatory authorities, state boards of medicine, state attorneys general, and other parties may assert that, despite the agreements through which we operate, we are nonetheless engaged in the provision of medical services and/or that our arrangements with the physicians constitute the unlawful practice of medicine and/or fee-splitting. If a jurisdiction’s prohibition on the corporate practice of medicine or fee-splitting is interpreted in a manner that is inconsistent with our practices, we would be required to restructure or terminate our arrangements with our employed and contracted physicians to bring our activities into compliance with such laws. A determination of non-compliance, or the termination of or failure to successfully restructure these relationships, could result in disciplinary action, penalties, damages, fines, and/or a loss of revenue, any of which could have a material adverse effect on our business, financial condition, results of operations, and prospects. State corporate practice and fee-splitting prohibitions also often impose penalties on healthcare professionals for aiding in the improper rendering of professional services, which could discourage physicians from providing reading services to our customers with whom we contract.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 and our failure to comply with applicable requirements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maintain marketing authorizations for our products, or to timely obtain necessary marketing authorizations for our future products, may have a material adverse effect on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hAnsi="Times New Roman"/>
          <w:i/>
          <w:color w:val="000000"/>
          <w:sz w:val="20"/>
        </w:rPr>
        <w:t xml:space="preserve">de novo </w:t>
      </w:r>
      <w:r>
        <w:rPr>
          <w:rFonts w:ascii="Times New Roman" w:hAnsi="Times New Roman"/>
          <w:color w:val="000000"/>
          <w:sz w:val="20"/>
        </w:rPr>
        <w:t xml:space="preserve">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hAnsi="Times New Roman"/>
          <w:i/>
          <w:color w:val="000000"/>
          <w:sz w:val="20"/>
        </w:rPr>
        <w:t xml:space="preserve">de novo </w:t>
      </w:r>
      <w:r>
        <w:rPr>
          <w:rFonts w:ascii="Times New Roman" w:hAnsi="Times New Roman"/>
          <w:color w:val="000000"/>
          <w:sz w:val="20"/>
        </w:rPr>
        <w:t xml:space="preserve">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hAnsi="Times New Roman"/>
          <w:i/>
          <w:color w:val="000000"/>
          <w:sz w:val="20"/>
        </w:rPr>
        <w:t xml:space="preserve">de novo </w:t>
      </w:r>
      <w:r>
        <w:rPr>
          <w:rFonts w:ascii="Times New Roman" w:hAnsi="Times New Roman"/>
          <w:color w:val="000000"/>
          <w:sz w:val="20"/>
        </w:rPr>
        <w:t>classification request, the applicant will receive authorization to market the device. This device type may be used subsequently as a predicate device for future 510(k) submissions.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PMA approval, 510(k) clearance and </w:t>
      </w:r>
      <w:r>
        <w:rPr>
          <w:rFonts w:ascii="Times New Roman" w:hAnsi="Times New Roman"/>
          <w:i/>
          <w:color w:val="000000"/>
          <w:sz w:val="20"/>
        </w:rPr>
        <w:t xml:space="preserve">de novo </w:t>
      </w:r>
      <w:r>
        <w:rPr>
          <w:rFonts w:ascii="Times New Roman" w:hAnsi="Times New Roman"/>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hAnsi="Times New Roman"/>
          <w:i/>
          <w:color w:val="000000"/>
          <w:sz w:val="20"/>
        </w:rPr>
        <w:t xml:space="preserve">de novo </w:t>
      </w:r>
      <w:r>
        <w:rPr>
          <w:rFonts w:ascii="Times New Roman" w:hAnsi="Times New Roman"/>
          <w:color w:val="000000"/>
          <w:sz w:val="20"/>
        </w:rPr>
        <w:t>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hAnsi="Times New Roman"/>
          <w:i/>
          <w:color w:val="000000"/>
          <w:sz w:val="20"/>
        </w:rPr>
        <w:t xml:space="preserve">de novo </w:t>
      </w:r>
      <w:r>
        <w:rPr>
          <w:rFonts w:ascii="Times New Roman" w:hAnsi="Times New Roman"/>
          <w:color w:val="000000"/>
          <w:sz w:val="20"/>
        </w:rPr>
        <w:t xml:space="preserve">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devices that we believe do not require a new 510(k) clearance, </w:t>
      </w:r>
      <w:r>
        <w:rPr>
          <w:rFonts w:ascii="Times New Roman" w:hAnsi="Times New Roman"/>
          <w:i/>
          <w:color w:val="000000"/>
          <w:sz w:val="20"/>
        </w:rPr>
        <w:t xml:space="preserve">de novo </w:t>
      </w:r>
      <w:r>
        <w:rPr>
          <w:rFonts w:ascii="Times New Roman" w:hAnsi="Times New Roman"/>
          <w:color w:val="000000"/>
          <w:sz w:val="20"/>
        </w:rPr>
        <w:t>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can delay, limit or deny marketing authorization of a device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substantially equivalent to a predicate device or are safe and effective for their intended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disagreement of the FDA with the design or implementation of our clinical trials or the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data from our preclinical studies and clinical trials may be insufficient to support clearance,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 or approval, where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marketing authorization regulations of the FDA to change significantly in a manner rendering our clinical data or regulatory filings insufficient for marketing authorization.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September 2022, we received Breakthrough Device Designation from the FDA for the detection and monitoring of delirium using our Ceribell System.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We may 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detection and monitoring of delirium using our Ceribell System.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clinical testing process is complex, lengthy, can be expensive, and carries uncertain outcomes. Future trials and studies by us or others may fail to replicate positive results observed to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 our own clinical studies and provide support for third party–initiated trials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or have viewed such data in different ways than regulators. 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have planned. The initiation and completion of clinical studies may be prevented, delayed, or halted for numerous reasons. We may experience delays in our clinical trials for a number of reasons, which could adversely affect the costs, timing, or successful completion of our clinical trials, including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disagree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and/or institutional review boards (“IRBs”), or other bodies may not authorize us or our investigators to commence a clinical trial, or to conduct or continue a clinical trial at a prospective or specific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reach agreement on acceptable terms with third-party researchers, clinical trial sites, or prospective contract research organizations (“CROs”), the terms of which can be subject to extensive negotiation and may vary significantly among different researchers, trial sites, and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occurrence of adverse events or other findings that the subjects in our clinical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bodies and/or regulatory authorities for re-examination;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other bodies,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authorization or regulations of FDA may change in a manner rendering our clinical data insufficient for marketing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submit an investigational device exemption (“IDE”) application to the FDA, which must become effective prior to commencing certain human clinical trials of medical devices, and the FDA may reject our IDE application and notify us that we may not begin clinical trials, or place restrictions on the conduct of such trials; similar requirements may apply in foreign jurisdictions;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spacing w:before="240" w:after="283"/>
        <w:jc w:val="both"/>
        <w:rPr>
          <w:rFonts w:ascii="Times New Roman" w:hAnsi="Times New Roman"/>
          <w:sz w:val="20"/>
        </w:rPr>
      </w:pPr>
      <w:r>
        <w:rPr>
          <w:rFonts w:ascii="Times New Roman" w:hAnsi="Times New Roman"/>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hAnsi="Times New Roman"/>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untitled letters or warning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delays in or refusal to grant our requests for future clearances,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classifications or approvals, or comparable foreign marketing authorizations of new products, new intended uses, or modifications to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withdrawals or suspensions of any granted marketing authorizations, resulting in prohibitions on sales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sanctions could result in negative publicity, higher than anticipated costs or lower than anticipated sales and have a material adverse effect on our reputation,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hAnsi="Times New Roman"/>
          <w:i/>
          <w:color w:val="000000"/>
          <w:sz w:val="20"/>
        </w:rPr>
        <w:t>Legislative or regulatory reforms in the United States may make it more difficult and costly for us to manufacture, market, or distribute our products, or to obtain marketing authorizations for any future products.</w:t>
      </w:r>
      <w:r>
        <w:rPr>
          <w:rFonts w:ascii="Times New Roman" w:hAnsi="Times New Roman"/>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must be manufactured in accordance with applicable laws and regulations, and we could be forced to recall our devices or terminate production if we fail to comply with these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methods used in, and the facilities used for, the manufacture of medical devices must comply with the FDA’s cGMPs for medical devices, known as the Quality System Regulation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governing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there may be side effects and adverse events associated with the use of our medical devices or any future devices we develop. For example, the Ceribell System has in certain instances issued false alarms, i.e., report seizure activity when there is 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headband used as part of the Ceribell System may cause skin irritation to patients or break down sooner than expected.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healthcare professionals may misuse our products or use improper techniques if they are not adequately trained, potentially leading to injury and an increased risk of product liability. For example, healthcare professionals may misuse our single use, disposable headbands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January 31, 2024, the FDA issued a final rule to amend the QSR, which establishes current good manufacturing practice requirements for medical device manufacturers, to align more closely with the International Organization for Standardization standards. This new final rule, referred to as the Quality Management System Regulation, will take effect on February 2, 2026. Accordingly, it is unclear the extent to which any other legislative or regulatory proposal, if adopted, could impose additional or different regulatory requirements on us that could increase the costs of compliance or otherwise create competition that may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risks related to obtaining necessary foreign regulatory clearance or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enter into international markets in the future.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Failure to comply with the Foreign Corrupt Practices Act (the “FCPA”), economic and trade sanctions regulations, and similar laws could subject us to penalties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FCPA and other laws in the United States and elsewhere that prohibit improper payments or offers of payments to foreign governments and their officials and political parties for the purpose of obtaining or retaining business. Certain suppliers and manufacturers of our devices and components of our devices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For example, in December 2021, the U.S. Congress enacted the Uyghur Forced Labor Prevention Act in an effort to prevent what it views as forced labor and human rights abuses in the XUAR. If it is determined that our third-party suppliers and manufacturers produce or manufacture our components or products wholly or in part from the XUAR, then we could be prohibited from importing such components or products into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Various factors outside our direct control may negatively impact our manufacturing of the Ceribell System,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the Ceribell System at our manufacturing facilities in Sunnyvale, California, using headbands supplied by manufacturers located in China as well as components for our recorder procured from various suppliers, including suppliers in China, and shipped to our facility for final assembly. While we believe that we currently have adequate manufacturing capacity and supplies for our products sufficient to meet our demand forecasts, if demand for the Ceribell System increases more rapidly than we anticipate, if we encounter problems with one or more of our manufacturers, including as a result of trade restrictions related to China, or if we secure regulatory approval to commercialize our products in additional geographies or indications, we may need to xpand our manufacturing capabilities, qualify new suppliers, and/or outsource to other manufacturers.</w:t>
      </w:r>
    </w:p>
    <w:p>
      <w:pPr>
        <w:pStyle w:val="TextBody"/>
        <w:bidi w:val="0"/>
        <w:spacing w:before="240" w:after="283"/>
        <w:jc w:val="both"/>
        <w:rPr>
          <w:rFonts w:ascii="Times New Roman" w:hAnsi="Times New Roman"/>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The methods used in, and the facilities used for, the manufacture of medical devices sold in the United States must comply with the QSR. See the risk factor titled, “</w:t>
      </w:r>
      <w:r>
        <w:rPr>
          <w:rFonts w:ascii="Times New Roman" w:hAnsi="Times New Roman"/>
          <w:i/>
          <w:color w:val="000000"/>
          <w:sz w:val="20"/>
        </w:rPr>
        <w:t>Our products must be manufactured in accordance with applicable laws and regulations, and we could be forced to recall our devices or terminate production if we fail to comply with these regulations.</w:t>
      </w:r>
      <w:r>
        <w:rPr>
          <w:rFonts w:ascii="Times New Roman" w:hAnsi="Times New Roman"/>
          <w:color w:val="000000"/>
          <w:sz w:val="20"/>
        </w:rPr>
        <w:t xml:space="preserve">”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 to the extent applicable. If we fail to have our products manufactured in compliance with the QSR, or if our or our suppliers’ manufacturing facilities suffer disruptions, supply chain issues, machine failures, slowdowns, or disrepair, we may not be able to fulfill customer demand and our business would be harmed.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contamination of the controlled environment, equipment malfunction, supply issues, natural disasters (including wildfires or earthquakes, to which our manufacturing facility in Sunnyvale, California may be especially susceptible), public health emergencies, personnel issues, including human error, or failure to strictly follow procedures can significantly reduce our yield. A drop in yield can increase our cost to manufacture our products or, in more severe cases, require us to halt the manufacture of our products until the problem is resolved. Identifying and resolving the cause of a drop in yield can require substantial time and resources. In addition, if demand for our products shifts such that our manufacturing facilities are operated below our forecasts for an extended period, we may adjust our manufacturing operations to reduce fixed costs, which could lead to uncertainty and delays in manufacturing times and quality during any transition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and distribution of our products are technically challenging. Changes that our suppliers may make, or additional requirements from regulatory agencies, outside of our direct control, can have an impact on our processes, on quality and on the successful or timely delivery of our products to our customers. Mistakes and mishandling may occur, which can affect supply and delivery. As a result, our dependence on third-party, including single-source suppliers, subjects us to a number of risks that could impact our ability to manufacture our products and harm our business, financial condition, results of operations, and prospects,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supply resulting from modifications to, or discontinuation of, a supplier’s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supplier’s failure to produce components that consistently meet our quality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analytical results or failure of analytical techniques that we depend on for quality control and release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fluctuations due to a lack of long-term supply arrangements with our suppliers for key component or other supply chain constraints;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supply in a timely manner or on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identifying and qualifying alternative suppliers for components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suppliers to comply with applicable provisions of the QSR or other applicable laws or regulations enforced by the FDA and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approvals of any changes to manufacturing, including the use of new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latent defects that may become apparent after our products have been released and that may result in an adverse event or a recall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of vendors of raw materials not in 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other disasters, global pandemics, labor disputes, financial distress, lack of raw material supply, issues with facilities and equipment, international conflict or war, or other forms of disruption to business operations affecting our manufacturing operations and those of our third-party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delays related to the evaluation and testing of our products or the use of components from alternative suppliers;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delivery by our suppliers of components, materials or services due to changes in demand from us or their other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of these issues could significantly harm our ability to manufacture our products and maintain sufficient quality standards,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a limited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source and rely upon components and sub-assemblies of the Ceribell System, as well as manufacturing services from approved manufacturers and suppliers, some of which are single-source suppliers.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components, sub-assemblies and services are critical to us, and there are relatively few alternative sources of supply. Our suppliers generally are not under long-term contracts with us, and may experience delays or issues, stop producing our components or 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QSR and other applicable legal and regulatory requirements in our agreements and contracts, and we perform incoming inspection, testing, or other acceptance activities to ensure the materials and components meet our requirements, there is a risk that they may not supply components that meet our requirements or supply components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non-infringement of third-party intellectual property or other proprietary rights could result in a significant interruption of supply and could require the new manufacturer to bear significant additional costs that may be passed on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requirements known as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Switching or adding third parties to conduct or support portions of our preclinical studies and clinical trials involves substantial cost and requires extensive management time and focus. In addition, there is a natural transition period when a new third party commences work. As a result, delays may occur, which could have an adverse impact on our product development,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relationships with contracted physicians to provide remote EEG reading services to certain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contract directly or indirectly with physicians to provide remote EEG reading services to certain customers. If these physicians terminate their contracts, we or our partners may not be able to contract with alternative physicians to provide such services in a timely manner, or at all, which would impact our ability to provide services to certain customers and could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color w:val="000000"/>
          <w:sz w:val="20"/>
        </w:rPr>
        <w:t>Data Privacy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states have also adopted comparable privacy and security laws and regulations, which govern the privacy, collection, use, processing, disclosure, and protection of health-related and other personal information. Such laws and regulations will be subject to 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become subject to rapidly evolving data protection laws, rules and regulations in foreign jurisdictions, many of which have developed privacy and data protection requirements that impose requirements that differ substantially from those that apply within the United States. For example, in Europe, the European Union General Data Protection Regulation (the “EU GDPR”) went into effect in May 2018 and governs the collection, use, disclosure, transfer, and other processing of personal data of individuals within the European Economic Area (the “EEA”) and imposes stringent requirements for data processors and controllers of such personal data or in the context of their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EU GDPR may result in regulatory investigations, reputational damage, orders to cease/ change our data processing activities, enforcement notices, assessment notices (for a compulsory audit), and/or civil claims (including class actions). The processing of “special category personal data” (such as personal data related to health and genetic information), which could become relevant to our operations in the context of our conduct of clinical trials, may also impose heightened compliance burdens under European data protection laws and is of interest to relevant regulators. Among other requirements, the EU GDPR regulates transfers of personal data subject to the EU GDPR to third countries that have not been found to provide adequate protection to such personal data, including the United States, and the efficacy and longevity of current transfer mechanisms between the EEA, and the United States remains uncertain. In addition, since early 2021, after the end of the transition period following the United Kingdom’s departure from the European Union, the EU GDPR continues to apply in substantially equivalent form in the context of the United Kingdom under the United Kingdom General Data Protection Regulation and Data Protection Act 2018, which imposes separate but similar obligations to those under the EU GDPR and comparable penalties, including fines of up to £17.5 million or 4% of a noncompliant company’s global annual revenue for the preceding financial year, whichever is greater. As we expand into foreign countries and jurisdictions, we will become subject to additional laws and regulations that will affect how we conduct business, and we expect the existing legal complexity and uncertainty regarding international personal data transfers to continue. Our operations could suffer additional costs, complaints and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Trade Commission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research protocols, and other obligations, any actual or perceived failure by us or our employees, representatives, contractors, consultants, or other third parties to comply with such requirements or adequately address data privacy and security concerns, even if unfounded, could result in, among other adverse impacts,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risks associated with our use and development of artificial intelligence and machine learning models.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could incur liability resulting from the violation of laws or contracts to which we are a party, regulatory enforcement actions, or civil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 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existing legal regimes (e.g., relating to FDA submissions or data privacy) regulate certain aspects of AI Technologies, and new laws regulating AI Technologies are expected to enter into force in the United States in 2024. In the United States, the Biden administration issued a broad Executive Order on the Safe, Secure and Trustworthy Development and Use of Artificial Intelligence (the “2023 AI Order”), which sets out principles intended to guide AI design and deployment for the public and private sector and signals the increase in governmental involvement and regulation over AI Technologies. The 2023 AI Order established certain new requirements for the training, testing, and cybersecurity of sophisticated AI models and large-scale compute centers used to train AI models. The 2023 AI Order also instructed several other federal agencies to promulgate additional regulations within specific timeframes from the date of the 2023 AI Order regarding the use and development of AI Technologies. Agencies such as the Department of Commerce and the FTC have issued proposed rules governing the use and development of AI Technologies. Legislation related to AI Technologies has also been introduced at the federal level and is advancing at the state level. For example, the California Privacy Protection Agency is currently in the process of finalizing regulations under the CCPA regarding the use of automated decision-making. Such additional regulations may impact our ability to develop, use,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cyberattacks, or deficiencies in our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(confidentially, “Confidential Information”). We may also share Confidential Information with our partners or other third parties in conjunction with our business. It is critical that we do so in a secure manner to maintain the confidentiality and integrity of such Confidential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customers and service providers may be subject to cyberattacks and security incidents from time to time.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cyberattacks), and the mishandling of data, then our reputation, business, financial condition, results of operations, and prospects could be materially and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Our success will depend on our and our licensors’ ability to obtain, maintain, enforce, and protect our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and ability to compete depends in part on our and our licensors’ ability to obtain, maintain, enforce, and protect issued patents, trademarks, trade secrets,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the claims in our U.S. pending patent applications, corresponding international patent applications and patent applications in certain foreign territories, or those of our licensors, will be considered patentable by the U.S. Patent and Trademark Office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or our licensors were the first to make the inventions claimed in any of our owned or in-licensed patents or pending patent applications, or that we or our licensors were the first to file for patent protection of such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intellectual property rights is uncertain, and we cannot ensure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will not develop, manufacture and/or commercialize similar or alternative products, services, or technologies that do not infringe, misappropriate, or violate any patents or other intellectual property rights that we own or have rights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products, services, or technologies, will provide us with any competitive advantages or will not be challenged, invalidated, modified, revoked, or circumvented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challenged patents will be found to ultimately be valid and 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 services, or technologies;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pending patent applications will issue as patents, or even if issued, will include claims with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able to successfully develop, manufacture, and commercialize our products, services, or technologies on a substantial scale before relevant patents we may have expire;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 or we were the first to file patent applications for such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develop additional proprietary inventions, products, services, or technologies that are separately patentable;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activities, products, services, or technologies will not infringe upon the patents of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identify our patentable inventions or adequately protect our patent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Furthermore, an adverse decision may result in a third party receiving a patent right sought by us, which in turn could affect our ability to develop, manufacture, commercialize, import, or otherwise use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Various countries outside the United States, including certain countries in Europe, India, and China, have compulsory licensing laws under which a patent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licenses for the products, services, or technologies they use. If we cannot obtain all necessary licenses on commercially reasonable terms, our customers may be forced to stop using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intellectual property. Any potential intellectual property litigation also could force us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stop developing, making, selling, importing, or using products, services, or technologies that allegedly infringe, misappropriate, or otherwise violate the asserted intellectual property right;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misappropriating, or otherwise violating;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lose the opportunity to license our intellectual property rights to others or to collect royalty payments based upon successful protection and assertion of our intellectual property rights against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significant legal expenses;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misappropriating, or otherwise violating.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“brain stethoscope” EEG sonification technology, which processes data and turns it into sound, that is used in the Ceribell System is protected by intellectual property rights that we in-license from Stanford University. See the section titled “Business—Stanford Agreement.” Our rights to use such intellectual property rights in our business are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 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disclosure and use of our confidential information and trade secrets, the value of our products, services, and technologies and our business and competitive position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brand name recognition in our markets of interest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our trademarks, trade names, and brand names, such as our Clarity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typically review our use of open source software to avoid subjecting our products, services or technology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Financial and Accounting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use our net operating loss carryforwards and other tax attributes may be limited due to certain provisions of the Internal Revenue Code or state tax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2023, we had NOLs of approximately $105.0 million for federal income tax purposes and $104.8 million for state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have occurred since our formation, including our IPO, may result in an ownership change. We have not conducted a study to determine whether an ownership change would result from our IPO. In addition, we may experience ownership changes in the future as a result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effective tax rate may vary significantly from period to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tax rulings could adversely affect our effective tax rates,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Our venture loan and security agreement contains restrictions that limit our flexibility in operating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a venture loan and security agreement, dated as of February 6, 2024, by and among us, Horizon Technology Finance Corporation, as a lender and collateral agent, and Silicon Valley Bank, a division of First-Citizens Bank &amp; Trust Company (“SVB”), as a lender (the “VLSA”). Concurrent with the VLSA, we also entered into a Loan and Security Agreement with SVB for a senior revolving line of credit of up to $10.0 million (the “Revolving Facility”). As of September 30, 2024, $20.0 million in aggregate principal amount was outstanding under the VLSA, and no amount was outstanding under the Revolving Facility. The VLSA and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Revolving Facility contain various covenants that limit our ability to engage in specified types of transactions. These covenants limit our ability to,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 transfer, lease, or dispose of our assets subject to certain exclusions;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incur, assume, guarantee, or assume additional indebtedness, other than certain permitted indebtedness;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encumber or permit liens on any of our assets other than certain permitted liens;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restricted payments, including paying dividends on, repurchasing, or making distributions with respect to any of our capital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specified investments;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 merge with, or acquire any other entity, or sell or otherwise dispose of all or substantially all of our assets;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certain transactions with our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also “Management’s Discussion and Analysis of Financial Condition and Results of Operations”—“Liquidity and Capital Resources” for more information regarding the covenants under the VLSA and the Revolving Facility. The covenants in the VLSA and the Revolving Facility limit our ability to take certain actions and, in the event that we breach one or more covenants, the lenders may choose to declare an event of default and require that we immediately repay all amounts outstanding of the aggregate principal amount, plus accrued interest, and foreclose on the collateral granted to it to secure such indebtedness. Such repayment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cash deposits with financial institutions exceed insured limits.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Relating to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during which our total annual revenue equals or exceeds $1.235 billion (subject to adjustment for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following the fifth anniversary of our IPO;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have, during the previous three-year period, issued more than $1 billion in non-convertible debt;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are deemed to be a “large accelerated filer” under the Exchange Act.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are a “smaller reporting company,” meaning that the market value of our stock held by non-affiliates plus the aggregate amount of gross proceeds to us as a result of our IPO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before="360" w:after="283"/>
        <w:jc w:val="both"/>
        <w:rPr>
          <w:rFonts w:ascii="Times New Roman" w:hAnsi="Times New Roman"/>
          <w:sz w:val="20"/>
        </w:rPr>
      </w:pPr>
      <w:r>
        <w:rPr>
          <w:rFonts w:ascii="Times New Roman" w:hAnsi="Times New Roman"/>
          <w:b/>
          <w:i/>
          <w:color w:val="000000"/>
          <w:sz w:val="20"/>
        </w:rPr>
        <w:t>We incur increased costs and are subject to additional regulations and requirements as a result of operating as a public company, which could lower our profits or make it more difficult to run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have not incurred as a private company, including costs associated with public company reporting requirements. We have also incurred and will continue to incur costs associated with the Sarbanes-Oxley Act and related rules implemented by the Securities and Exchange Commission (the “SEC”) and the exchange on which our securities are listed.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are required to maintain internal control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in the past identified control deficiencies including material weaknesses and may identify control deficiencies, including material weaknesses in our internal control over financial reporting, in the future. Any failure to maintain internal control over financial reporting could severely inhibit our ability to accurately report our financial condition, results of operations, or cash flows. Further, if we identify one or more material weaknesses in our internal control over financial reporting, if we are unable to comply with the requirements of Section 404 of the Sarbanes-Oxley Act in a timely manner, or if we or, if required, our auditors,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We do not intend to pay dividends in the foreseeable future. As a result, your ability to achieve a return on your investment will depend on appreciation in the market price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VLSA,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operating and financial performance in any given period does not meet any guidance that we provide to the public, the market price of our common stock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but are not obligated to, provide public guidance on our expected operating and financial results for future periods. Any such guidance will be comprised of forward-looking statements subject to the risks and uncertainties described in this Quarterly Report on Form 10-Q and in our other public filings and public statements. Our actual results may not always be in line with or exceed any guidance we have provided, especially in times of economic uncertainty. If actual circumstances differ from those in our assumptions, our operating and financial results could fall below our publicly announced guidance or the expectations of investors. If, in the future, our operating or financial results for a particular period do not meet any guidance we provide or the expectations of investment analysts or investors generally, or if we reduce our guidance for future periods, the market price of our common stock may decline. Even if we do issue public guidance, there can be no assurance that we will continue to do so in the future.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2024 and including the shares issued in our IPO, our executive officers, directors, owners of more than 5% of our capital stock and their respective affiliates beneficially owned approximately 52.1% of our outstanding shares.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w:t>
      </w:r>
    </w:p>
    <w:p>
      <w:pPr>
        <w:pStyle w:val="TextBody"/>
        <w:bidi w:val="0"/>
        <w:spacing w:before="360" w:after="283"/>
        <w:jc w:val="both"/>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existing stockholders sell, or indicate an intention to sell, substantial amounts of our common stock in the public market, the trading price of our common stock could decline. Based upon the number of shares outstanding as of September 30, 2024 and after giving effect to the sale of common stock in our IPO, we have outstanding a total of 34,018,654 shares of common stock. Of these shares, all of the shares of our common stock sold in our IPO, are freely tradable, without restriction, in the public market, other than shares purchased by our “affiliates” (as such term is defined in Rule 144 under the Securities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each of our directors, our executive officers and certain other record holders that together represent approximately 90% of our outstanding common stock, stock options, warrants, and RSUs, and securities convertible into our common stock entered into lock-up agreements with the underwriters prior to the commencement of our IPO. The lock-up agreements pertaining to our IPO will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expire April 8, 2025 (the “Lock-Up Period”). After the expiration of the lock-up agreements and the market standoff restrictions described below, up to approximately 23.4 million additional shares of common stock will be eligible for sale in the public market, approximately 72% of which shares are owned by directors, executive officers and other owners of more than 5% of our outstanding common stock, stock options, warrants, RSUs, and securities convertible into our common stock and will be subject to Rule 144 under the Securities Act. The representatives of the underwriters may, however, in their sole discretion, permit our officers, directors and other stockholders who are subject to these lock-up agreements to sell shares prior to the expiration of the lock-up agreements.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an additional approximately 10% of our outstanding common stock, stock options, warrants, RSUs, and other securities convertible into or exercisable or exchangeable for our common stock are subject to market standoff restrictions with us that include restrictions on the sale, transfer, or other disposition of shares during the Lock-Up Period. As a result of the foregoing, substantially all of our outstanding common stock, stock options, warrants, RSUs, and other securities convertible into or exercisable or exchangeable for our common stock are subject to a lock-up agreement or market standoff provisions during the Lock-Up Period. We have agreed to enforce all such market standoff restrictions on behalf of the underwriters and not to release, amend, or waive any such market standoff provisions during the Lock-Up Period without the prior consent of BofA Securities, Inc. and J.P. Morgan Securities LLC, on behalf of the underwriters, provided that we may release shares from such restrictions to the extent that it would be permissible to release such shares under the form of lock-up agreement with the underwriters signed by or that will be signed by certain record holders of our securities as described herein.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5,189,457 shares of common stock that are subject to outstanding options or subject to outstanding warrants are eligible for sale in the public market to the extent permitted by the provisions of various vesting schedules, lock-up agreements, market standoff restrictions, and Rule 144 and Rule 701 under the Securities Act. If these additional shares of common stock are sold, or if it is perceived that they will be sold, in the public market, the market price of our common stock could decline.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completion of our IPO, the holders of approximately 17.8 million shares of our common stock, or approximately 59% of our total outstanding common stock, were entitled to rights with respect to the registration of their shares under the Securities Act, subject to the lock-up agreements and market standoff restrictions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Record holders of our securities are typically the parties to the lock-up agreements with the underwriters and the market standoff restrictions referred to above, while holders of beneficial interests in our shares who are not also record holders in respect of such shares are not typically subject to any such agreements or other similar restrictions. Accordingly, we believe that holders of beneficial interests who are not record holders and are not bound by market standoff restrictions or lock-up agreements could enter into transactions with respect to those beneficial interests that negatively impact our stock price. In addition, a security holder who is neither subject to market standoff restrictions with us nor a lock-up agreement with the underwriters may be able to sell, short sell, transfer, pledge, or otherwise dispose of or attempt to sell, short sell, transfer, hedge, pledge, or otherwise dispose of their equity interests at any time.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to repeal certain provisions of our amended and restated certificate of incorporation;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board of directors, which may delay the ability of our stockholders to force consideration of a proposal or to take action, including the removal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360" w:after="283"/>
        <w:jc w:val="both"/>
        <w:rPr>
          <w:rFonts w:ascii="Times New Roman" w:hAnsi="Times New Roman"/>
          <w:sz w:val="20"/>
        </w:rPr>
      </w:pPr>
      <w:r>
        <w:rPr>
          <w:rFonts w:ascii="Times New Roman" w:hAnsi="Times New Roman"/>
          <w:b/>
          <w:i/>
          <w:color w:val="000000"/>
          <w:sz w:val="20"/>
        </w:rPr>
        <w:t>Claims for indemnification by our directors, officers, and other employees or agents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officers and certain other employees provide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retroactively amend our amended and restated bylaws provisions to reduce our indemnification obligations to directors, officers, employees, and agents.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market price of our common stock may be volatile, which could cause the value of your investment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medical device industry, or individual scandals, and, in response, the market price of our common stock could decrease significantly.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engage in acquisitions or strategic partnerships, it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partnerships, including licensing or acquiring complementary offerings, intellectual property rights, technologies, or businesses. Any acquisition or strategic partnership may entail numerous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diversion of our management’s attention from our existing operations in pursuing such a strategic merger or acquisition;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key personnel and uncertainties in our ability to maintain key business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uncertainties associated with the other party to such a transaction, including the prospects of that party and their existing products or future products and regulatory approvals;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from legal and arbitration proceedings that may prevent us from pursuing our business activities or require us to incur additional costs in defending against claims or paying damages.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policies may not cover all potential losses or liabilities that may arise.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not insured against all potential losses or liabilities that may arise, and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or not fully covered by insurance, we may be required to pay substantial amounts, which could adversely affect its cash position and results of operations.</w:t>
      </w:r>
    </w:p>
    <w:p>
      <w:pPr>
        <w:pStyle w:val="TextBody"/>
        <w:bidi w:val="0"/>
        <w:spacing w:before="360" w:after="283"/>
        <w:jc w:val="both"/>
        <w:rPr>
          <w:rFonts w:ascii="Times New Roman" w:hAnsi="Times New Roman"/>
          <w:b/>
          <w:color w:val="000000"/>
          <w:sz w:val="20"/>
        </w:rPr>
      </w:pPr>
      <w:bookmarkStart w:id="18" w:name="item_2_unregistered_sales_of_equity"/>
      <w:bookmarkEnd w:id="18"/>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Unregistered Sale of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quarter ended September 30, 2024, we issued an aggregate of 184,226 shares of our common stock upon the exercise of stock options under our 2014 Plan and 2024 EIP at exercise prices ranging from $0.39 to $9.41 per share, for aggregate proceeds of $0.3 million.</w:t>
      </w:r>
    </w:p>
    <w:p>
      <w:pPr>
        <w:pStyle w:val="TextBody"/>
        <w:bidi w:val="0"/>
        <w:spacing w:before="24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issuances of the securities described above were deemed to be exempt from registration under the Securities Act, in reliance on Section 4(a)(2) of the Securities Act, as transactions by an issuer not involving a public offering.</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2024, we completed our IPO, in which we issued and sold 12,196,969 shares of our common stock, which includes an additional 1,590,909 shares of common stock purchased by the underwriters pursuant to their option to purchase additional shares, at a price to the public of $17.00 per share. The proceeds to the Company from the IPO were approximately $188.2 million, net of underwriting discounts and commissions and estimated offering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net proceeds from our IPO have been used and will be used, together with our existing cash and cash equivalents: (i) to fund sales and marketing efforts; (ii) to fund research and product development activities, including to advance our delirium and ischemic stroke indications through completion of clinical studies related to our Clarity algorithm; and (iii) for general corporate purposes, including working capital, operating expenses, and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has been no material change in the intended use of proceeds from our IPO as described in our Prospectus.</w:t>
      </w:r>
    </w:p>
    <w:p>
      <w:pPr>
        <w:pStyle w:val="TextBody"/>
        <w:bidi w:val="0"/>
        <w:spacing w:before="360" w:after="283"/>
        <w:jc w:val="both"/>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1" w:name="item_5_other_information"/>
      <w:bookmarkEnd w:id="21"/>
      <w:r>
        <w:rPr>
          <w:rFonts w:ascii="Times New Roman" w:hAnsi="Times New Roman"/>
          <w:b/>
          <w:color w:val="000000"/>
          <w:sz w:val="20"/>
        </w:rPr>
        <w:t>Item 5. Other Information.</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September 30, 2024, none of our directors or officers (as defined in Rule 16a-1(f) under the Securities Exchange Act of 1934, as amended) adopted, modified or terminated a “Rule 10b5-1 (c) trading arrangement” or a “non-Rule 10b5-1 trading arrangement”, as each term is defined in Item 408(a) of Regulation S-K.</w:t>
      </w:r>
    </w:p>
    <w:p>
      <w:pPr>
        <w:pStyle w:val="TextBody"/>
        <w:bidi w:val="0"/>
        <w:spacing w:before="360" w:after="283"/>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6582"/>
        <w:gridCol w:w="531"/>
        <w:gridCol w:w="721"/>
        <w:gridCol w:w="691"/>
        <w:gridCol w:w="828"/>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2024 Incentive Award Plan.</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Agreements under 2024 Incentive Award Plan.</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2024 Employee Stock Purchase Plan.</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Non-Employee Director Compensation Program.</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Indemnification Agreement for Directors and Officers.</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Employment Agreement, by and between CeriBell, Inc. and Raymond Woo, Ph.D., as amended.</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Executive Change in Control and Severance Agreement.</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Consulting Agreement, dated May 7, 2018, and Amendment No.1 to Consulting Agreement, dated October 2, 2024, by and between CeriBell, Inc. and Josef Parvizi.</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
        <w:gridCol w:w="146"/>
        <w:gridCol w:w="8631"/>
        <w:gridCol w:w="146"/>
        <w:gridCol w:w="146"/>
        <w:gridCol w:w="146"/>
        <w:gridCol w:w="287"/>
      </w:tblGrid>
      <w:tr>
        <w:trPr/>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certification attached as Exhibit 32.1 and Exhibit 32.2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69" w:type="dxa"/>
        <w:jc w:val="left"/>
        <w:tblInd w:w="0" w:type="dxa"/>
        <w:tblLayout w:type="fixed"/>
        <w:tblCellMar>
          <w:top w:w="28" w:type="dxa"/>
          <w:left w:w="28" w:type="dxa"/>
          <w:bottom w:w="28" w:type="dxa"/>
          <w:right w:w="28" w:type="dxa"/>
        </w:tblCellMar>
      </w:tblPr>
      <w:tblGrid>
        <w:gridCol w:w="2206"/>
        <w:gridCol w:w="146"/>
        <w:gridCol w:w="406"/>
        <w:gridCol w:w="32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7" w:type="dxa"/>
            <w:gridSpan w:val="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CERIBELL, INC.</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3211" w:type="dxa"/>
            <w:tcBorders/>
            <w:shd w:fill="FFFFFF" w:val="cle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cbll-ex31_1.htm"/>
      <w:bookmarkStart w:id="25" w:name="kscbll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Xingjuan (Jane) Chao,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89" w:type="dxa"/>
        <w:jc w:val="left"/>
        <w:tblInd w:w="0" w:type="dxa"/>
        <w:tblLayout w:type="fixed"/>
        <w:tblCellMar>
          <w:top w:w="28" w:type="dxa"/>
          <w:left w:w="28" w:type="dxa"/>
          <w:bottom w:w="28" w:type="dxa"/>
          <w:right w:w="28" w:type="dxa"/>
        </w:tblCellMar>
      </w:tblPr>
      <w:tblGrid>
        <w:gridCol w:w="2206"/>
        <w:gridCol w:w="146"/>
        <w:gridCol w:w="406"/>
        <w:gridCol w:w="333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bll-ex31_2.htm"/>
      <w:bookmarkStart w:id="27" w:name="kscbll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Blumberg,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206"/>
        <w:gridCol w:w="146"/>
        <w:gridCol w:w="406"/>
        <w:gridCol w:w="25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cbll-ex32_1.htm"/>
      <w:bookmarkStart w:id="29" w:name="kscbll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ending September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052" w:type="dxa"/>
        <w:jc w:val="left"/>
        <w:tblInd w:w="0" w:type="dxa"/>
        <w:tblLayout w:type="fixed"/>
        <w:tblCellMar>
          <w:top w:w="28" w:type="dxa"/>
          <w:left w:w="28" w:type="dxa"/>
          <w:bottom w:w="28" w:type="dxa"/>
          <w:right w:w="28" w:type="dxa"/>
        </w:tblCellMar>
      </w:tblPr>
      <w:tblGrid>
        <w:gridCol w:w="2206"/>
        <w:gridCol w:w="109"/>
        <w:gridCol w:w="406"/>
        <w:gridCol w:w="33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cbll-ex32_2.htm"/>
      <w:bookmarkStart w:id="31" w:name="kscbll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ending September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2206"/>
        <w:gridCol w:w="109"/>
        <w:gridCol w:w="406"/>
        <w:gridCol w:w="210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107/000095017024114767/cbll-ex3_1.htm" TargetMode="External"/><Relationship Id="rId3" Type="http://schemas.openxmlformats.org/officeDocument/2006/relationships/hyperlink" Target="https://www.sec.gov/Archives/edgar/data/1861107/000095017024114767/cbll-ex3_2.htm" TargetMode="External"/><Relationship Id="rId4" Type="http://schemas.openxmlformats.org/officeDocument/2006/relationships/hyperlink" Target="https://www.sec.gov/Archives/edgar/data/1861107/000095017024108128/cbll-ex4_01.htm" TargetMode="External"/><Relationship Id="rId5" Type="http://schemas.openxmlformats.org/officeDocument/2006/relationships/hyperlink" Target="https://www.sec.gov/Archives/edgar/data/1861107/000095017024113073/cbll-ex10_14.htm" TargetMode="External"/><Relationship Id="rId6" Type="http://schemas.openxmlformats.org/officeDocument/2006/relationships/hyperlink" Target="https://www.sec.gov/Archives/edgar/data/1861107/000095017024113073/cbll-ex10_15.htm" TargetMode="External"/><Relationship Id="rId7" Type="http://schemas.openxmlformats.org/officeDocument/2006/relationships/hyperlink" Target="https://www.sec.gov/Archives/edgar/data/1861107/000095017024113073/cbll-ex10_16.htm" TargetMode="External"/><Relationship Id="rId8" Type="http://schemas.openxmlformats.org/officeDocument/2006/relationships/hyperlink" Target="https://www.sec.gov/Archives/edgar/data/1861107/000095017024108128/cbll-ex10_17.htm" TargetMode="External"/><Relationship Id="rId9" Type="http://schemas.openxmlformats.org/officeDocument/2006/relationships/hyperlink" Target="https://www.sec.gov/Archives/edgar/data/1861107/000095017024108128/cbll-ex10_18.htm" TargetMode="External"/><Relationship Id="rId10" Type="http://schemas.openxmlformats.org/officeDocument/2006/relationships/hyperlink" Target="https://www.sec.gov/Archives/edgar/data/1861107/000095017024113073/cbll-ex10_22.htm" TargetMode="External"/><Relationship Id="rId11" Type="http://schemas.openxmlformats.org/officeDocument/2006/relationships/hyperlink" Target="https://www.sec.gov/Archives/edgar/data/1861107/000095017024108128/cbll-ex10_23.htm" TargetMode="External"/><Relationship Id="rId12" Type="http://schemas.openxmlformats.org/officeDocument/2006/relationships/hyperlink" Target="https://www.sec.gov/Archives/edgar/data/1861107/000095017024113073/cbll-ex10_28.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64447</Words>
  <Characters>358274</Characters>
  <CharactersWithSpaces>423322</CharactersWithSpaces>
  <Paragraphs>6799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