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Blumberg Scott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CERIBELL,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360 N. PASTORIA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SUNNYVALE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Ceribell, Inc.</w:t>
              </w:r>
            </w:hyperlink>
            <w:r>
              <w:rPr/>
              <w:t xml:space="preserve"> [ </w:t>
            </w:r>
            <w:r>
              <w:rPr>
                <w:rFonts w:ascii="Times;serif" w:hAnsi="Times;serif"/>
                <w:color w:val="0000FF"/>
                <w:sz w:val="24"/>
                <w:shd w:fill="FFFFFF" w:val="clear"/>
              </w:rPr>
              <w:t>CBLL</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7"/>
        <w:gridCol w:w="775"/>
        <w:gridCol w:w="602"/>
        <w:gridCol w:w="353"/>
        <w:gridCol w:w="819"/>
        <w:gridCol w:w="465"/>
        <w:gridCol w:w="679"/>
        <w:gridCol w:w="1183"/>
        <w:gridCol w:w="1012"/>
        <w:gridCol w:w="93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6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846</w:t>
            </w:r>
          </w:p>
        </w:tc>
        <w:tc>
          <w:tcPr>
            <w:tcW w:w="4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9.41</w:t>
            </w:r>
          </w:p>
        </w:tc>
        <w:tc>
          <w:tcPr>
            <w:tcW w:w="11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147,446</w:t>
            </w:r>
          </w:p>
        </w:tc>
        <w:tc>
          <w:tcPr>
            <w:tcW w:w="10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7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846</w:t>
            </w:r>
          </w:p>
        </w:tc>
        <w:tc>
          <w:tcPr>
            <w:tcW w:w="4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w:t>
            </w:r>
            <w:r>
              <w:rPr>
                <w:rFonts w:ascii="Times;serif" w:hAnsi="Times;serif"/>
                <w:color w:val="008000"/>
                <w:position w:val="7"/>
                <w:sz w:val="16"/>
                <w:sz w:val="20"/>
                <w:shd w:fill="FFFFFF" w:val="clear"/>
              </w:rPr>
              <w:t>(2)</w:t>
            </w:r>
          </w:p>
        </w:tc>
        <w:tc>
          <w:tcPr>
            <w:tcW w:w="11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146,600</w:t>
            </w:r>
          </w:p>
        </w:tc>
        <w:tc>
          <w:tcPr>
            <w:tcW w:w="10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678"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302"/>
        <w:gridCol w:w="499"/>
        <w:gridCol w:w="906"/>
        <w:gridCol w:w="801"/>
        <w:gridCol w:w="891"/>
        <w:gridCol w:w="636"/>
        <w:gridCol w:w="801"/>
        <w:gridCol w:w="936"/>
        <w:gridCol w:w="831"/>
        <w:gridCol w:w="846"/>
      </w:tblGrid>
      <w:tr>
        <w:trPr>
          <w:tblHeader w:val="true"/>
        </w:trPr>
        <w:tc>
          <w:tcPr>
            <w:tcW w:w="1167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30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9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9.41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846</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04/23/2034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51,802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transactions reported in this Form 4 were effected pursuant to a Rule 10b5-1 trading plan adopted by the Reporting Person on December 12,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$25 to $25.01, inclusive. The Reporting Person undertakes to provide to the Issuer, any security holder of the Issuer, or the staff of the Securities and Exchange Commission, upon request, full information regarding the number of shares purchased or sold, as applicable,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stock option is fully vested and currently exercisable.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24.1 - Power of Attorney</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Jessica Puathasnanon, Attorney-in-Fact for Scott Blumberg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09/17/2026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center"/>
        <w:rPr>
          <w:rFonts w:ascii="Times New Roman" w:hAnsi="Times New Roman"/>
          <w:b/>
          <w:smallCaps/>
          <w:color w:val="000000"/>
          <w:sz w:val="24"/>
        </w:rPr>
      </w:pPr>
      <w:bookmarkStart w:id="2" w:name="cbll-ex24_1.htm"/>
      <w:bookmarkStart w:id="3" w:name="kscbllex24_1"/>
      <w:bookmarkEnd w:id="2"/>
      <w:bookmarkEnd w:id="3"/>
      <w:r>
        <w:rPr>
          <w:rFonts w:ascii="Times New Roman" w:hAnsi="Times New Roman"/>
          <w:b/>
          <w:smallCaps/>
          <w:color w:val="000000"/>
          <w:sz w:val="24"/>
        </w:rPr>
        <w:t>POWER OF ATTORNEY</w:t>
      </w:r>
      <w:r>
        <w:br w:type="page"/>
      </w:r>
    </w:p>
    <w:p>
      <w:pPr>
        <w:pStyle w:val="TextBody"/>
        <w:bidi w:val="0"/>
        <w:jc w:val="left"/>
        <w:rPr/>
      </w:pPr>
      <w:r>
        <w:rPr/>
        <w:t> </w:t>
      </w:r>
    </w:p>
    <w:p>
      <w:pPr>
        <w:pStyle w:val="TextBody"/>
        <w:bidi w:val="0"/>
        <w:jc w:val="both"/>
        <w:rPr>
          <w:rFonts w:ascii="Times New Roman" w:hAnsi="Times New Roman"/>
          <w:sz w:val="24"/>
        </w:rPr>
      </w:pPr>
      <w:r>
        <w:rPr>
          <w:rFonts w:ascii="Times New Roman" w:hAnsi="Times New Roman"/>
          <w:color w:val="000000"/>
          <w:sz w:val="24"/>
        </w:rPr>
        <w:t>With respect to holdings of and transactions in securities issued by CeriBell, Inc. (the “</w:t>
      </w:r>
      <w:r>
        <w:rPr>
          <w:rFonts w:ascii="Times New Roman" w:hAnsi="Times New Roman"/>
          <w:b/>
          <w:i/>
          <w:color w:val="000000"/>
          <w:sz w:val="24"/>
        </w:rPr>
        <w:t>Company</w:t>
      </w:r>
      <w:r>
        <w:rPr>
          <w:rFonts w:ascii="Times New Roman" w:hAnsi="Times New Roman"/>
          <w:color w:val="000000"/>
          <w:sz w:val="24"/>
        </w:rPr>
        <w:t xml:space="preserve">”), the undersigned hereby constitutes and appoints individuals of the Company holding the titles named on </w:t>
      </w:r>
      <w:r>
        <w:rPr>
          <w:rFonts w:ascii="Times New Roman" w:hAnsi="Times New Roman"/>
          <w:color w:val="000000"/>
          <w:sz w:val="24"/>
          <w:u w:val="single"/>
        </w:rPr>
        <w:t>Schedule A</w:t>
      </w:r>
      <w:r>
        <w:rPr>
          <w:rFonts w:ascii="Times New Roman" w:hAnsi="Times New Roman"/>
          <w:color w:val="000000"/>
          <w:sz w:val="24"/>
        </w:rPr>
        <w:t xml:space="preserve"> attached hereto and as may be amended from time to time, or any of them signing singly, with full power of substitution and resubstitution, to act as the undersigned’s true and lawful attorney-in-fact to: </w:t>
      </w:r>
    </w:p>
    <w:p>
      <w:pPr>
        <w:pStyle w:val="TextBody"/>
        <w:bidi w:val="0"/>
        <w:jc w:val="both"/>
        <w:rPr/>
      </w:pPr>
      <w:r>
        <w:rPr/>
        <w:t> </w:t>
      </w:r>
    </w:p>
    <w:p>
      <w:pPr>
        <w:pStyle w:val="TextBody"/>
        <w:bidi w:val="0"/>
        <w:jc w:val="both"/>
        <w:rPr>
          <w:rFonts w:ascii="Times New Roman" w:hAnsi="Times New Roman"/>
          <w:sz w:val="24"/>
        </w:rPr>
      </w:pPr>
      <w:r>
        <w:rPr>
          <w:rFonts w:ascii="Times New Roman" w:hAnsi="Times New Roman"/>
          <w:color w:val="000000"/>
          <w:sz w:val="24"/>
        </w:rPr>
        <w:t>1. prepare, execute in the undersigned’s name and on the undersigned’s behalf, and submit to the United States Securities and Exchange Commission (the “</w:t>
      </w:r>
      <w:r>
        <w:rPr>
          <w:rFonts w:ascii="Times New Roman" w:hAnsi="Times New Roman"/>
          <w:b/>
          <w:i/>
          <w:color w:val="000000"/>
          <w:sz w:val="24"/>
        </w:rPr>
        <w:t>SEC</w:t>
      </w:r>
      <w:r>
        <w:rPr>
          <w:rFonts w:ascii="Times New Roman" w:hAnsi="Times New Roman"/>
          <w:color w:val="000000"/>
          <w:sz w:val="24"/>
        </w:rPr>
        <w:t xml:space="preserve">”) a Form ID, including amendments thereto, and any other documents necessary or appropriate to obtain and/or regenerate codes and passwords enabling the undersigned to make electronic filings with the SEC of reports required by Section 16(a) of the Securities Exchange Act of 1934, as amended, or any rule or regulation of the SEC; </w:t>
      </w:r>
    </w:p>
    <w:p>
      <w:pPr>
        <w:pStyle w:val="TextBody"/>
        <w:bidi w:val="0"/>
        <w:jc w:val="both"/>
        <w:rPr/>
      </w:pPr>
      <w:r>
        <w:rPr/>
        <w:t> </w:t>
      </w:r>
    </w:p>
    <w:p>
      <w:pPr>
        <w:pStyle w:val="TextBody"/>
        <w:bidi w:val="0"/>
        <w:jc w:val="both"/>
        <w:rPr>
          <w:rFonts w:ascii="Times New Roman" w:hAnsi="Times New Roman"/>
          <w:sz w:val="24"/>
        </w:rPr>
      </w:pPr>
      <w:r>
        <w:rPr>
          <w:rFonts w:ascii="Times New Roman" w:hAnsi="Times New Roman"/>
          <w:color w:val="000000"/>
          <w:sz w:val="24"/>
        </w:rPr>
        <w:t>2. execute for and on behalf of the undersigned, in the undersigned’s capacity as an officer and/or director of the Company, (a) Schedules 13D and 13G in accordance with Section 13 of the Securities Exchange Act of 1934, as amended (the “</w:t>
      </w:r>
      <w:r>
        <w:rPr>
          <w:rFonts w:ascii="Times New Roman" w:hAnsi="Times New Roman"/>
          <w:b/>
          <w:i/>
          <w:color w:val="000000"/>
          <w:sz w:val="24"/>
        </w:rPr>
        <w:t>Exchange Act</w:t>
      </w:r>
      <w:r>
        <w:rPr>
          <w:rFonts w:ascii="Times New Roman" w:hAnsi="Times New Roman"/>
          <w:color w:val="000000"/>
          <w:sz w:val="24"/>
        </w:rPr>
        <w:t>”), and the rules thereunder, (b) Forms 3, 4, and 5 (including amendments thereto) in accordance with Section 16 of the Exchange Act, (c) Notices of Proposed Sale of Securities Pursuant to Rule 144 (“</w:t>
      </w:r>
      <w:r>
        <w:rPr>
          <w:rFonts w:ascii="Times New Roman" w:hAnsi="Times New Roman"/>
          <w:b/>
          <w:i/>
          <w:color w:val="000000"/>
          <w:sz w:val="24"/>
        </w:rPr>
        <w:t>Form 144</w:t>
      </w:r>
      <w:r>
        <w:rPr>
          <w:rFonts w:ascii="Times New Roman" w:hAnsi="Times New Roman"/>
          <w:color w:val="000000"/>
          <w:sz w:val="24"/>
        </w:rPr>
        <w:t>”), in accordance with the requirements of Rule 144 under the Securities Act of 1933, as amended (the “</w:t>
      </w:r>
      <w:r>
        <w:rPr>
          <w:rFonts w:ascii="Times New Roman" w:hAnsi="Times New Roman"/>
          <w:b/>
          <w:i/>
          <w:color w:val="000000"/>
          <w:sz w:val="24"/>
        </w:rPr>
        <w:t>Securities Act</w:t>
      </w:r>
      <w:r>
        <w:rPr>
          <w:rFonts w:ascii="Times New Roman" w:hAnsi="Times New Roman"/>
          <w:color w:val="000000"/>
          <w:sz w:val="24"/>
        </w:rPr>
        <w:t xml:space="preserve">”), and (d) a Form ID, Uniform Application for Access Codes to File on EDGAR;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3. do and perform any and all acts for and on behalf of the undersigned which may be necessary or desirable to complete and execute any such Schedule 13D, Schedule 13G, Forms 3, 4, 5, or 144 or Form ID, or any amendment thereto, and timely file such forms (including amendments thereto) and application with the SEC and any stock exchange or similar authority; and</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 xml:space="preserve">4.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 xml:space="preserve">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 xml:space="preserve">The undersigned acknowledges that the foregoing attorneys-in-fact, in serving in such capacity at the request of the undersigned, are not assuming, nor is the Company assuming, any of the undersigned’s responsibilities to comply with Section 13 and 16 of the Exchange Act or Rule 144 under the Securities Act.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The undersigned agrees that each such attorney-in-fact herein may rely entirely on information furnished orally or in writing by the undersigned to such attorney-in-fact. The undersigned also agrees to indemnify and hold harmless the Company and each such attorney-in-fact against any losses, claims, damages or liabilities (or actions in these respects) that arise out of or are based upon any untrue statements or omission of necessary facts in the information provided by the undersigned to such attorney-in fact for purposes of executing, acknowledging, delivering or filing Forms 3, 4, 5, or 144 (including amendments thereto) or Form ID and agrees to reimburse the Company and such attorney-in-fact for any legal or other expenses reasonably incurred in connection with investigating or defending against any such loss, claim, damage, liability, or action.</w:t>
      </w:r>
    </w:p>
    <w:p>
      <w:pPr>
        <w:pStyle w:val="TextBody"/>
        <w:bidi w:val="0"/>
        <w:jc w:val="both"/>
        <w:rPr/>
      </w:pPr>
      <w:r>
        <w:rPr/>
        <w:t> </w:t>
      </w:r>
    </w:p>
    <w:p>
      <w:pPr>
        <w:pStyle w:val="TextBody"/>
        <w:bidi w:val="0"/>
        <w:jc w:val="both"/>
        <w:rPr>
          <w:rFonts w:ascii="Times New Roman" w:hAnsi="Times New Roman"/>
          <w:sz w:val="24"/>
        </w:rPr>
      </w:pPr>
      <w:r>
        <w:rPr>
          <w:rFonts w:ascii="Times New Roman" w:hAnsi="Times New Roman"/>
          <w:color w:val="000000"/>
          <w:sz w:val="24"/>
        </w:rPr>
        <w:t>This Power of Attorney supersedes any power of attorney previously executed by the undersigned regarding the purposes outlined in the first paragraph hereof (“</w:t>
      </w:r>
      <w:r>
        <w:rPr>
          <w:rFonts w:ascii="Times New Roman" w:hAnsi="Times New Roman"/>
          <w:b/>
          <w:i/>
          <w:color w:val="000000"/>
          <w:sz w:val="24"/>
        </w:rPr>
        <w:t>Prior Powers of Attorney</w:t>
      </w:r>
      <w:r>
        <w:rPr>
          <w:rFonts w:ascii="Times New Roman" w:hAnsi="Times New Roman"/>
          <w:color w:val="000000"/>
          <w:sz w:val="24"/>
        </w:rPr>
        <w:t>”), and the authority of the attorneys-in-fact named in any Prior Powers of Attorney is hereby revoked.</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 xml:space="preserve">This Power of Attorney shall remain in full force and effect until the undersigned is no longer required to file Schedule 13D or 13G and Forms 3, 4, 5, or 144 with respect to the undersigned’s holdings of and transactions in securities issued by the Company, unless earlier (a) revoked by the undersigned in a signed writing delivered to the foregoing attorneys-in-fact or (b) superseded by a new power of attorney regarding the purposes outlined in the first paragraph hereof dated as of a later date. </w:t>
      </w:r>
    </w:p>
    <w:p>
      <w:pPr>
        <w:pStyle w:val="TextBody"/>
        <w:bidi w:val="0"/>
        <w:jc w:val="both"/>
        <w:rPr>
          <w:rFonts w:ascii="Times New Roman" w:hAnsi="Times New Roman"/>
          <w:color w:val="000000"/>
          <w:sz w:val="24"/>
        </w:rPr>
      </w:pPr>
      <w:r>
        <w:rPr>
          <w:rFonts w:ascii="Times New Roman" w:hAnsi="Times New Roman"/>
          <w:color w:val="000000"/>
          <w:sz w:val="24"/>
        </w:rPr>
        <w:br/>
        <w:t>IN WITNESS WHEREOF, the undersigned has caused this Power of Attorney to be executed as of this September 14, 2026.</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4"/>
        </w:rPr>
      </w:pPr>
      <w:r>
        <w:rPr>
          <w:rFonts w:ascii="Times New Roman" w:hAnsi="Times New Roman"/>
          <w:color w:val="000000"/>
          <w:sz w:val="24"/>
        </w:rPr>
        <w:t xml:space="preserve">Signature: </w:t>
      </w:r>
      <w:r>
        <w:rPr>
          <w:rFonts w:ascii="Times New Roman" w:hAnsi="Times New Roman"/>
          <w:color w:val="000000"/>
          <w:sz w:val="24"/>
          <w:u w:val="single"/>
        </w:rPr>
        <w:t xml:space="preserve">/s/ Scott Blumberg </w:t>
      </w:r>
    </w:p>
    <w:p>
      <w:pPr>
        <w:pStyle w:val="TextBody"/>
        <w:bidi w:val="0"/>
        <w:jc w:val="left"/>
        <w:rPr>
          <w:rFonts w:ascii="Times New Roman" w:hAnsi="Times New Roman"/>
          <w:color w:val="000000"/>
          <w:sz w:val="24"/>
        </w:rPr>
      </w:pPr>
      <w:r>
        <w:rPr>
          <w:rFonts w:ascii="Times New Roman" w:hAnsi="Times New Roman"/>
          <w:color w:val="000000"/>
          <w:sz w:val="24"/>
        </w:rPr>
        <w:t xml:space="preserve">Name: Scott Blumberg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4"/>
          <w:u w:val="single"/>
        </w:rPr>
      </w:pPr>
      <w:r>
        <w:rPr>
          <w:rFonts w:ascii="Times New Roman" w:hAnsi="Times New Roman"/>
          <w:b/>
          <w:color w:val="000000"/>
          <w:sz w:val="24"/>
          <w:u w:val="single"/>
        </w:rPr>
        <w:t>Schedule A</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 xml:space="preserve">Individuals of CeriBell, Inc. Appointed as Attorney-in-Fact with Full Power of Substitution and Resubstitution </w:t>
      </w:r>
    </w:p>
    <w:p>
      <w:pPr>
        <w:pStyle w:val="TextBody"/>
        <w:bidi w:val="0"/>
        <w:jc w:val="center"/>
        <w:rPr/>
      </w:pPr>
      <w:r>
        <w:rPr/>
        <w:t> </w:t>
      </w:r>
    </w:p>
    <w:p>
      <w:pPr>
        <w:pStyle w:val="TextBody"/>
        <w:bidi w:val="0"/>
        <w:jc w:val="left"/>
        <w:rPr>
          <w:rFonts w:ascii="Times New Roman" w:hAnsi="Times New Roman"/>
          <w:color w:val="000000"/>
          <w:sz w:val="24"/>
        </w:rPr>
      </w:pPr>
      <w:r>
        <w:rPr>
          <w:rFonts w:ascii="Times New Roman" w:hAnsi="Times New Roman"/>
          <w:color w:val="000000"/>
          <w:sz w:val="24"/>
        </w:rPr>
        <w:t>Chief Executive Officer, who is currently Xingjuan (Jane) Chao, Ph.D.</w:t>
      </w:r>
    </w:p>
    <w:p>
      <w:pPr>
        <w:pStyle w:val="TextBody"/>
        <w:bidi w:val="0"/>
        <w:jc w:val="left"/>
        <w:rPr>
          <w:rFonts w:ascii="Times New Roman" w:hAnsi="Times New Roman"/>
          <w:color w:val="000000"/>
          <w:sz w:val="24"/>
        </w:rPr>
      </w:pPr>
      <w:r>
        <w:rPr>
          <w:rFonts w:ascii="Times New Roman" w:hAnsi="Times New Roman"/>
          <w:color w:val="000000"/>
          <w:sz w:val="24"/>
        </w:rPr>
        <w:t>Chief Financial Officer, who is currently Scott Blumberg</w:t>
      </w:r>
    </w:p>
    <w:p>
      <w:pPr>
        <w:pStyle w:val="TextBody"/>
        <w:bidi w:val="0"/>
        <w:jc w:val="left"/>
        <w:rPr>
          <w:rFonts w:ascii="Times New Roman" w:hAnsi="Times New Roman"/>
          <w:color w:val="000000"/>
          <w:sz w:val="24"/>
        </w:rPr>
      </w:pPr>
      <w:r>
        <w:rPr>
          <w:rFonts w:ascii="Times New Roman" w:hAnsi="Times New Roman"/>
          <w:color w:val="000000"/>
          <w:sz w:val="24"/>
        </w:rPr>
        <w:t xml:space="preserve">Interim General Counsel, who is currently Jessica Puathasnanon </w:t>
      </w:r>
    </w:p>
    <w:p>
      <w:pPr>
        <w:pStyle w:val="TextBody"/>
        <w:bidi w:val="0"/>
        <w:jc w:val="left"/>
        <w:rPr>
          <w:rFonts w:ascii="Times New Roman" w:hAnsi="Times New Roman"/>
          <w:color w:val="000000"/>
          <w:sz w:val="24"/>
        </w:rPr>
      </w:pPr>
      <w:r>
        <w:rPr>
          <w:rFonts w:ascii="Times New Roman" w:hAnsi="Times New Roman"/>
          <w:color w:val="000000"/>
          <w:sz w:val="24"/>
        </w:rPr>
        <w:t>Principal Accounting Officer, who is currently David Foehr</w:t>
      </w:r>
    </w:p>
    <w:p>
      <w:pPr>
        <w:pStyle w:val="TextBody"/>
        <w:bidi w:val="0"/>
        <w:jc w:val="left"/>
        <w:rPr/>
      </w:pPr>
      <w:r>
        <w:rPr/>
        <w:t> </w:t>
      </w:r>
    </w:p>
    <w:p>
      <w:pPr>
        <w:pStyle w:val="TextBody"/>
        <w:bidi w:val="0"/>
        <w:spacing w:before="0" w:after="24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35786" TargetMode="External"/><Relationship Id="rId5" Type="http://schemas.openxmlformats.org/officeDocument/2006/relationships/hyperlink" Target="http://www.sec.gov/cgi-bin/browse-edgar?action=getcompany&amp;CIK=000186110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1603</Words>
  <Characters>8536</Characters>
  <CharactersWithSpaces>10058</CharactersWithSpaces>
  <Paragraphs>159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