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0002035882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Foehr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859</w:t>
            </w:r>
          </w:p>
        </w:tc>
        <w:tc>
          <w:tcPr>
            <w:tcW w:w="1377" w:type="dxa"/>
            <w:tcBorders/>
            <w:vAlign w:val="center"/>
          </w:tcPr>
          <w:p>
            <w:pPr>
              <w:pStyle w:val="TableContents"/>
              <w:bidi w:val="0"/>
              <w:spacing w:before="0" w:after="283"/>
              <w:jc w:val="left"/>
              <w:rPr/>
            </w:pPr>
            <w:r>
              <w:rPr/>
              <w:t>20573.05</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08/24/2026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859</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David J. Foehr</w:t>
              <w:br/>
              <w:t>360 N. Pastoria Avenue</w:t>
              <w:br/>
              <w:t>Sunnyvale   CA   94085</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08/21/2026</w:t>
            </w:r>
          </w:p>
        </w:tc>
        <w:tc>
          <w:tcPr>
            <w:tcW w:w="1571" w:type="dxa"/>
            <w:tcBorders/>
            <w:vAlign w:val="center"/>
          </w:tcPr>
          <w:p>
            <w:pPr>
              <w:pStyle w:val="TableContents"/>
              <w:bidi w:val="0"/>
              <w:spacing w:before="0" w:after="283"/>
              <w:jc w:val="left"/>
              <w:rPr/>
            </w:pPr>
            <w:r>
              <w:rPr/>
              <w:t>993</w:t>
            </w:r>
          </w:p>
        </w:tc>
        <w:tc>
          <w:tcPr>
            <w:tcW w:w="1697" w:type="dxa"/>
            <w:tcBorders/>
            <w:vAlign w:val="center"/>
          </w:tcPr>
          <w:p>
            <w:pPr>
              <w:pStyle w:val="TableContents"/>
              <w:bidi w:val="0"/>
              <w:spacing w:before="0" w:after="283"/>
              <w:jc w:val="left"/>
              <w:rPr/>
            </w:pPr>
            <w:r>
              <w:rPr/>
              <w:t>23853.64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4"/>
        <w:gridCol w:w="6241"/>
      </w:tblGrid>
      <w:tr>
        <w:trPr/>
        <w:tc>
          <w:tcPr>
            <w:tcW w:w="3964" w:type="dxa"/>
            <w:tcBorders/>
            <w:vAlign w:val="center"/>
          </w:tcPr>
          <w:p>
            <w:pPr>
              <w:pStyle w:val="TableContents"/>
              <w:bidi w:val="0"/>
              <w:spacing w:before="0" w:after="283"/>
              <w:jc w:val="left"/>
              <w:rPr/>
            </w:pPr>
            <w:r>
              <w:rPr/>
              <w:t>Remarks</w:t>
            </w:r>
          </w:p>
        </w:tc>
        <w:tc>
          <w:tcPr>
            <w:tcW w:w="6241" w:type="dxa"/>
            <w:tcBorders/>
            <w:vAlign w:val="center"/>
          </w:tcPr>
          <w:p>
            <w:pPr>
              <w:pStyle w:val="TableContents"/>
              <w:bidi w:val="0"/>
              <w:spacing w:before="0" w:after="283"/>
              <w:jc w:val="left"/>
              <w:rPr>
                <w:sz w:val="4"/>
                <w:szCs w:val="4"/>
              </w:rPr>
            </w:pPr>
            <w:r>
              <w:rPr>
                <w:sz w:val="4"/>
                <w:szCs w:val="4"/>
              </w:rPr>
            </w:r>
          </w:p>
        </w:tc>
      </w:tr>
      <w:tr>
        <w:trPr/>
        <w:tc>
          <w:tcPr>
            <w:tcW w:w="3964" w:type="dxa"/>
            <w:tcBorders/>
            <w:vAlign w:val="center"/>
          </w:tcPr>
          <w:p>
            <w:pPr>
              <w:pStyle w:val="TableContents"/>
              <w:bidi w:val="0"/>
              <w:spacing w:before="0" w:after="283"/>
              <w:jc w:val="left"/>
              <w:rPr/>
            </w:pPr>
            <w:r>
              <w:rPr/>
              <w:t>Date of Notice</w:t>
            </w:r>
          </w:p>
        </w:tc>
        <w:tc>
          <w:tcPr>
            <w:tcW w:w="6241" w:type="dxa"/>
            <w:tcBorders/>
            <w:vAlign w:val="center"/>
          </w:tcPr>
          <w:p>
            <w:pPr>
              <w:pStyle w:val="TableContents"/>
              <w:bidi w:val="0"/>
              <w:spacing w:before="0" w:after="0"/>
              <w:jc w:val="left"/>
              <w:rPr/>
            </w:pPr>
            <w:r>
              <w:rPr/>
              <w:t>08/24/2026</w:t>
            </w:r>
          </w:p>
        </w:tc>
      </w:tr>
      <w:tr>
        <w:trPr/>
        <w:tc>
          <w:tcPr>
            <w:tcW w:w="3964" w:type="dxa"/>
            <w:tcBorders/>
            <w:vAlign w:val="center"/>
          </w:tcPr>
          <w:p>
            <w:pPr>
              <w:pStyle w:val="TableContents"/>
              <w:bidi w:val="0"/>
              <w:spacing w:before="0" w:after="283"/>
              <w:jc w:val="left"/>
              <w:rPr/>
            </w:pPr>
            <w:r>
              <w:rPr/>
              <w:t>Date of Plan Adoption or Giving of Instruction, If Relying on Rule 10b5-1</w:t>
            </w:r>
          </w:p>
        </w:tc>
        <w:tc>
          <w:tcPr>
            <w:tcW w:w="6241"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4" w:type="dxa"/>
            <w:tcBorders/>
            <w:vAlign w:val="center"/>
          </w:tcPr>
          <w:p>
            <w:pPr>
              <w:pStyle w:val="TableContents"/>
              <w:bidi w:val="0"/>
              <w:spacing w:before="0" w:after="283"/>
              <w:jc w:val="left"/>
              <w:rPr/>
            </w:pPr>
            <w:r>
              <w:rPr/>
              <w:t>Signature</w:t>
            </w:r>
          </w:p>
        </w:tc>
        <w:tc>
          <w:tcPr>
            <w:tcW w:w="6241" w:type="dxa"/>
            <w:tcBorders/>
            <w:vAlign w:val="center"/>
          </w:tcPr>
          <w:p>
            <w:pPr>
              <w:pStyle w:val="TableContents"/>
              <w:bidi w:val="0"/>
              <w:spacing w:before="0" w:after="0"/>
              <w:jc w:val="left"/>
              <w:rPr/>
            </w:pPr>
            <w:r>
              <w:rPr/>
              <w:t>/s/ Daniel Tucci, as a duly authorized representative of Fidelity Brokerage Services LLC, as attorney-in-fact for David Foehr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3187</Characters>
  <CharactersWithSpaces>3753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