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bll-20250630.htm"/>
        <w:bookmarkStart w:id="1" w:name="kscbll202506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 to 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001-42364</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CeriBell,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47-1785452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360 N. Pastoria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Sunnyvale,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94085</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(800) 436-0826</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55" w:type="dxa"/>
        <w:jc w:val="left"/>
        <w:tblInd w:w="0" w:type="dxa"/>
        <w:tblLayout w:type="fixed"/>
        <w:tblCellMar>
          <w:top w:w="28" w:type="dxa"/>
          <w:left w:w="28" w:type="dxa"/>
          <w:bottom w:w="28" w:type="dxa"/>
          <w:right w:w="28" w:type="dxa"/>
        </w:tblCellMar>
      </w:tblPr>
      <w:tblGrid>
        <w:gridCol w:w="3121"/>
        <w:gridCol w:w="146"/>
        <w:gridCol w:w="826"/>
        <w:gridCol w:w="146"/>
        <w:gridCol w:w="33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CBLL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As of August 1, 2025, the registrant had 36,663,968</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9588" w:type="dxa"/>
        <w:jc w:val="left"/>
        <w:tblInd w:w="0" w:type="dxa"/>
        <w:tblLayout w:type="fixed"/>
        <w:tblCellMar>
          <w:top w:w="28" w:type="dxa"/>
          <w:left w:w="28" w:type="dxa"/>
          <w:bottom w:w="28" w:type="dxa"/>
          <w:right w:w="28" w:type="dxa"/>
        </w:tblCellMar>
      </w:tblPr>
      <w:tblGrid>
        <w:gridCol w:w="886"/>
        <w:gridCol w:w="7621"/>
        <w:gridCol w:w="1081"/>
      </w:tblGrid>
      <w:tr>
        <w:trPr/>
        <w:tc>
          <w:tcPr>
            <w:tcW w:w="886" w:type="dxa"/>
            <w:tcBorders/>
            <w:vAlign w:val="center"/>
          </w:tcPr>
          <w:p>
            <w:pPr>
              <w:pStyle w:val="TableContents"/>
              <w:bidi w:val="0"/>
              <w:spacing w:before="0" w:after="283"/>
              <w:jc w:val="left"/>
              <w:rPr>
                <w:sz w:val="4"/>
                <w:szCs w:val="4"/>
              </w:rPr>
            </w:pPr>
            <w:r>
              <w:rPr>
                <w:sz w:val="4"/>
                <w:szCs w:val="4"/>
              </w:rPr>
            </w:r>
          </w:p>
        </w:tc>
        <w:tc>
          <w:tcPr>
            <w:tcW w:w="762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Condensed Balance Sheets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f_operations_comp_loss">
              <w:r>
                <w:rPr>
                  <w:rStyle w:val="InternetLink"/>
                  <w:rFonts w:ascii="Times New Roman" w:hAnsi="Times New Roman"/>
                  <w:color w:val="0563C1"/>
                  <w:sz w:val="20"/>
                  <w:u w:val="single"/>
                </w:rPr>
                <w:t>Condensed Statements of Operations and Comprehensive Loss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563C1"/>
                  <w:sz w:val="20"/>
                  <w:u w:val="single"/>
                </w:rPr>
                <w:t>Condensed Statements of</w:t>
              </w:r>
            </w:hyperlink>
            <w:hyperlink w:anchor="equity">
              <w:r>
                <w:rPr>
                  <w:rStyle w:val="InternetLink"/>
                  <w:rFonts w:ascii="Times New Roman" w:hAnsi="Times New Roman"/>
                  <w:color w:val="0563C1"/>
                  <w:sz w:val="20"/>
                </w:rPr>
                <w:t xml:space="preserve"> </w:t>
              </w:r>
            </w:hyperlink>
            <w:hyperlink w:anchor="equity">
              <w:r>
                <w:rPr>
                  <w:rStyle w:val="InternetLink"/>
                  <w:rFonts w:ascii="Times New Roman" w:hAnsi="Times New Roman"/>
                  <w:color w:val="0563C1"/>
                  <w:sz w:val="20"/>
                  <w:u w:val="single"/>
                </w:rPr>
                <w:t>Stockholders’ Equity</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ef_stock_deficit">
              <w:r>
                <w:rPr>
                  <w:rStyle w:val="InternetLink"/>
                  <w:rFonts w:ascii="Times New Roman" w:hAnsi="Times New Roman"/>
                  <w:color w:val="0563C1"/>
                  <w:sz w:val="20"/>
                  <w:u w:val="single"/>
                </w:rPr>
                <w:t>Condensed Statements of Redeemable Convertible Preferred Stock and Stockholders’ Deficit</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563C1"/>
                  <w:sz w:val="20"/>
                  <w:u w:val="single"/>
                </w:rPr>
                <w:t>Condensed Statements of Cash Flows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Financial Statements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_q_disclosures">
              <w:r>
                <w:rPr>
                  <w:rStyle w:val="InternetLink"/>
                  <w:rFonts w:ascii="Times New Roman" w:hAnsi="Times New Roman"/>
                  <w:color w:val="0563C1"/>
                  <w:sz w:val="20"/>
                  <w:u w:val="single"/>
                </w:rPr>
                <w:t>Quantitative and Qualitative Disclosures About Market Risk</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by words such as “may,” “will,” “shall,” “should,” “expects,” “plans,” “anticipates,” “could,” “intends,” “target,” “projects,” “contemplates,” “believes,” “estimates,” “predicts,” “potential,” “goal,” “objective,” “seeks,” “likely,” “ongoing,” “assumes,” “forecast,” “guidance,” “hope,”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concerning orders for our products and utilization by existing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potential market size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competitive technological advantages;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develop and release new features for the Ceribell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expand into new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intentions to pursue adjacent and international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improving our product and technology, including our AI-powered algorithm;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commercialization and marketing capabilities and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and the capabilities of, our component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JOBS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statements do not reflect the potential impact of any future acquisitions, mergers, dispositions, joint ventures, or investments we may make.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reference in this Quarterly Report on Form 10-Q and have filed as exhibits to the registration statement, of which this Quarterly Report on Form 10-Q is a part, completely and with the understanding that our actual future results may be materially different from what we expect. We qualify all of the forward-looking statements in this Quarterly Report on Form 10-Q by these cautionary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03"/>
        <w:gridCol w:w="146"/>
        <w:gridCol w:w="196"/>
        <w:gridCol w:w="751"/>
        <w:gridCol w:w="166"/>
        <w:gridCol w:w="146"/>
        <w:gridCol w:w="228"/>
        <w:gridCol w:w="876"/>
        <w:gridCol w:w="393"/>
      </w:tblGrid>
      <w:tr>
        <w:trPr/>
        <w:tc>
          <w:tcPr>
            <w:tcW w:w="7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194,370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costs,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217,272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costs,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225,412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0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12,989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21,258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34,247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Commitments and contingencies</w:t>
            </w:r>
            <w:r>
              <w:rPr>
                <w:rFonts w:ascii="Times New Roman" w:hAnsi="Times New Roman"/>
                <w:color w:val="000000"/>
                <w:sz w:val="18"/>
              </w:rPr>
              <w:t xml:space="preserve">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Preferred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Authorized shares: 10,000,000</w:t>
            </w:r>
            <w:r>
              <w:rPr>
                <w:rFonts w:ascii="Times New Roman" w:hAnsi="Times New Roman"/>
                <w:color w:val="000000"/>
                <w:sz w:val="20"/>
              </w:rPr>
              <w:t> </w:t>
            </w:r>
            <w:r>
              <w:rPr>
                <w:rFonts w:ascii="Times New Roman" w:hAnsi="Times New Roman"/>
                <w:color w:val="000000"/>
                <w:sz w:val="18"/>
              </w:rPr>
              <w:t>as of both June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Issued and outstanding shares: none</w:t>
            </w:r>
            <w:r>
              <w:rPr>
                <w:rFonts w:ascii="Times New Roman" w:hAnsi="Times New Roman"/>
                <w:color w:val="000000"/>
                <w:sz w:val="20"/>
              </w:rPr>
              <w:t> </w:t>
            </w:r>
            <w:r>
              <w:rPr>
                <w:rFonts w:ascii="Times New Roman" w:hAnsi="Times New Roman"/>
                <w:color w:val="000000"/>
                <w:sz w:val="18"/>
              </w:rPr>
              <w:t>as of both June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Common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Authorized shares: 500,000,000</w:t>
            </w:r>
            <w:r>
              <w:rPr>
                <w:rFonts w:ascii="Times New Roman" w:hAnsi="Times New Roman"/>
                <w:color w:val="000000"/>
                <w:sz w:val="20"/>
              </w:rPr>
              <w:t> </w:t>
            </w:r>
            <w:r>
              <w:rPr>
                <w:rFonts w:ascii="Times New Roman" w:hAnsi="Times New Roman"/>
                <w:color w:val="000000"/>
                <w:sz w:val="18"/>
              </w:rPr>
              <w:t>as of both June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Issued and outstanding shares: 36,599,663</w:t>
            </w:r>
            <w:r>
              <w:rPr>
                <w:rFonts w:ascii="Times New Roman" w:hAnsi="Times New Roman"/>
                <w:color w:val="000000"/>
                <w:sz w:val="20"/>
              </w:rPr>
              <w:t> </w:t>
            </w:r>
            <w:r>
              <w:rPr>
                <w:rFonts w:ascii="Times New Roman" w:hAnsi="Times New Roman"/>
                <w:color w:val="000000"/>
                <w:sz w:val="18"/>
              </w:rPr>
              <w:t>and 35,850,606</w:t>
            </w:r>
            <w:r>
              <w:rPr>
                <w:rFonts w:ascii="Times New Roman" w:hAnsi="Times New Roman"/>
                <w:color w:val="000000"/>
                <w:sz w:val="20"/>
              </w:rPr>
              <w:t> </w:t>
            </w:r>
            <w:r>
              <w:rPr>
                <w:rFonts w:ascii="Times New Roman" w:hAnsi="Times New Roman"/>
                <w:color w:val="000000"/>
                <w:sz w:val="18"/>
              </w:rPr>
              <w:t>as of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358,073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(166,944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172,155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191,165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225,412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6" w:name="stmt_of_operations_comp_loss"/>
      <w:bookmarkEnd w:id="6"/>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54"/>
        <w:gridCol w:w="146"/>
        <w:gridCol w:w="211"/>
        <w:gridCol w:w="1036"/>
        <w:gridCol w:w="166"/>
        <w:gridCol w:w="146"/>
        <w:gridCol w:w="211"/>
        <w:gridCol w:w="931"/>
        <w:gridCol w:w="166"/>
        <w:gridCol w:w="146"/>
        <w:gridCol w:w="211"/>
        <w:gridCol w:w="1036"/>
        <w:gridCol w:w="166"/>
        <w:gridCol w:w="146"/>
        <w:gridCol w:w="211"/>
        <w:gridCol w:w="931"/>
        <w:gridCol w:w="391"/>
      </w:tblGrid>
      <w:tr>
        <w:trPr/>
        <w:tc>
          <w:tcPr>
            <w:tcW w:w="3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42,389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in computing 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36,293,559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5,559,718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5,506,597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7" w:name="equity"/>
      <w:bookmarkEnd w:id="7"/>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9"/>
        <w:gridCol w:w="146"/>
        <w:gridCol w:w="146"/>
        <w:gridCol w:w="916"/>
        <w:gridCol w:w="166"/>
        <w:gridCol w:w="146"/>
        <w:gridCol w:w="166"/>
        <w:gridCol w:w="394"/>
        <w:gridCol w:w="146"/>
        <w:gridCol w:w="146"/>
        <w:gridCol w:w="196"/>
        <w:gridCol w:w="691"/>
        <w:gridCol w:w="166"/>
        <w:gridCol w:w="146"/>
        <w:gridCol w:w="517"/>
        <w:gridCol w:w="914"/>
        <w:gridCol w:w="166"/>
        <w:gridCol w:w="146"/>
        <w:gridCol w:w="196"/>
        <w:gridCol w:w="751"/>
        <w:gridCol w:w="166"/>
        <w:gridCol w:w="146"/>
        <w:gridCol w:w="227"/>
        <w:gridCol w:w="801"/>
        <w:gridCol w:w="215"/>
      </w:tblGrid>
      <w:tr>
        <w:trPr/>
        <w:tc>
          <w:tcPr>
            <w:tcW w:w="2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 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35,850,606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191,165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35,897,062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360,572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(179,721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180,881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withholding related to settlement or vesting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36,599,663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365,477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(193,364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172,155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8" w:name="pref_stock_deficit"/>
      <w:bookmarkEnd w:id="8"/>
      <w:r>
        <w:rPr>
          <w:rFonts w:ascii="Times New Roman" w:hAnsi="Times New Roman"/>
          <w:b/>
          <w:color w:val="000000"/>
          <w:sz w:val="20"/>
        </w:rPr>
        <w:t>CeriBell,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Redeemable Convertible Preferred Stock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0"/>
        <w:gridCol w:w="146"/>
        <w:gridCol w:w="146"/>
        <w:gridCol w:w="916"/>
        <w:gridCol w:w="146"/>
        <w:gridCol w:w="146"/>
        <w:gridCol w:w="196"/>
        <w:gridCol w:w="691"/>
        <w:gridCol w:w="146"/>
        <w:gridCol w:w="146"/>
        <w:gridCol w:w="146"/>
        <w:gridCol w:w="146"/>
        <w:gridCol w:w="826"/>
        <w:gridCol w:w="146"/>
        <w:gridCol w:w="146"/>
        <w:gridCol w:w="157"/>
        <w:gridCol w:w="373"/>
        <w:gridCol w:w="146"/>
        <w:gridCol w:w="146"/>
        <w:gridCol w:w="196"/>
        <w:gridCol w:w="601"/>
        <w:gridCol w:w="146"/>
        <w:gridCol w:w="146"/>
        <w:gridCol w:w="196"/>
        <w:gridCol w:w="751"/>
        <w:gridCol w:w="166"/>
        <w:gridCol w:w="146"/>
        <w:gridCol w:w="209"/>
        <w:gridCol w:w="804"/>
        <w:gridCol w:w="213"/>
      </w:tblGrid>
      <w:tr>
        <w:trPr/>
        <w:tc>
          <w:tcPr>
            <w:tcW w:w="1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 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5,430,298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(112,252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5,461,202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(135,010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(119,898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5,594,965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(127,275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9" w:name="statements_of_cash_flows"/>
      <w:bookmarkEnd w:id="9"/>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7"/>
        <w:gridCol w:w="146"/>
        <w:gridCol w:w="211"/>
        <w:gridCol w:w="841"/>
        <w:gridCol w:w="166"/>
        <w:gridCol w:w="146"/>
        <w:gridCol w:w="211"/>
        <w:gridCol w:w="736"/>
        <w:gridCol w:w="811"/>
      </w:tblGrid>
      <w:tr>
        <w:trPr/>
        <w:tc>
          <w:tcPr>
            <w:tcW w:w="6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(amortization) of discount and premium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 and recorders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non-current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recorders and related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IPO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(10,138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24,357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 obtained in exchange for operating lease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Unpaid deferred IPO offering costs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withholding related to settlement or vesting of equity awards in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10" w:name="notes_to_financial_statements"/>
      <w:bookmarkEnd w:id="10"/>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CeriBell, Inc. (the “Company”) was incorporated in the state of Delaware as Brain Stethoscope, Inc., on August 29, 2014, and changed its name to CeriBell, Inc. on August 11, 2015, and maintains its principal office in Sunnyvale, California. The Company is a commercial-stage medical technology company focused on transforming the diagnosis and management of patients with serious neurological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2025, the Company’s principal sources of liquidity consisted of $177.4 million of cash and cash equivalents and marketable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operating losses and negative cash flows from operations since its inception. On June 30, 2025, the Company had an accumulated deficit of $193.4 million. Such losses primarily resulted from the costs incurred in the development and sales and marketing of the Company’s products and building the Company’s organization. The Company expects to incur losses in the near term as it continues to focus on the development and promotion of new and existing products and expand its corporate infrastructure, including the costs associated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Company’s current operating plan, the Company believes that its existing cash and cash equivalents will be sufficient to fund the Company’s planned operating expenses and capital expenditure requirements for at least the next 12 months from the date of issuance of these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the Company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license other businesses, assets, or technologies. The Company’s future capital needs will depend upon many factors, including the market acceptance of the Company’s products, the cost and pace of developing new products, and the costs of supporting sales growth.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risks common to companies in the medical device industry, including, but not limited to, new technological innovations, dependence upon third-party payers to provide adequate coverage and reimbursement, dependence on key personnel, dependence on key suppliers, protection of proprietary technology, product liability, and compliance with government regulations. There can be no assurance that the Company’s products or services will be accepted in the marketplace, nor can there be any assurance that any future products or services can be developed or manufactured at an acceptable cost and with appropriate performance characteristics, or that such products or services will be successfully marketed, if at all. These factors could have a material adverse effect on the Company’s future financial results, financial position, and cash flow.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inflationary and supply chain pressures may adversely impact the Company’s future financial results. The Company’s operating costs have increased and may continue to increase because of these pressures, and the Company may not be able to fully offset these cost increases by raising prices for products or subscription fees, which could result in downward pressure on margins.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Adverse economic conditions in the U.S., including any economic disruptions related to another or worsening global pandemic or a recession, could negatively impact the Company’s revenues and results of operations. The global credit and financial markets continue to experience volatility and disruptions, including diminished liquidity and credit availability, increased concerns about inflation, and uncertainty about economic stability. Events including a potential recession have caused economic, market, and political uncertainty. Volatility and disruption of financial markets could limit the Company customers’ ability to obtain adequate financing or credit to purchase and pay for products in a timely manner or to maintain operations, which could result in a decrease in sales volume that could harm the company’s results of operations. General concerns about the fundamental soundness of the U.S. economy may also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cause customers to reduce their purchases. Changes in governmental banking, monetary, and fiscal policies to address liquidity and increase credit availability may not be effective. Continuation or further deterioration of these financial and macroeconomic conditions could harm company sales, profitability,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utilizes contract manufacturers in China to supply key sub-assemblies for its primary products. In addition, political instability or the deterioration of trade relations between the United States and China could adversely impact the Company’s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minimize supply chain disruptions, the Company continues to maintain sufficient supplies of inventory of manufactured components and parts needed to meet forecast production demand.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financial statements have been prepared in accordance with accounting principles generally accepted in the United States of America (“GAAP”), and pursuant to the rules and regulations of the United States Securities and Exchange Commission (“SEC”).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unaudited interim financial statements have been prepared on the same basis as the annual financial statements and, in the opinion of management, reflect all adjustments, which include only normal recurring adjustments, necessary to a fair statement of the Company’s financial position as of June 30, 2025, and the results of its operations for the three and six months ended June 30, 2025 and 2024 and cash flows for the six months ended June 30, 2025 and 2024. The condensed balance sheet at June 30, 2025, was derived from audited annual financial statements but does not contain all of the footnote disclosures from the annual financial statements. </w:t>
      </w:r>
    </w:p>
    <w:p>
      <w:pPr>
        <w:pStyle w:val="TextBody"/>
        <w:bidi w:val="0"/>
        <w:spacing w:before="360" w:after="283"/>
        <w:jc w:val="both"/>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4, 2024, the Company amended and restated its amended and restated certificate of incorporation to effect a 1-for-2.57 reverse stock split of the Company’s common stock and redeemable convertible preferred stock (the “Reverse Stock Split”). The par value and authorized shares of the common stock and redeemable convertible preferred stock were not adjusted as a result of the Reverse Stock Split. All issued and outstanding common stock, preferred stock, options to purchase common stock, warrants to purchase redeemable convertible preferred stock and per share amounts contained in the financial statements have been retroactively adjusted to give effect to the Reverse Stock Split for all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expenses during the reporting period. Actual results could differ from those estimates and assumptions, and such differences could be material to the Company’s financial position and results of operations. Significant estimates and assumptions include, but are not limited to, valuation of warrants, valuation of the Company’s common stock (prior to the Initial Public Offering, or “IPO”), and valuation of the Company’s options to purchase common stock for purposes of accounting for stock-based compensation.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primarily of cash and cash equivalents and accounts receivable. The Company’s cash and cash equivalents are invested in checking accounts and money market funds. The Company has not experienced any losses to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accounts receivables are derived solely from product and subscription sales to customers located in the United States. The Company performs periodic evaluations of its customers’ financial condition and generally requires no collateral from its customers. Credit losses historically have not been significant. No customers comprised 10% of the Company revenue for the three and six months ended June 30, 2025 and 2024. No customers comprised 10% of the Company's accounts receivable balance as of June 30, 2025, or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the Company maintains balances, could adversely impact liquidity and financial performance. There can be no assurance that the Company’s deposits in excess of the Federal Deposit Insurance Corporation (“FDIC”) or other comparable insurance limits will be backstopped by the U.S. or applicable foreign governments, or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bank or financial institution with which the Company does business will be able to obtain needed liquidity from other banks, government institutions, or by acquisition in the event of a failure or liquidity crisis. The Company’s cash and cash equivalents are primarily held in money market funds.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Information About Segment and Geographic Areas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operates and manages its business as one reportable and operating segment. The Company generates revenue from two recurring sources. Product revenue is generated by the sale of the Company’s disposable headbands that are intended for single patient use. Subscription revenue is generated by monthly subscription fees charged to the Company’s hospital customers for use of Clarity</w:t>
      </w:r>
      <w:r>
        <w:rPr>
          <w:rFonts w:ascii="Times New Roman" w:hAnsi="Times New Roman"/>
          <w:color w:val="000000"/>
          <w:sz w:val="13"/>
        </w:rPr>
        <w:t>TM</w:t>
      </w:r>
      <w:r>
        <w:rPr>
          <w:rFonts w:ascii="Times New Roman" w:hAnsi="Times New Roman"/>
          <w:color w:val="000000"/>
          <w:sz w:val="20"/>
        </w:rPr>
        <w:t>, recorders, and its portal. The Company has one reportable segment due to the similar customer base of its products and subscriptions and similarities in: economic characteristics; nature and compatibility of products and subscriptions; and procurement, manufacturing and distribution processes.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the “Segment Reporting” Topic of the Account Standard Codification (“ASC”), the Company’s Chief Executive Officer is the Chief Operating Decision Maker (“CODM”). The Company's measure of segment profit or loss is loss from operations. The CODM utilizes the Company's financial information such as loss from operations derived from revenues and operating expenses included in the Company forecast, performance metrics, and budget versus actual analyses on an aggregate basis for purposes of evaluating financial performance and how to best allocate resources across functions when developing and reviewing the annual budget to achieve the Company's long term objectives. Significant expenses within loss from operations include cost of revenue, research and development, sales and marketing, and general and administrative expenses, which are each separately presented on the Company’s Statements of Operations and Comprehensive Loss. The measure of segment assets is reported on the Balance Sheets as total assets. Since the Company operates in one segment, all accounting policies and financial information required by “Segment Reporting” can be found in the summary of significant accounting policies, the revenue footnote, and the accompanying financial statements, as well as the annual financial statements. All of the Company’s revenue was in the United States for the three and six months ended June 30, 2025 and 2024. Long-lived assets held outside of the United States were $1.0 million and $0.9 million as of June 30, 2025 and December 31,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in-license arrangement with Stanford University whereby the Company owes low-single digit royalty percentages related to revenue that is derived pursuant to in-licensed technologies, subject to a minimum payment. Royalty obligations are expensed as cost of revenue in the statements of operations and comprehensive loss, when incurred or over the minimum royalty periods and have not been material. On June 12, 2025, the Company extended the exclusivity of the licensed patents to the date the last licensed patent expires in May 2036 for a term exercise fee of $250,000. As the in-licensed technologies are used to generate revenue, the exercise fee has been deferred in other assets and will be amortized to cost of revenue on a straight line basis through May 2036.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paid Dr. Parvizi, a Director and Co-Founder of the Company, for consulting services and reimbursement of related expenses and recorded such amounts as general and administrative expenses within the statements of operations and comprehensive loss. Expenses related to Dr. Parvizi were $48,000 and $52,000 for the three months ended June 30, 2025 and 2024, respectively, and $97,000 and $101,000 for the six months ended June 30, 2025 and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No. 2023-09 Improvements to Income Tax Disclosures. The amendments expand income tax disclosure requirements by requiring an entity to disclose (i) specific categories in the rate reconciliation, (ii) additional information for reconciling items that meet a quantitative threshold, and (iii) the amount of taxes paid disaggregated by jurisdiction. The amendments are effective for fiscal years beginning after December 15, 2024. Early adoption is permitted. The adoption is not expected to have a material impact on the Company's annual financial statements and related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the FASB issued ASU No. 2024-03 Disaggregation of Income Statement Expenses. The amendment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We are currently evaluating the impact this ASU will have on our disclosures.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information about disaggregated revenue from contracts with customers by the nature of products and services provided (in thousands):</w:t>
      </w:r>
    </w:p>
    <w:p>
      <w:pPr>
        <w:pStyle w:val="TextBody"/>
        <w:bidi w:val="0"/>
        <w:jc w:val="both"/>
        <w:rPr/>
      </w:pPr>
      <w:r>
        <w:rPr/>
        <w:t> </w:t>
      </w:r>
    </w:p>
    <w:tbl>
      <w:tblPr>
        <w:tblW w:w="8872" w:type="dxa"/>
        <w:jc w:val="left"/>
        <w:tblInd w:w="0" w:type="dxa"/>
        <w:tblLayout w:type="fixed"/>
        <w:tblCellMar>
          <w:top w:w="28" w:type="dxa"/>
          <w:left w:w="28" w:type="dxa"/>
          <w:bottom w:w="28" w:type="dxa"/>
          <w:right w:w="28" w:type="dxa"/>
        </w:tblCellMar>
      </w:tblPr>
      <w:tblGrid>
        <w:gridCol w:w="3961"/>
        <w:gridCol w:w="146"/>
        <w:gridCol w:w="226"/>
        <w:gridCol w:w="726"/>
        <w:gridCol w:w="156"/>
        <w:gridCol w:w="156"/>
        <w:gridCol w:w="226"/>
        <w:gridCol w:w="726"/>
        <w:gridCol w:w="146"/>
        <w:gridCol w:w="146"/>
        <w:gridCol w:w="211"/>
        <w:gridCol w:w="676"/>
        <w:gridCol w:w="146"/>
        <w:gridCol w:w="146"/>
        <w:gridCol w:w="211"/>
        <w:gridCol w:w="676"/>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headbands,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15,923</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portal and Clarity subscriptions,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21,199</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Currently, the Company’s customers are solely in the United States.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sales commissions that are considered to be incremental to the acquisition of customer contracts and amortizes them over an estimated period of benefit. To determine the period of benefit of its deferred commissions, the Company evaluates the type of commissions, the nature of the related benefit, and the specific facts and circumstances of its arrangements. The Company determines the period of benefit for commissions paid for the acquisition of the initial subscription contract by taking into consideration its average customer life, which is generally assumed to be three years. The Company evaluates these assumptions at least annually and periodically reviews whether events or changes in circumstances have occurred that could impact the period of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elected to utilize the practical expedient to expense sales commissions with an amortization period of less than one year and capitalize sales commissions that are considered to be incremental costs of obtaining contracts with an amortization period greater than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capitalized contract costs (in thousands):</w:t>
      </w:r>
    </w:p>
    <w:p>
      <w:pPr>
        <w:pStyle w:val="TextBody"/>
        <w:bidi w:val="0"/>
        <w:jc w:val="both"/>
        <w:rPr/>
      </w:pPr>
      <w:r>
        <w:rPr/>
        <w:t> </w:t>
      </w:r>
    </w:p>
    <w:tbl>
      <w:tblPr>
        <w:tblW w:w="9263" w:type="dxa"/>
        <w:jc w:val="left"/>
        <w:tblInd w:w="0" w:type="dxa"/>
        <w:tblLayout w:type="fixed"/>
        <w:tblCellMar>
          <w:top w:w="28" w:type="dxa"/>
          <w:left w:w="28" w:type="dxa"/>
          <w:bottom w:w="28" w:type="dxa"/>
          <w:right w:w="28" w:type="dxa"/>
        </w:tblCellMar>
      </w:tblPr>
      <w:tblGrid>
        <w:gridCol w:w="3941"/>
        <w:gridCol w:w="246"/>
        <w:gridCol w:w="225"/>
        <w:gridCol w:w="610"/>
        <w:gridCol w:w="284"/>
        <w:gridCol w:w="263"/>
        <w:gridCol w:w="225"/>
        <w:gridCol w:w="610"/>
        <w:gridCol w:w="266"/>
        <w:gridCol w:w="246"/>
        <w:gridCol w:w="211"/>
        <w:gridCol w:w="631"/>
        <w:gridCol w:w="266"/>
        <w:gridCol w:w="246"/>
        <w:gridCol w:w="211"/>
        <w:gridCol w:w="571"/>
        <w:gridCol w:w="211"/>
      </w:tblGrid>
      <w:tr>
        <w:trPr/>
        <w:tc>
          <w:tcPr>
            <w:tcW w:w="39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 balance beginning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capitalized during the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amortized during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Costs as of period end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3,695</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Contract Liabilities and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 liabilities consist of up-front payments received from customers primarily for the Clarity SaaS subscriptions.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contract liabilities (in thousands):</w:t>
      </w:r>
    </w:p>
    <w:p>
      <w:pPr>
        <w:pStyle w:val="TextBody"/>
        <w:bidi w:val="0"/>
        <w:jc w:val="both"/>
        <w:rPr/>
      </w:pPr>
      <w:r>
        <w:rPr/>
        <w:t> </w:t>
      </w:r>
    </w:p>
    <w:tbl>
      <w:tblPr>
        <w:tblW w:w="9697" w:type="dxa"/>
        <w:jc w:val="left"/>
        <w:tblInd w:w="0" w:type="dxa"/>
        <w:tblLayout w:type="fixed"/>
        <w:tblCellMar>
          <w:top w:w="28" w:type="dxa"/>
          <w:left w:w="28" w:type="dxa"/>
          <w:bottom w:w="28" w:type="dxa"/>
          <w:right w:w="28" w:type="dxa"/>
        </w:tblCellMar>
      </w:tblPr>
      <w:tblGrid>
        <w:gridCol w:w="4786"/>
        <w:gridCol w:w="146"/>
        <w:gridCol w:w="286"/>
        <w:gridCol w:w="571"/>
        <w:gridCol w:w="225"/>
        <w:gridCol w:w="198"/>
        <w:gridCol w:w="286"/>
        <w:gridCol w:w="652"/>
        <w:gridCol w:w="166"/>
        <w:gridCol w:w="146"/>
        <w:gridCol w:w="252"/>
        <w:gridCol w:w="574"/>
        <w:gridCol w:w="198"/>
        <w:gridCol w:w="174"/>
        <w:gridCol w:w="252"/>
        <w:gridCol w:w="574"/>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Contract Liabilities revenue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short-term remaining performance obligations are expected to be recognized within 12 months and non-current performance obligations are expected to be recognized within 1.5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 This level consists of quoted prices (unadjusted) in active markets that are accessible at the measurement date for assets or liabilities. The fair value hierarchy gives the highest priority to Level 1 inputs.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 This level consists of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 This level consists of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the fair value, the Company utilizes valuation techniques that maximize the use of observable inputs and minimize the unobservable inputs to the extent possible, as well as considers counterparty credit risk in its assessments of fair value.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Fair Value of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represent the Company’s financial assets and liabilities according to the fair value hierarchy, measured at fair value (in thousands):</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2276"/>
        <w:gridCol w:w="146"/>
        <w:gridCol w:w="211"/>
        <w:gridCol w:w="676"/>
        <w:gridCol w:w="146"/>
        <w:gridCol w:w="146"/>
        <w:gridCol w:w="211"/>
        <w:gridCol w:w="781"/>
        <w:gridCol w:w="146"/>
        <w:gridCol w:w="146"/>
        <w:gridCol w:w="239"/>
        <w:gridCol w:w="391"/>
        <w:gridCol w:w="146"/>
        <w:gridCol w:w="146"/>
        <w:gridCol w:w="211"/>
        <w:gridCol w:w="781"/>
        <w:gridCol w:w="591"/>
      </w:tblGrid>
      <w:tr>
        <w:trPr/>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assets, </w:t>
            </w:r>
            <w:r>
              <w:rPr>
                <w:rFonts w:ascii="Times New Roman" w:hAnsi="Times New Roman"/>
                <w:color w:val="000000"/>
                <w:sz w:val="20"/>
              </w:rPr>
              <w:t>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173,507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18" w:type="dxa"/>
        <w:jc w:val="left"/>
        <w:tblInd w:w="0" w:type="dxa"/>
        <w:tblLayout w:type="fixed"/>
        <w:tblCellMar>
          <w:top w:w="28" w:type="dxa"/>
          <w:left w:w="28" w:type="dxa"/>
          <w:bottom w:w="28" w:type="dxa"/>
          <w:right w:w="28" w:type="dxa"/>
        </w:tblCellMar>
      </w:tblPr>
      <w:tblGrid>
        <w:gridCol w:w="2161"/>
        <w:gridCol w:w="446"/>
        <w:gridCol w:w="211"/>
        <w:gridCol w:w="781"/>
        <w:gridCol w:w="146"/>
        <w:gridCol w:w="146"/>
        <w:gridCol w:w="239"/>
        <w:gridCol w:w="391"/>
        <w:gridCol w:w="146"/>
        <w:gridCol w:w="146"/>
        <w:gridCol w:w="239"/>
        <w:gridCol w:w="391"/>
        <w:gridCol w:w="146"/>
        <w:gridCol w:w="146"/>
        <w:gridCol w:w="211"/>
        <w:gridCol w:w="781"/>
        <w:gridCol w:w="591"/>
      </w:tblGrid>
      <w:tr>
        <w:trPr/>
        <w:tc>
          <w:tcPr>
            <w:tcW w:w="21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assets,</w:t>
            </w:r>
            <w:r>
              <w:rPr>
                <w:rFonts w:ascii="Times New Roman" w:hAnsi="Times New Roman"/>
                <w:color w:val="000000"/>
                <w:sz w:val="20"/>
              </w:rPr>
              <w:t> at fair value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carrying amount of the Company’s notes payable is carried at amortized cost and approximates its fair value.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fair value and amortized cost of Level 2 cash equivalents and available-for-sale marketable securities as of June 30, 2025 are presented in the following table (in thousands):</w:t>
      </w:r>
    </w:p>
    <w:p>
      <w:pPr>
        <w:pStyle w:val="TextBody"/>
        <w:bidi w:val="0"/>
        <w:spacing w:before="40" w:after="283"/>
        <w:jc w:val="left"/>
        <w:rPr/>
      </w:pPr>
      <w:r>
        <w:rPr/>
        <w:t> </w:t>
      </w:r>
    </w:p>
    <w:tbl>
      <w:tblPr>
        <w:tblW w:w="9709" w:type="dxa"/>
        <w:jc w:val="left"/>
        <w:tblInd w:w="0" w:type="dxa"/>
        <w:tblLayout w:type="fixed"/>
        <w:tblCellMar>
          <w:top w:w="28" w:type="dxa"/>
          <w:left w:w="28" w:type="dxa"/>
          <w:bottom w:w="28" w:type="dxa"/>
          <w:right w:w="28" w:type="dxa"/>
        </w:tblCellMar>
      </w:tblPr>
      <w:tblGrid>
        <w:gridCol w:w="2446"/>
        <w:gridCol w:w="146"/>
        <w:gridCol w:w="351"/>
        <w:gridCol w:w="1299"/>
        <w:gridCol w:w="146"/>
        <w:gridCol w:w="146"/>
        <w:gridCol w:w="539"/>
        <w:gridCol w:w="811"/>
        <w:gridCol w:w="146"/>
        <w:gridCol w:w="146"/>
        <w:gridCol w:w="495"/>
        <w:gridCol w:w="885"/>
        <w:gridCol w:w="166"/>
        <w:gridCol w:w="146"/>
        <w:gridCol w:w="351"/>
        <w:gridCol w:w="1299"/>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137,287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fair value of available-for-sale marketable securities by contractual maturities as of June 30, 2025 are presented in the following table (in thousands):</w:t>
      </w:r>
    </w:p>
    <w:p>
      <w:pPr>
        <w:pStyle w:val="TextBody"/>
        <w:bidi w:val="0"/>
        <w:spacing w:before="40" w:after="283"/>
        <w:jc w:val="left"/>
        <w:rPr/>
      </w:pPr>
      <w:r>
        <w:rPr/>
        <w:t> </w:t>
      </w:r>
    </w:p>
    <w:tbl>
      <w:tblPr>
        <w:tblW w:w="3915" w:type="dxa"/>
        <w:jc w:val="left"/>
        <w:tblInd w:w="0" w:type="dxa"/>
        <w:tblLayout w:type="fixed"/>
        <w:tblCellMar>
          <w:top w:w="28" w:type="dxa"/>
          <w:left w:w="28" w:type="dxa"/>
          <w:bottom w:w="28" w:type="dxa"/>
          <w:right w:w="28" w:type="dxa"/>
        </w:tblCellMar>
      </w:tblPr>
      <w:tblGrid>
        <w:gridCol w:w="2446"/>
        <w:gridCol w:w="146"/>
        <w:gridCol w:w="211"/>
        <w:gridCol w:w="781"/>
        <w:gridCol w:w="33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less than one year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118,913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to two years</w:t>
            </w:r>
          </w:p>
        </w:tc>
        <w:tc>
          <w:tcPr>
            <w:tcW w:w="1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bottom w:val="single" w:sz="18" w:space="0" w:color="CCEEFF"/>
            </w:tcBorders>
            <w:shd w:fill="CAEEFB"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137,287</w:t>
            </w:r>
          </w:p>
        </w:tc>
        <w:tc>
          <w:tcPr>
            <w:tcW w:w="3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Cash and cash equivalents are comprised of Level 1 financial instruments of money market fund investments. Level 2 financial instruments are comprised of U.S. Treasury bills and U.S. Notes and Bonds. The Company's valuation technique used to measure the fair value of money market funds is derived from quoted prices in active markets for identical assets or liabilities, which is categorized as Level 1.</w:t>
      </w:r>
    </w:p>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Balance Sheet Details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1861"/>
        <w:gridCol w:w="146"/>
        <w:gridCol w:w="211"/>
        <w:gridCol w:w="571"/>
        <w:gridCol w:w="146"/>
        <w:gridCol w:w="146"/>
        <w:gridCol w:w="294"/>
        <w:gridCol w:w="80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comprised of the following (in thousands):</w:t>
      </w:r>
    </w:p>
    <w:p>
      <w:pPr>
        <w:pStyle w:val="TextBody"/>
        <w:bidi w:val="0"/>
        <w:jc w:val="left"/>
        <w:rPr/>
      </w:pPr>
      <w:r>
        <w:rPr/>
        <w:t> </w:t>
      </w:r>
    </w:p>
    <w:tbl>
      <w:tblPr>
        <w:tblW w:w="6617" w:type="dxa"/>
        <w:jc w:val="left"/>
        <w:tblInd w:w="0" w:type="dxa"/>
        <w:tblLayout w:type="fixed"/>
        <w:tblCellMar>
          <w:top w:w="28" w:type="dxa"/>
          <w:left w:w="28" w:type="dxa"/>
          <w:bottom w:w="28" w:type="dxa"/>
          <w:right w:w="28" w:type="dxa"/>
        </w:tblCellMar>
      </w:tblPr>
      <w:tblGrid>
        <w:gridCol w:w="4111"/>
        <w:gridCol w:w="146"/>
        <w:gridCol w:w="211"/>
        <w:gridCol w:w="571"/>
        <w:gridCol w:w="146"/>
        <w:gridCol w:w="146"/>
        <w:gridCol w:w="294"/>
        <w:gridCol w:w="80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was $235,000 and $167,000 for the three months ended June 30, 2025 and 2024, respectively, and $480,000 and $318,000 for the six months ended June 30, 2025 and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Non-Current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non-current assets are comprised of the following (in thousands):</w:t>
      </w:r>
    </w:p>
    <w:p>
      <w:pPr>
        <w:pStyle w:val="TextBody"/>
        <w:bidi w:val="0"/>
        <w:jc w:val="both"/>
        <w:rPr/>
      </w:pPr>
      <w:r>
        <w:rPr/>
        <w:t> </w:t>
      </w:r>
    </w:p>
    <w:tbl>
      <w:tblPr>
        <w:tblW w:w="7992" w:type="dxa"/>
        <w:jc w:val="left"/>
        <w:tblInd w:w="0" w:type="dxa"/>
        <w:tblLayout w:type="fixed"/>
        <w:tblCellMar>
          <w:top w:w="28" w:type="dxa"/>
          <w:left w:w="28" w:type="dxa"/>
          <w:bottom w:w="28" w:type="dxa"/>
          <w:right w:w="28" w:type="dxa"/>
        </w:tblCellMar>
      </w:tblPr>
      <w:tblGrid>
        <w:gridCol w:w="5446"/>
        <w:gridCol w:w="146"/>
        <w:gridCol w:w="211"/>
        <w:gridCol w:w="571"/>
        <w:gridCol w:w="166"/>
        <w:gridCol w:w="146"/>
        <w:gridCol w:w="294"/>
        <w:gridCol w:w="801"/>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at customer locations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of recorders at customer 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Recorders at customer locations,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and related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debt financing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Recorder depreciation expense was $89,000 and $110,000 for the three months ended June 30, 2025 and 2024, respectively, and $179,000 and $216,000 for the six months ended June 30, 2025 and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are comprised of the following (in thousands):</w:t>
      </w:r>
    </w:p>
    <w:p>
      <w:pPr>
        <w:pStyle w:val="TextBody"/>
        <w:bidi w:val="0"/>
        <w:jc w:val="both"/>
        <w:rPr/>
      </w:pPr>
      <w:r>
        <w:rPr/>
        <w:t> </w:t>
      </w:r>
    </w:p>
    <w:tbl>
      <w:tblPr>
        <w:tblW w:w="5912" w:type="dxa"/>
        <w:jc w:val="left"/>
        <w:tblInd w:w="0" w:type="dxa"/>
        <w:tblLayout w:type="fixed"/>
        <w:tblCellMar>
          <w:top w:w="28" w:type="dxa"/>
          <w:left w:w="28" w:type="dxa"/>
          <w:bottom w:w="28" w:type="dxa"/>
          <w:right w:w="28" w:type="dxa"/>
        </w:tblCellMar>
      </w:tblPr>
      <w:tblGrid>
        <w:gridCol w:w="3301"/>
        <w:gridCol w:w="146"/>
        <w:gridCol w:w="211"/>
        <w:gridCol w:w="676"/>
        <w:gridCol w:w="146"/>
        <w:gridCol w:w="146"/>
        <w:gridCol w:w="260"/>
        <w:gridCol w:w="835"/>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bonuses and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offers its employees a tax-deferred savings plan, commonly referred to as a 401(k) plan. Employee contributions are withheld from payroll checks and are automatically withdrawn from the Company’s checking account and deposited into participants’ retirement accounts a few days following each payroll period. Beginning March 1, 2025, the Company provides a 50% match for employee contributions up to a certain limit. We contributed $0.3 million and none during the three months ended June 30, 2025 and 2024, respectively, and $0.5 million and none during the six months ended June 30, 2025 and 2024, respectively, to our 401(k) plan.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a provision for a liability when management believes that it is both probable that a liability has been incurred and the amount of the loss can be reasonably estimated. Legal fees are expensed in the period in which they are incurred. As of June 30, 2025, and December 31, 2024, there were no litigation liabilities recorded.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pPr>
      <w:r>
        <w:rPr>
          <w:rFonts w:ascii="Times New Roman" w:hAnsi="Times New Roman"/>
          <w:b/>
          <w:color w:val="000000"/>
          <w:sz w:val="20"/>
        </w:rPr>
        <w:t>Leases</w:t>
      </w:r>
      <w:r>
        <w:rPr>
          <w:color w:val="00000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ROU asset relates to its leased corporate offices and warehouse in Sunnyvale, CA. Supplemental balance sheet information related to leases was as follows (in thousands):</w:t>
      </w:r>
    </w:p>
    <w:p>
      <w:pPr>
        <w:pStyle w:val="TextBody"/>
        <w:bidi w:val="0"/>
        <w:jc w:val="both"/>
        <w:rPr/>
      </w:pPr>
      <w:r>
        <w:rPr/>
        <w:t> </w:t>
      </w:r>
    </w:p>
    <w:tbl>
      <w:tblPr>
        <w:tblW w:w="6657" w:type="dxa"/>
        <w:jc w:val="left"/>
        <w:tblInd w:w="0" w:type="dxa"/>
        <w:tblLayout w:type="fixed"/>
        <w:tblCellMar>
          <w:top w:w="28" w:type="dxa"/>
          <w:left w:w="28" w:type="dxa"/>
          <w:bottom w:w="28" w:type="dxa"/>
          <w:right w:w="28" w:type="dxa"/>
        </w:tblCellMar>
      </w:tblPr>
      <w:tblGrid>
        <w:gridCol w:w="3901"/>
        <w:gridCol w:w="146"/>
        <w:gridCol w:w="211"/>
        <w:gridCol w:w="571"/>
        <w:gridCol w:w="271"/>
        <w:gridCol w:w="146"/>
        <w:gridCol w:w="294"/>
        <w:gridCol w:w="801"/>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summary of total lease expense and other information for the periods relating to the Company’s operating leases was as follows (in thousands):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03"/>
        <w:gridCol w:w="146"/>
        <w:gridCol w:w="273"/>
        <w:gridCol w:w="546"/>
        <w:gridCol w:w="189"/>
        <w:gridCol w:w="189"/>
        <w:gridCol w:w="273"/>
        <w:gridCol w:w="546"/>
        <w:gridCol w:w="146"/>
        <w:gridCol w:w="146"/>
        <w:gridCol w:w="319"/>
        <w:gridCol w:w="636"/>
        <w:gridCol w:w="220"/>
        <w:gridCol w:w="220"/>
        <w:gridCol w:w="319"/>
        <w:gridCol w:w="636"/>
        <w:gridCol w:w="198"/>
      </w:tblGrid>
      <w:tr>
        <w:trPr/>
        <w:tc>
          <w:tcPr>
            <w:tcW w:w="5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8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2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98"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w:t>
            </w:r>
          </w:p>
        </w:tc>
        <w:tc>
          <w:tcPr>
            <w:tcW w:w="18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731</w:t>
            </w:r>
          </w:p>
        </w:tc>
        <w:tc>
          <w:tcPr>
            <w:tcW w:w="22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w:t>
            </w:r>
          </w:p>
        </w:tc>
        <w:tc>
          <w:tcPr>
            <w:tcW w:w="19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5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payments for amounts included in the measurement of lease liabilities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w:t>
            </w:r>
          </w:p>
        </w:tc>
        <w:tc>
          <w:tcPr>
            <w:tcW w:w="18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604</w:t>
            </w:r>
          </w:p>
        </w:tc>
        <w:tc>
          <w:tcPr>
            <w:tcW w:w="22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w:t>
            </w:r>
          </w:p>
        </w:tc>
        <w:tc>
          <w:tcPr>
            <w:tcW w:w="19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leases office space and warehouse space under non-cancelable operating leases. As of June 30, 2025, the future minimum lease payments under the non-cancelable operating lease are as follows (in thousands):</w:t>
      </w:r>
    </w:p>
    <w:p>
      <w:pPr>
        <w:pStyle w:val="TextBody"/>
        <w:bidi w:val="0"/>
        <w:jc w:val="both"/>
        <w:rPr/>
      </w:pPr>
      <w:r>
        <w:rPr/>
        <w:t> </w:t>
      </w:r>
    </w:p>
    <w:tbl>
      <w:tblPr>
        <w:tblW w:w="4525" w:type="dxa"/>
        <w:jc w:val="left"/>
        <w:tblInd w:w="0" w:type="dxa"/>
        <w:tblLayout w:type="fixed"/>
        <w:tblCellMar>
          <w:top w:w="28" w:type="dxa"/>
          <w:left w:w="28" w:type="dxa"/>
          <w:bottom w:w="28" w:type="dxa"/>
          <w:right w:w="28" w:type="dxa"/>
        </w:tblCellMar>
      </w:tblPr>
      <w:tblGrid>
        <w:gridCol w:w="2986"/>
        <w:gridCol w:w="546"/>
        <w:gridCol w:w="211"/>
        <w:gridCol w:w="571"/>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2024 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2024 principal loan repayment schedule and future operating cash flow requirements, effective February 6, 2024, the Company executed a Venture Loan and Security Agreement (“VLSA”) with Horizon Technology Finance Corporation (“Horizon”) as a lender and the collateral agent and Silicon Valley Bank (“SVB”) as a lender (collectively, “the Lenders”). The Company and the Lenders agreed to refinance the existing Horizon term loan facility which also modified, among other things, the repayment terms of the existing Horizon term loan and the maturity date from October 2024 to March 2029. The amounts borrowed under the VLSA are secured by all of the Company's assets, excluding intellectual property.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VLSA, the Company drew down the entire first tranche of $20.0 million in principal (“Term Loan”), including $6.0 million from SVB (“SVB Loan”) and $14.0 million from Horizon (“Horizon Loan”) and utilized a portion of the proceeds to repay the remaining principal on the 2020 Loan. Subject to the VLSA terms, the Company is entitled to receive up to $30.0 million (“Outstanding Commitment”) in three additional tranches of $10.0 million each. Each lender’s obligation to lend its undisbursed portion of the Outstanding Commitment to the Company shall terminate if, in such Lender’s sole good faith discretion, there has been a material adverse change in the results of operations or financial condition of the Company, whether or not arising from transactions in the ordinary course of business, or there has been any material adverse deviation by the Company from the business plan of the Company presented to any Lender. No material adverse changes have been identified as of June 30, 2025. In each of the three additional tranches, $3.0 million is allocated to SVB, and $7.0 million is allocated to Horizon. Any amounts drawn under the Outstanding Commitment are subject to the same terms and conditions as the SVB Loan and Horizon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 Loan is payable to the Lenders in twelve equal monthly installments between April 1, 2028 (“Amortization Date”) and March 1, 2029 (“Maturity Date”) subject to certain prepayment fees in accordance with the VLSA.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SVB Loan carries a variable per-annum interest rate at the Prime Rate (as published in the Wall Street Journal), subject to the floor of 6.00%. The Horizon Loan carries a variable per-annum interest rate at the Prime Rate plus 2.75%, subject to the floor of 9.25%. The Company is also required to pay end-of-term fees of 4.0% per tranche drawn on the Maturity Date or upon repayment of the amounts due to the Lenders under the VLSA. The Company is required to pay additional commitment fees of $0.03 million upon funding of each additional tranche.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VLSA, the Company paid to the Lenders $0.2 million and issued warrants to purchase 41,345 shares of the Company’s Series C-1 Preferred Stock at a price of $11.49 per share (“Initial Warrants”). The fair value of the Initial Warrants was determined to be approximately $0.3 million. If the Company draws down any amounts of the Outstanding Commitment, it will be required to issue additional warrants exercisable for shares of the Company’s most senior Preferred Stock with the aggregate exercise price of $0.2 million per tranche (“Additional Warrants”). The exercise price of the Additional Warrants will be $11.49 per share, subject to a down-round adjustment. See Note 10 for a discussion of the Initial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VLSA was treated as a loan syndication, and the SVB Loan was determined to be a new loan. The issuance of the Horizon Loan was accounted for as a modification of the outstanding term loan. The Company utilized the proceeds from the Horizon Loan to repay the outstanding principal of $11.3 million and end-of-term fees of $0.8 million under the existing term loan due to Horizon.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Senior Revolving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2024, the Company also executed a Loan and Security Agreement (“LSA”) with SVB to receive a senior revolving line of credit of up to $10.0 million (“Revolving Facility”). The Revolving Facility is secured by the Company’s accounts receivable, inventory, and other property, excluding intellectual property. The Company may draw up to 85% of the eligible trade receivables and is required to remit the underlying customer proceeds to repay the Revolving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Revolving Facility carries a variable per-annum interest rate at the Prime Rate plus 0.25%, subject to the floor of 6.00%, and includes additional fees of $0.3 million that are payable regardless of whether any amounts are drawn. The Revolving Facility matures on February 6, 2026. Any borrowings under the Revolving Facility are subordinate to the VLSA.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allocated the issuance costs under the LSA and VLSA as follows: (1) $0.5 million to the Term Loan liability representing the initial lender fees and the fair value of the Initial Warrants to be recognized as interest expense through the Maturity Date, (2) $0.3 million to the deferred debt financing cost asset to be recognized as interest expense through the Maturity Date and to be reclassified to the Term Loan liability upon draws or expiration of the tranches, and (3) $0.1 million to the Revolving Facility deferred debt financing cost asset to be recognized as interest expense over the availability period of two years. The end-of-term fee is being accreted and the debt issuance costs are being amortized over the term of the notes using the effective interest method. The effective interest rate is 9.5%, inclusive of the end-of-term fee and debt issuance as of June 30,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LSA and VLSA have interrelated provisions and financial covenants based on net indebtedness and certain revenue-based ratios. Upon an event of default, the interest on the Term Loan and Revolving facility may be increased by 5.0%. The Term Loan also includes a late payment fee of 6.0% of the amount not paid when due.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2025, the Company was in compliance with debt covenants under the LSA and VLSA. No amounts were drawn under the Outstanding Commitment and Revolving Facility through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Notes payable consists of the following (in thousands):</w:t>
      </w:r>
    </w:p>
    <w:p>
      <w:pPr>
        <w:pStyle w:val="TextBody"/>
        <w:bidi w:val="0"/>
        <w:jc w:val="both"/>
        <w:rPr/>
      </w:pPr>
      <w:r>
        <w:rPr/>
        <w:t> </w:t>
      </w:r>
    </w:p>
    <w:tbl>
      <w:tblPr>
        <w:tblW w:w="5532" w:type="dxa"/>
        <w:jc w:val="left"/>
        <w:tblInd w:w="0" w:type="dxa"/>
        <w:tblLayout w:type="fixed"/>
        <w:tblCellMar>
          <w:top w:w="28" w:type="dxa"/>
          <w:left w:w="28" w:type="dxa"/>
          <w:bottom w:w="28" w:type="dxa"/>
          <w:right w:w="28" w:type="dxa"/>
        </w:tblCellMar>
      </w:tblPr>
      <w:tblGrid>
        <w:gridCol w:w="2881"/>
        <w:gridCol w:w="146"/>
        <w:gridCol w:w="211"/>
        <w:gridCol w:w="676"/>
        <w:gridCol w:w="166"/>
        <w:gridCol w:w="146"/>
        <w:gridCol w:w="260"/>
        <w:gridCol w:w="835"/>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term fee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Collateral for the VLSA consists of a security interest in all assets of the Company, excluding intellectual property.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February 6, 2024, the Company, Horizon, and SVB entered into a $60.0 million financing commitment, consisting of a $50.0 million term loan commitment and a $10.0 million revolving line of credit. Warrants representing the right to purchase 41,345 shares of Series C-1 redeemable convertible preferred stock at a price of $11.49 per share were issued upon closing. See Note 9 for a discussion of the financing commitment. All warrants are currently exercisable, in whole or in part, and expire in 2030, 2032, and 2034. To the extent the warrants are not previously exercised, and if the fair market value of one share is greater than the exercise price under the warrants then in effect, the warrants shall be deemed automatically exercised immediately before expiration. </w:t>
      </w:r>
    </w:p>
    <w:p>
      <w:pPr>
        <w:pStyle w:val="TextBody"/>
        <w:bidi w:val="0"/>
        <w:jc w:val="both"/>
        <w:rPr/>
      </w:pPr>
      <w:r>
        <w:rPr/>
        <w:t> </w:t>
      </w:r>
    </w:p>
    <w:tbl>
      <w:tblPr>
        <w:tblW w:w="6754" w:type="dxa"/>
        <w:jc w:val="left"/>
        <w:tblInd w:w="0" w:type="dxa"/>
        <w:tblLayout w:type="fixed"/>
        <w:tblCellMar>
          <w:top w:w="28" w:type="dxa"/>
          <w:left w:w="28" w:type="dxa"/>
          <w:bottom w:w="28" w:type="dxa"/>
          <w:right w:w="28" w:type="dxa"/>
        </w:tblCellMar>
      </w:tblPr>
      <w:tblGrid>
        <w:gridCol w:w="2476"/>
        <w:gridCol w:w="146"/>
        <w:gridCol w:w="289"/>
        <w:gridCol w:w="926"/>
        <w:gridCol w:w="146"/>
        <w:gridCol w:w="146"/>
        <w:gridCol w:w="289"/>
        <w:gridCol w:w="926"/>
        <w:gridCol w:w="146"/>
        <w:gridCol w:w="146"/>
        <w:gridCol w:w="146"/>
        <w:gridCol w:w="78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warrants are included in Additional paid-in capital as of June 30, 2025, and December 31, 2024.</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Immediately prior to the closing of the Company’s IPO on October 15, 2024, all warrants exercisable for redeemable convertible preferred stock converted into warrants exercisable for common stock and reclassified from long-term liabilities to equity. The warrants were subject to remeasurement at each balance sheet date, and any change in fair value was recognized as a change in fair value as a component of non-operating income or expense in the Statements of Operations and Comprehensive Loss. The change in the value of the warrant liability for the six months ended June 30, 2024, is summarized in the following table (in thousands). </w:t>
      </w:r>
    </w:p>
    <w:p>
      <w:pPr>
        <w:pStyle w:val="TextBody"/>
        <w:bidi w:val="0"/>
        <w:spacing w:before="40" w:after="283"/>
        <w:jc w:val="both"/>
        <w:rPr/>
      </w:pPr>
      <w:r>
        <w:rPr/>
        <w:t> </w:t>
      </w:r>
    </w:p>
    <w:tbl>
      <w:tblPr>
        <w:tblW w:w="3745" w:type="dxa"/>
        <w:jc w:val="left"/>
        <w:tblInd w:w="0" w:type="dxa"/>
        <w:tblLayout w:type="fixed"/>
        <w:tblCellMar>
          <w:top w:w="28" w:type="dxa"/>
          <w:left w:w="28" w:type="dxa"/>
          <w:bottom w:w="28" w:type="dxa"/>
          <w:right w:w="28" w:type="dxa"/>
        </w:tblCellMar>
      </w:tblPr>
      <w:tblGrid>
        <w:gridCol w:w="2776"/>
        <w:gridCol w:w="146"/>
        <w:gridCol w:w="211"/>
        <w:gridCol w:w="42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500,000,000 shares of $0.001 par value common stock as of both June 30, 2025, and December 31,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holders of common stock are entitled to receive dividends whenever funds and assets are legally available and when declared by the Board of Directors, subject to the prior rights of holders of redeemable convertible preferred stock outstanding. As of June 30, 2025, no dividends had been declared.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2025, and December 31, 2024, the Company had reserved common stock for future issuance as follows:</w:t>
      </w:r>
    </w:p>
    <w:p>
      <w:pPr>
        <w:pStyle w:val="TextBody"/>
        <w:bidi w:val="0"/>
        <w:jc w:val="both"/>
        <w:rPr/>
      </w:pPr>
      <w:r>
        <w:rPr/>
        <w:t> </w:t>
      </w:r>
    </w:p>
    <w:tbl>
      <w:tblPr>
        <w:tblW w:w="8694" w:type="dxa"/>
        <w:jc w:val="left"/>
        <w:tblInd w:w="0" w:type="dxa"/>
        <w:tblLayout w:type="fixed"/>
        <w:tblCellMar>
          <w:top w:w="28" w:type="dxa"/>
          <w:left w:w="28" w:type="dxa"/>
          <w:bottom w:w="28" w:type="dxa"/>
          <w:right w:w="28" w:type="dxa"/>
        </w:tblCellMar>
      </w:tblPr>
      <w:tblGrid>
        <w:gridCol w:w="5701"/>
        <w:gridCol w:w="146"/>
        <w:gridCol w:w="146"/>
        <w:gridCol w:w="1036"/>
        <w:gridCol w:w="146"/>
        <w:gridCol w:w="146"/>
        <w:gridCol w:w="146"/>
        <w:gridCol w:w="1036"/>
        <w:gridCol w:w="19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outstanding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102,299</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5,708,070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Company's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5,625,849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3,964,620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11,964,168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10,110,500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under the 2014 Stock Incentive Plan (the “2014 Plan”), 2024 Equity Incentive Plan (the “2024 EIP”), and 2024 Incentive Award Plan (the “2024 Plan”)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56"/>
        <w:gridCol w:w="146"/>
        <w:gridCol w:w="146"/>
        <w:gridCol w:w="931"/>
        <w:gridCol w:w="166"/>
        <w:gridCol w:w="146"/>
        <w:gridCol w:w="281"/>
        <w:gridCol w:w="767"/>
        <w:gridCol w:w="146"/>
        <w:gridCol w:w="146"/>
        <w:gridCol w:w="224"/>
        <w:gridCol w:w="722"/>
        <w:gridCol w:w="146"/>
        <w:gridCol w:w="146"/>
        <w:gridCol w:w="147"/>
        <w:gridCol w:w="795"/>
        <w:gridCol w:w="194"/>
      </w:tblGrid>
      <w:tr>
        <w:trPr/>
        <w:tc>
          <w:tcPr>
            <w:tcW w:w="4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(thousands)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5,708,070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110,063</w:t>
            </w:r>
          </w:p>
        </w:tc>
        <w:tc>
          <w:tcPr>
            <w:tcW w:w="1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4,907,780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52,910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vested, and expected to vest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exercisable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grant-date fair value of options granted during the six months ended June 30, 2025 and 2024 was $10.47 and $5.92 per share, respectively. The aggregate intrinsic value of options exercised during the six months ended June 30, 2025 and 2024 was $9.5 million and $0.7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Restricted Stock Unit activity under the plans is as follows:</w:t>
      </w:r>
    </w:p>
    <w:p>
      <w:pPr>
        <w:pStyle w:val="TextBody"/>
        <w:bidi w:val="0"/>
        <w:jc w:val="both"/>
        <w:rPr/>
      </w:pPr>
      <w:r>
        <w:rPr/>
        <w:t> </w:t>
      </w:r>
    </w:p>
    <w:tbl>
      <w:tblPr>
        <w:tblW w:w="7775" w:type="dxa"/>
        <w:jc w:val="left"/>
        <w:tblInd w:w="0" w:type="dxa"/>
        <w:tblLayout w:type="fixed"/>
        <w:tblCellMar>
          <w:top w:w="28" w:type="dxa"/>
          <w:left w:w="28" w:type="dxa"/>
          <w:bottom w:w="28" w:type="dxa"/>
          <w:right w:w="28" w:type="dxa"/>
        </w:tblCellMar>
      </w:tblPr>
      <w:tblGrid>
        <w:gridCol w:w="2761"/>
        <w:gridCol w:w="146"/>
        <w:gridCol w:w="187"/>
        <w:gridCol w:w="1193"/>
        <w:gridCol w:w="166"/>
        <w:gridCol w:w="146"/>
        <w:gridCol w:w="802"/>
        <w:gridCol w:w="2183"/>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335,511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1,328,240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fair value of shares vested during the six months ended June 30, 2025 was $1.5 million. No restricted stock units were granted or vested during six months ended June 30, 2024.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2025, the aggregate unrecognized compensation costs related to outstanding unvested options and RSUs under the 2014 Plan, 2024 EIP, and 2024 Plan was $38.8 million. The Company expects to recognize those costs over a weighted average period of 3.2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the completion of our IPO, the fair value of the common stock underlying our stock awards was determined by our Board of Directors. The valuations of our common stock prior to the completion of our IPO were determined in accordance with the guidelines outlined in the American Institute of Certified Public Accountants Practice Aid, Valuation of Privately-Held-Company Equity Securities Issued as Compensation. The fair value of RSUs post IPO is based on the Company’s closing stock price on the date of grant. The fair value of service-based stock options and RSUs are amortized on a straight-line basis over the requisite service period of the awards.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employee stock options granted was estimated using the following weighted-average assumptions for the three and six months ended June 30, 2025 and 2024:</w:t>
      </w:r>
    </w:p>
    <w:p>
      <w:pPr>
        <w:pStyle w:val="TextBody"/>
        <w:bidi w:val="0"/>
        <w:jc w:val="both"/>
        <w:rPr/>
      </w:pPr>
      <w:r>
        <w:rPr/>
        <w:t> </w:t>
      </w:r>
    </w:p>
    <w:tbl>
      <w:tblPr>
        <w:tblW w:w="6969" w:type="dxa"/>
        <w:jc w:val="left"/>
        <w:tblInd w:w="0" w:type="dxa"/>
        <w:tblLayout w:type="fixed"/>
        <w:tblCellMar>
          <w:top w:w="28" w:type="dxa"/>
          <w:left w:w="28" w:type="dxa"/>
          <w:bottom w:w="28" w:type="dxa"/>
          <w:right w:w="28" w:type="dxa"/>
        </w:tblCellMar>
      </w:tblPr>
      <w:tblGrid>
        <w:gridCol w:w="2086"/>
        <w:gridCol w:w="146"/>
        <w:gridCol w:w="197"/>
        <w:gridCol w:w="630"/>
        <w:gridCol w:w="366"/>
        <w:gridCol w:w="197"/>
        <w:gridCol w:w="197"/>
        <w:gridCol w:w="630"/>
        <w:gridCol w:w="271"/>
        <w:gridCol w:w="146"/>
        <w:gridCol w:w="146"/>
        <w:gridCol w:w="466"/>
        <w:gridCol w:w="271"/>
        <w:gridCol w:w="146"/>
        <w:gridCol w:w="146"/>
        <w:gridCol w:w="466"/>
        <w:gridCol w:w="27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expected term is based on an average of the midpoint of the requisite service period and the contractual term, and the historical exercise behavior. 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assumptions as more historical data for the Company’s common stock becomes available. The risk-free interest rate assumption is based on the U.S. Treasury instruments whose term was consistent with the expected term of the Company’s stock options. The expected dividend assumption is based on the Company’s history and expectation of no dividend payouts.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total stock-based compensation expense was as follows (in thousands):</w:t>
      </w:r>
    </w:p>
    <w:p>
      <w:pPr>
        <w:pStyle w:val="TextBody"/>
        <w:bidi w:val="0"/>
        <w:jc w:val="both"/>
        <w:rPr/>
      </w:pPr>
      <w:r>
        <w:rPr/>
        <w:t> </w:t>
      </w:r>
    </w:p>
    <w:tbl>
      <w:tblPr>
        <w:tblW w:w="8375" w:type="dxa"/>
        <w:jc w:val="left"/>
        <w:tblInd w:w="0" w:type="dxa"/>
        <w:tblLayout w:type="fixed"/>
        <w:tblCellMar>
          <w:top w:w="28" w:type="dxa"/>
          <w:left w:w="28" w:type="dxa"/>
          <w:bottom w:w="28" w:type="dxa"/>
          <w:right w:w="28" w:type="dxa"/>
        </w:tblCellMar>
      </w:tblPr>
      <w:tblGrid>
        <w:gridCol w:w="3526"/>
        <w:gridCol w:w="146"/>
        <w:gridCol w:w="252"/>
        <w:gridCol w:w="683"/>
        <w:gridCol w:w="174"/>
        <w:gridCol w:w="174"/>
        <w:gridCol w:w="252"/>
        <w:gridCol w:w="683"/>
        <w:gridCol w:w="146"/>
        <w:gridCol w:w="146"/>
        <w:gridCol w:w="211"/>
        <w:gridCol w:w="571"/>
        <w:gridCol w:w="146"/>
        <w:gridCol w:w="146"/>
        <w:gridCol w:w="211"/>
        <w:gridCol w:w="571"/>
        <w:gridCol w:w="14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1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Stock-based compensation expense does not include the impact of estimated forfeitures. Forfeitures are taken as a reduction in expense in the period in which they occur. No compensation cost is recorded for awards that do not vest. Option awards included performance-based awards which are subject to the achievement of performance goals. For options subject to performance goals, the Company recognizes expense when it is probable that the performance condition will be achieved. These performance-based awards represent 40,854 and 118,999 of option awards outstanding as of June 30, 2025 and December 31, 2024, respectively and stock-based compensation related to performance-based awards was not material. Total stock-based compensation expense includes non-employee stock-based compensation of $0.3 million and $0.04 million for the three months ended June 30, 2025 and 2024, respectively, and $0.7 million and $0.07 million for the six months ended June 30, 2025 and 2024, respectively.</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 February 2025, the Company adopted the Employee Stock Purchase Plan (the “ESPP”). The Company allows eligible employees to purchase shares of the Company's common stock through payroll deductions at a price equal to 85% of the lesser of the fair market value of the stock as of the first date or the ending date of each offering period, which is typically six months. There were 451,689 shares of common stock initially reserved for issuance under the ESPP. In January 2025, the number of shares of common stock available for issuance under the ESPP was increased by 358,506 shares as a result of the automatic increase provision in the ESPP.</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June 30, 2025, 810,195 shares under the ESPP remain available for purchase. The offering period and purchase period is determined by the board of directors.</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attributable to common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attributable to the Company’s common stockholders is computed by dividing the net loss attributable to the Company’s common stockholders by the weighted-average number of shares of common stock outstanding during the period. Diluted net loss per share is the same as basic net loss per share for all years presented because the effects of potentially dilutive items were anti-dilutive given the Company’s net loss position in each period presented.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share (in thousands, except per share data):</w:t>
      </w:r>
    </w:p>
    <w:p>
      <w:pPr>
        <w:pStyle w:val="TextBody"/>
        <w:bidi w:val="0"/>
        <w:jc w:val="both"/>
        <w:rPr/>
      </w:pPr>
      <w:r>
        <w:rPr/>
        <w:t> </w:t>
      </w:r>
    </w:p>
    <w:tbl>
      <w:tblPr>
        <w:tblW w:w="9926" w:type="dxa"/>
        <w:jc w:val="left"/>
        <w:tblInd w:w="0" w:type="dxa"/>
        <w:tblLayout w:type="fixed"/>
        <w:tblCellMar>
          <w:top w:w="28" w:type="dxa"/>
          <w:left w:w="28" w:type="dxa"/>
          <w:bottom w:w="28" w:type="dxa"/>
          <w:right w:w="28" w:type="dxa"/>
        </w:tblCellMar>
      </w:tblPr>
      <w:tblGrid>
        <w:gridCol w:w="4651"/>
        <w:gridCol w:w="146"/>
        <w:gridCol w:w="223"/>
        <w:gridCol w:w="778"/>
        <w:gridCol w:w="175"/>
        <w:gridCol w:w="154"/>
        <w:gridCol w:w="223"/>
        <w:gridCol w:w="667"/>
        <w:gridCol w:w="166"/>
        <w:gridCol w:w="146"/>
        <w:gridCol w:w="211"/>
        <w:gridCol w:w="736"/>
        <w:gridCol w:w="166"/>
        <w:gridCol w:w="146"/>
        <w:gridCol w:w="211"/>
        <w:gridCol w:w="736"/>
        <w:gridCol w:w="3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pStyle w:val="TextBody"/>
        <w:bidi w:val="0"/>
        <w:jc w:val="both"/>
        <w:rPr/>
      </w:pPr>
      <w:r>
        <w:rPr/>
        <w:t> </w:t>
      </w:r>
    </w:p>
    <w:tbl>
      <w:tblPr>
        <w:tblW w:w="8416" w:type="dxa"/>
        <w:jc w:val="left"/>
        <w:tblInd w:w="0" w:type="dxa"/>
        <w:tblLayout w:type="fixed"/>
        <w:tblCellMar>
          <w:top w:w="28" w:type="dxa"/>
          <w:left w:w="28" w:type="dxa"/>
          <w:bottom w:w="28" w:type="dxa"/>
          <w:right w:w="28" w:type="dxa"/>
        </w:tblCellMar>
      </w:tblPr>
      <w:tblGrid>
        <w:gridCol w:w="3346"/>
        <w:gridCol w:w="146"/>
        <w:gridCol w:w="177"/>
        <w:gridCol w:w="692"/>
        <w:gridCol w:w="177"/>
        <w:gridCol w:w="177"/>
        <w:gridCol w:w="177"/>
        <w:gridCol w:w="819"/>
        <w:gridCol w:w="146"/>
        <w:gridCol w:w="146"/>
        <w:gridCol w:w="161"/>
        <w:gridCol w:w="631"/>
        <w:gridCol w:w="161"/>
        <w:gridCol w:w="161"/>
        <w:gridCol w:w="161"/>
        <w:gridCol w:w="747"/>
        <w:gridCol w:w="3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an effective tax rate of 0.0% for each of the three and six months ended June 30, 2025 and 2024. The Company continues to incur operating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six months ended June 30, 2025 and 2024, the Company has evaluated all available evidence, both positive and negative, including historical levels of income, expectations and risks associated with estimates of future taxable income and has determined that it is more likely than not that its net deferred tax assets will not be realized. Due to uncertainties surrounding the realization of the deferred tax assets, the Company continues to maintain a full valuation allowance against its net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4, 2025, the One Big Beautiful Bill Act (the “OBBB Act”) was enacted, introducing amendments to U.S. tax laws with various effective dates from 2025 to 2027. The Company is currently assessing the implications of these tax law changes and an estimate of the financial impact cannot be made at this time. Since the OBBB Act was enacted subsequent to the Company’s balance sheet date, the Company’s tax provision for the three and six months ended June 30, 2025, does not incorporate the effects of these tax law changes.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financial statements and related notes included elsewhere in this Quarterly Report on Form 10-Q and our audited financial statements and the related notes and the discussion under the heading “Management’s Discussion and Analysis of Financial Condition and Results of Operations” for the year ended December 31, 2024 included in our Annual Report on Form 10-K. In addition to historical financial information, the following discussion contains forward 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Quarterly Report on Form 10-Q, particularly in “Risk Factors” and “Special Note Regarding Forward-Looking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medical technology company focused on transforming the diagnosis and management of patients with serious neurological conditions. We have developed the Ceribell System, a novel, point-of-care EEG platform specifically designed to address the unmet needs of patients in the acute care setting. By combining proprietary, highly portable, and rapidly deployable hardware with sophisticated AI-powered algorithms, the Ceribell System enables rapid diagnosis and continuous monitoring of patients with neurological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initially focused on becoming the standard of care for the detection and management of seizures in the acute care setting, where the technological and operational limitations of conventional EEG systems have contributed to significant delays in seizure diagnosis and suboptimal patient care and clinical outcomes, as well as a high economic burden for hospitals and the healthcare system. By making EEG more accessible and enabling continuous monitoring through the power of AI, the Ceribell System enables clinicians to more rapidly and accurately diagnose and manage patients at risk of seizure in the acute care setting, resulting in improved patient outcomes and hospital and payer economics. As of June 30, 2025, the Ceribell System has been adopted by more than 550 active accounts, ranging from top academic centers to small community hospitals, and has been used to care for over 200,000 patients. For information regarding how patient care and clinical outcomes are measured, see “Business—Market Overview—Challenges of Managing Seizures in the Acute Care Setting” in our Annual Report on Form 10-K.</w:t>
      </w:r>
    </w:p>
    <w:p>
      <w:pPr>
        <w:pStyle w:val="TextBody"/>
        <w:bidi w:val="0"/>
        <w:spacing w:before="240" w:after="283"/>
        <w:jc w:val="both"/>
        <w:rPr>
          <w:rFonts w:ascii="Times New Roman" w:hAnsi="Times New Roman"/>
          <w:sz w:val="20"/>
        </w:rPr>
      </w:pPr>
      <w:r>
        <w:rPr>
          <w:rFonts w:ascii="Times New Roman" w:hAnsi="Times New Roman"/>
          <w:color w:val="000000"/>
          <w:sz w:val="20"/>
        </w:rPr>
        <w:t>We specifically designed the Ceribell System to address the limitations of conventional EEG in the acute care setting and improve clinical outcomes of critically ill patients at high risk of seizures. The Ceribell System integrates proprietary, highly portable hardware with AI-powered algorithms to aid in the detection and management of seizures. Our hardware is composed of a disposable, flexible headband and a pocket-sized, battery-operated recorder used to capture and wirelessly transmit EEG signals. The hardware is simple to use and, after approximately one hour of training, can be applied within minutes by any non-specialized healthcare professional. The recorder is integrated with a proprietary web-based portal that allows neurologists to remotely access EEG data in real time from any web-enabled device. EEG data captured by the recorder is interpreted by our proprietary AI-powered seizure detection algorithm, Clarity</w:t>
      </w:r>
      <w:r>
        <w:rPr>
          <w:rFonts w:ascii="Times New Roman" w:hAnsi="Times New Roman"/>
          <w:color w:val="000000"/>
          <w:sz w:val="13"/>
        </w:rPr>
        <w:t>TM</w:t>
      </w:r>
      <w:r>
        <w:rPr>
          <w:rFonts w:ascii="Times New Roman" w:hAnsi="Times New Roman"/>
          <w:color w:val="000000"/>
          <w:sz w:val="20"/>
        </w:rPr>
        <w:t>, which continuously monitors the patient’s EEG signal and can support the clinician’s real-time assessment of seizure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focused on becoming the standard of care for the detection and management of seizures in the acute care setting. There are approximately 6,000 acute care facilities in the United States that we believe could benefit from our system. We intend to expand the size of our direct sales organization in the United States to support our efforts to drive further adoption and utilization of the Ceribell System. While our current commercial focus is on the United States, we have received a CE Mark for the Ceribell System in Europe, and we intend to pursue additional regulatory clearances in Europe and elsewhere outside of the United States. We also plan to engage in market access initiatives in attractive international regions in which we see significant opportunity.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manage all aspects of manufacturing, supply chain, and distribution of the headband and recorder from our facilities in Sunnyvale, California. Contract manufacturers in China assemble the Ceribell headband, with final inspection and labeling completed at our California facilities. We have dual sources for major components of the headband. The components for our recorder are procured from various suppliers and shipped to our facilities for final testing and assembly.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research and development activities, obtaining FDA clearances and other regulatory milestones, business planning, raising capital, establishing and maintaining our intellectual property portfolio, conducting direct sales efforts and marketing initiatives, conducting clinical studies, and providing general and administrative support for these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bookmarkStart w:id="12" w:name="page89"/>
      <w:bookmarkEnd w:id="12"/>
      <w:r>
        <w:rPr>
          <w:rFonts w:ascii="Times New Roman" w:hAnsi="Times New Roman"/>
          <w:color w:val="000000"/>
          <w:sz w:val="20"/>
        </w:rPr>
        <w:t xml:space="preserve">As of June 30, 2025, we had an accumulated deficit of $193.4 million. To date, we have funded our operations primarily through proceeds from the sale of shares of our stock, including common stock and redeemable convertible preferred stock, term loan proceeds, and cash generated from the sale of headbands and subscriptions. As of June 30, 2025, we had $177.4 million in cash and cash equivalents and marketable securities. Based on our current operating plan, we believe that the net proceeds from our IPO, together with the expected cash generated from revenue transactions with customers and our existing cash and cash equivalents,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operating losses since the commencement of our operations and we expect to continue to incur losses as we grow and continue the transition to operating as a public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Model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Key Factors Affecting Our Results of Operations and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and that we expect will impact our operating performance and results of operations for the foreseeable future. These factors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Adoption of the Ceribell System in new accounts. </w:t>
      </w:r>
      <w:r>
        <w:rPr>
          <w:rFonts w:ascii="Times New Roman" w:hAnsi="Times New Roman"/>
          <w:color w:val="000000"/>
          <w:sz w:val="20"/>
        </w:rPr>
        <w:t>As of June 30, 2025, we had over 550 active accounts. We define active accounts as those with an active subscription or recent headband usage, which is typically considered to have occurred during the previous six months. When determining the number of active accounts, we do not count a care facility (such as a hospital) as more than one account, even though the facility may have both an ED and an ICU using the Ceribell System. The headbands used as part of the Ceribell System are designed to be used only once by a single patient, so an active account is expected to purchase multiple headbands to be used as part of the Ceribell System. There are approximately 6,000 acute care facilities in the United States that we believe could benefit from our system. We believe that any facility with either an ICU or ED, or both, has patients who could benefit from the Ceribell System, because the patients arriving at such facilities may experience seizures triggered by the conditions leading them to seek acute medical care. We have initially targeted a subset of these acute care facilities through our commercial organization, prioritizing certain facilities based on factors such as geographic characteristics and sales potential. Over time, we expect to target additional acute care facilities as we grow our sales. To penetrate these hospitals, we continue to increase the size of our commercial organization. This team comprises TMs and CAMs, who are responsible for new account acquisition by engaging with key decision makers to educate them about the value proposition of the Ceribell System. As we seek to increase our account base, we expect that our revenue will increase due to increased utilization of the headbands and therefore increased product revenue, as well as new Clarity subscribers and increased subscription revenue. The rate at which we grow our commercial organization and the speed at which newly hired personnel become effective can impact our revenue growth and our costs incurred in anticipation of such growth.</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Utilization of the Ceribell System within our existing customer base.</w:t>
      </w:r>
      <w:r>
        <w:rPr>
          <w:color w:val="000000"/>
        </w:rPr>
        <w:t xml:space="preserve"> </w:t>
      </w:r>
      <w:r>
        <w:rPr>
          <w:rFonts w:ascii="Times New Roman" w:hAnsi="Times New Roman"/>
          <w:color w:val="000000"/>
          <w:sz w:val="20"/>
        </w:rPr>
        <w:t>Our revenue is impacted by the utilization of the headband component of the Ceribell System within hospitals. Because the headbands used as part of the Ceribell System are designed to be used only once by a single patient, utilization has a direct relationship with our product revenue. Within each hospital, we are initially focused on site onboarding and launch. Currently, many patients are not promptly monitored by EEG, as a physician may not be aware of the risk of seizures in a given patient population. Our CAMs work to raise awareness of our technology as well as, non-convulsive seizures generally, and the risks of delayed treatment. Even at facilities with access to the Ceribell System, clinicians may not use Ceribell on all eligible patients if they are not fully aware of the risks of seizures and the benefits of our solution. Once a launch is complete, our CAMs drive greater utilization of the Ceribell System within the hospital by reinforcing our value proposition, increasing disease state awareness, and supporting the integration of standard protocols or workflows for monitoring at-risk patients. CAMs also are focused on expanding the use of our system into additional departments within the hospital. As hospitals and physicians gain exposure to our system, we expect to leverage their experiences to increase usage and establish rapid EEG as the standard of care for the detection and management of seizures in the acute care setting.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Investment in research and development to drive innovation and expand our addressable market.</w:t>
      </w:r>
      <w:r>
        <w:rPr>
          <w:color w:val="000000"/>
        </w:rPr>
        <w:t xml:space="preserve"> </w:t>
      </w:r>
      <w:r>
        <w:rPr>
          <w:rFonts w:ascii="Times New Roman" w:hAnsi="Times New Roman"/>
          <w:color w:val="000000"/>
          <w:sz w:val="20"/>
        </w:rPr>
        <w:t>Our research and development initiatives are focused on introducing enhancements, features, and improvements aimed at increasing the value provided by our system for diagnosing and monitoring seizures in the acute care setting. We believe the platform nature of our system will enable us to efficiently deploy it for use in other serious neurological conditions beyond seizures, and we have begun the technical validation process for several additional indications.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from two recurring sources. Product revenue is generated by the sale of our disposable headbands that are intended for single patient use. Subscription revenue is generated by monthly subscription fees charged to our hospital customers for use of Clarity, recorders, and our portal. Revenue from sales of headbands is recognized at a point in time upon transfer of control of the product. We generally recognize subscription revenue ratably over the related contractual term beginning on the date that the system is made available to a customer. Our revenue fluctuates primarily based on the number of active accounts and the volume of headband usage.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revenue will continue to fluctuate quarter-to-quarter due to a variety of factors, including the potential success of our sales force in extending adoption of the Ceribell System to new accounts and expanding the utilization of our system in existing accounts. For purposes of managing our business, we do not separately track increases in revenue solely attributable to new accounts. We may experience fluctuations in the number of headbands used by our customers based on seasonal factors that impact the number of patients in the acute care setting. For example, the number of patients in the intensive care unit is typically lower during the summer months.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consists primarily of the cost of materials and labor to manufacture headbands and depreciation of the manufacturing cost of recorders, as well as third-party hosting fees and personnel-related expenses for our subscription cost of revenue. Cost of revenue also includes expenses related to manufacturing overhead comprising compensation for personnel, manufacturing supervision, facilities, utilities, quality assurance, property tax, and certain direct costs such as tariffs and shipping costs. As we acquire new customers and existing customers increase their use of our product and software, we expect that our cost of revenue will continue to increase.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240" w:after="283"/>
        <w:jc w:val="both"/>
        <w:rPr>
          <w:rFonts w:ascii="Times New Roman" w:hAnsi="Times New Roman"/>
          <w:sz w:val="20"/>
        </w:rPr>
      </w:pPr>
      <w:r>
        <w:rPr>
          <w:rFonts w:ascii="Times New Roman" w:hAnsi="Times New Roman"/>
          <w:color w:val="000000"/>
          <w:sz w:val="20"/>
        </w:rPr>
        <w:t>Gross profit, or revenue less cost of revenue, and gross margin, or gross profit as a percentage of revenue, have been and will continue to be affected by various factors that may cause gross margins to fluctuate. These include the product mix between product and subscription revenues, potential changes to sales prices, the timing of our acquisition of new customers, renewals of and follow-on sales to existing customers, costs associated with third-party hosting fees, costs associated with third party manufacturing and supply chain purchases of inventory, and other direct costs such as tariffs and shipping. We expect our</w:t>
      </w:r>
      <w:r>
        <w:rPr>
          <w:rFonts w:ascii="Times New Roman" w:hAnsi="Times New Roman"/>
          <w:color w:val="222222"/>
          <w:sz w:val="20"/>
        </w:rPr>
        <w:t xml:space="preserve"> product inventory, currently located within the United States, to enable sufficient supply of finished goods through at least the end of 2025. We do not expect any material impact to our financial results from incremental tariffs until at least the fourth quarter of 2025</w:t>
      </w:r>
      <w:r>
        <w:rPr>
          <w:rFonts w:ascii="Times New Roman" w:hAnsi="Times New Roman"/>
          <w:color w:val="000000"/>
          <w:sz w:val="20"/>
        </w:rPr>
        <w:t xml:space="preserve">. Our gross margin may fluctuate from period to period, based upon the factors described above and in the section titled “Risk Factors” included elsewhere in this Quarterly Report on Form 10-Q.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bookmarkStart w:id="13" w:name="page91"/>
      <w:bookmarkEnd w:id="13"/>
      <w:r>
        <w:rPr>
          <w:rFonts w:ascii="Times New Roman" w:hAnsi="Times New Roman"/>
          <w:color w:val="000000"/>
          <w:sz w:val="20"/>
        </w:rPr>
        <w:t>Research and development expenses are incurred in connection with the advancement of the Ceribell System with the goal to improve and expand on our existing system and indications. Research and development expenses consist primarily of engineering, product development, regulatory activities, consulting services, materials, depreciation, and other costs associated with products and technologies being developed. These expenses include employee and non-employee compensation, including benefits, stock-based compensation, supplies, materials, consulting, related travel expenses, and facilities expenses. Our research and development team includes clinical study experts as well as hardware and software engineers with deep expertise in mechanical and electrical engineering, data science, AI, embedded software design, and cloud-based data and security architecture. We invest in research and development efforts with the goal of driving continuous improvements in our current system and solutions and expanding the clinical application of our system and AI algorithms, in the acute care setting and beyond. Research and development expenses are recognized as incurred and payments made prior to the receipt of goods or services to be used in research and development are capitalized and are recognized as expense as the goods are delivered or as related services are performed.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 research and development expenses in the periods in which they are incurred. Costs for certain activities, such as clinical studies and clinical trials, are generally recognized based on an evaluation of the progress to completion of specific tasks using information and data provided to us by our vendors and collaborators.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improve and optimize our algorithm, leverage our platform to expand indications, and develop products for use beyond the acute care setting.</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and marketing expenses consist primarily of employee-related costs, including salaries, commissions, bonuses, benefits, travel, and stock-based compensation as well as investments in marketing initiatives to increase market awareness of our technology and the prevalence of seizures in critically ill patient populations, including expenses related to travel, conferences, trade shows, and consulting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sales and marketing expenses to increase for the foreseeable future as we continue to increase the size of our sales organization and market penetration in the United States, seek to expand indications, and potentially establish an international presence by pursuing marketing authorizations and engaging in other market access initiatives in international regions in which we see significant potential opportunity.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benefits, and stock-based compensation expense for personnel in executive, finance, accounting, commercial operations, legal, human resource, IT, and administrative functions. General and administrative expenses also include direct or allocated expenses for rent and maintenance of facilities and insurance, not otherwise included in research and development expenses, sales and marketing expenses, or cost of revenue, as well as professional fees for legal, patent, and consulting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is primarily interest income on our cash and cash equivalents and marketable securities and interest expense on our term loans. Interest expense primarily consists of interest on our term loans and a non-cash interest charge related to amortization of debt issuance costs. Gains and losses related to the change in fair value of the redeemable convertible preferred stock warrant liability issued as a part of our term loans were recognized in the income statement each quarter until the warrants were converted to common stock warrants immediately prior to the IPO.</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recorded any U.S. federal or state income tax expense. We have recorded deferred tax assets for U.S. federal income taxes for which we provide a full valuation allowance. These deferred tax assets primarily include net operating loss carryforwards and we expect to maintain this full valuation allowance for the foreseeable future as it is not more likely than not the deferred tax assets will be realized based on our history of losses.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 for the Three and Six Months Ended June 30,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set forth our results of operations for the periods presented (in thousands) and as a percentage of our revenue for those periods. The period-to-period comparison of financial results is not necessarily indicative of financial results to be achieved in future periods.</w:t>
      </w:r>
    </w:p>
    <w:p>
      <w:pPr>
        <w:pStyle w:val="TextBody"/>
        <w:bidi w:val="0"/>
        <w:jc w:val="both"/>
        <w:rPr/>
      </w:pPr>
      <w:r>
        <w:rPr/>
        <w:t> </w:t>
      </w:r>
    </w:p>
    <w:tbl>
      <w:tblPr>
        <w:tblW w:w="9498" w:type="dxa"/>
        <w:jc w:val="left"/>
        <w:tblInd w:w="0" w:type="dxa"/>
        <w:tblLayout w:type="fixed"/>
        <w:tblCellMar>
          <w:top w:w="28" w:type="dxa"/>
          <w:left w:w="28" w:type="dxa"/>
          <w:bottom w:w="28" w:type="dxa"/>
          <w:right w:w="28" w:type="dxa"/>
        </w:tblCellMar>
      </w:tblPr>
      <w:tblGrid>
        <w:gridCol w:w="3791"/>
        <w:gridCol w:w="146"/>
        <w:gridCol w:w="222"/>
        <w:gridCol w:w="777"/>
        <w:gridCol w:w="175"/>
        <w:gridCol w:w="154"/>
        <w:gridCol w:w="222"/>
        <w:gridCol w:w="713"/>
        <w:gridCol w:w="166"/>
        <w:gridCol w:w="146"/>
        <w:gridCol w:w="211"/>
        <w:gridCol w:w="676"/>
        <w:gridCol w:w="166"/>
        <w:gridCol w:w="146"/>
        <w:gridCol w:w="275"/>
        <w:gridCol w:w="596"/>
        <w:gridCol w:w="916"/>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2,517</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18,682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33,634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(14,952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tbl>
      <w:tblPr>
        <w:tblW w:w="9501" w:type="dxa"/>
        <w:jc w:val="left"/>
        <w:tblInd w:w="0" w:type="dxa"/>
        <w:tblLayout w:type="fixed"/>
        <w:tblCellMar>
          <w:top w:w="28" w:type="dxa"/>
          <w:left w:w="28" w:type="dxa"/>
          <w:bottom w:w="28" w:type="dxa"/>
          <w:right w:w="28" w:type="dxa"/>
        </w:tblCellMar>
      </w:tblPr>
      <w:tblGrid>
        <w:gridCol w:w="3791"/>
        <w:gridCol w:w="146"/>
        <w:gridCol w:w="211"/>
        <w:gridCol w:w="736"/>
        <w:gridCol w:w="166"/>
        <w:gridCol w:w="146"/>
        <w:gridCol w:w="211"/>
        <w:gridCol w:w="736"/>
        <w:gridCol w:w="166"/>
        <w:gridCol w:w="146"/>
        <w:gridCol w:w="211"/>
        <w:gridCol w:w="736"/>
        <w:gridCol w:w="166"/>
        <w:gridCol w:w="146"/>
        <w:gridCol w:w="275"/>
        <w:gridCol w:w="596"/>
        <w:gridCol w:w="916"/>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 Not Meaningful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Comparison of the Three and Six Months Ended June 30, 2025 and 2024</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revenue for the three and six months ended June 30, 2025, increased $4.3 million and $8.9 million, or 38% and 39%, respectively, compared to the same periods of fiscal year 2024. Product revenue growth is primarily driven by the addition of new customers and an increase in utilization of headbands and resulting headband sales, driven by continued customer education that resulted in increased awareness and adoption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revenue for the three and six months ended June 30, 2025, increased $1.5 million and $3.1 million, or 41% and 43%, respectively, compared to the same periods of fiscal year 2024. Subscription revenue growth is primarily driven by an increase in adoption of subscriptions.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cost of revenue for the three and six months ended June 30, 2025, increased $0.3 million and $0.7 million, or 16% and 18%, respectively, compared to the same periods of fiscal year 2024. The increase in cost of goods sold for products was primarily due to an increase in headband sales to new and existing active accounts, partially offset by a decrease in the cost of goods sold per unit, as non-variable costs are allocated among a larger number of units.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cost of revenue for three and six months ended June 30, 2025, increased $0.04 million and $0.05 million, or 35% and 22%, respectively, compared to the same periods of fiscal year 2024. The increase in subscription cost of revenue was primarily due to increased hosting costs for new active accounts for subscriptions and incremental recorder depreciation associated with new subscriptions.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Gross Profit (in thousands) and Gross Margin</w:t>
      </w:r>
    </w:p>
    <w:p>
      <w:pPr>
        <w:pStyle w:val="TextBody"/>
        <w:bidi w:val="0"/>
        <w:jc w:val="both"/>
        <w:rPr/>
      </w:pPr>
      <w:r>
        <w:rPr/>
        <w:t> </w:t>
      </w:r>
    </w:p>
    <w:tbl>
      <w:tblPr>
        <w:tblW w:w="7338" w:type="dxa"/>
        <w:jc w:val="left"/>
        <w:tblInd w:w="0" w:type="dxa"/>
        <w:tblLayout w:type="fixed"/>
        <w:tblCellMar>
          <w:top w:w="28" w:type="dxa"/>
          <w:left w:w="28" w:type="dxa"/>
          <w:bottom w:w="28" w:type="dxa"/>
          <w:right w:w="28" w:type="dxa"/>
        </w:tblCellMar>
      </w:tblPr>
      <w:tblGrid>
        <w:gridCol w:w="2236"/>
        <w:gridCol w:w="146"/>
        <w:gridCol w:w="218"/>
        <w:gridCol w:w="699"/>
        <w:gridCol w:w="280"/>
        <w:gridCol w:w="150"/>
        <w:gridCol w:w="218"/>
        <w:gridCol w:w="699"/>
        <w:gridCol w:w="271"/>
        <w:gridCol w:w="146"/>
        <w:gridCol w:w="214"/>
        <w:gridCol w:w="582"/>
        <w:gridCol w:w="146"/>
        <w:gridCol w:w="146"/>
        <w:gridCol w:w="275"/>
        <w:gridCol w:w="596"/>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18,682</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tbl>
      <w:tblPr>
        <w:tblW w:w="7356" w:type="dxa"/>
        <w:jc w:val="left"/>
        <w:tblInd w:w="0" w:type="dxa"/>
        <w:tblLayout w:type="fixed"/>
        <w:tblCellMar>
          <w:top w:w="28" w:type="dxa"/>
          <w:left w:w="28" w:type="dxa"/>
          <w:bottom w:w="28" w:type="dxa"/>
          <w:right w:w="28" w:type="dxa"/>
        </w:tblCellMar>
      </w:tblPr>
      <w:tblGrid>
        <w:gridCol w:w="2236"/>
        <w:gridCol w:w="146"/>
        <w:gridCol w:w="211"/>
        <w:gridCol w:w="676"/>
        <w:gridCol w:w="271"/>
        <w:gridCol w:w="146"/>
        <w:gridCol w:w="211"/>
        <w:gridCol w:w="676"/>
        <w:gridCol w:w="271"/>
        <w:gridCol w:w="146"/>
        <w:gridCol w:w="211"/>
        <w:gridCol w:w="676"/>
        <w:gridCol w:w="146"/>
        <w:gridCol w:w="146"/>
        <w:gridCol w:w="275"/>
        <w:gridCol w:w="596"/>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Gross profit for the three and six months ended June 30, 2025 increased $5.5 million and $11.2 million, or 42% and 44%, respectively, compared to the same period of fiscal year 2024. The increase is primarily due to increased revenue and decreased cost of goods sold per unit, as non-variable costs are allocated among a larger number of units.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for the increased $1.6 million, or 48%, for the three months ended June 30, 2025, compared to the same period of fiscal year 2024. The increase was primarily due to an increase of $1.1 million in personnel and related expenses directly associated with an increase in headcount, as well as an increase of $0.6 million in clinical study and professional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for the increased $2.8 million, or 45%, for the six months ended June 30, 2025, compared to the same period of fiscal year 2024. The increase was primarily due to an increase of $1.7 million in personnel and related expenses directly associated with an increase in headcount, as well as an increase of $1.1 million in clinical study and professional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Sales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increased $6.7 million, or 63%, for the three months ended June 30, 2025, compared to the same period of fiscal year 2024. The increase was primarily due to an increase in personnel and related expenses directly associated with an increase in headcount.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increased $14.2 million, or 67%, for the six months ended June 30, 2025, compared to the same period of fiscal year 2024. The increase was primarily due to an increase in personnel and related expenses directly associated with an increase in headcount.</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$3.7 million, or 49%, for the three months ended June 30, 2025, compared to the same period of fiscal year 2024. The increase was primarily due to an increase of $1.7 million in personnel and related expenses directly associated with an increase in headcount, as well as an increase of $1.8 million in legal, accounting, and professional service fees related to our transition to a public company and costs associated with intellectual property enforcement activities, including a new patent infringement claim initiated during the quarter.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$6.4 million, or 43%, for the six months ended June 30, 2025, compared to the same period of fiscal year 2024. The increase was primarily due to an increase of $3.6 million in personnel and related expenses directly associated with an increase in headcount, as well as an increase of $2.4 million in legal, accounting, and professional service fees related to our transition to a public company and costs associated with intellectual property enforcement activities, including a new patent infringement claim initiated during the quarter.</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increased $1.8 million for the three months ended June 30, 2025, compared to the same period for fiscal year 2024. The increase in interest income was primarily due to higher balances of cash equivalents and marketable securities, resulting from the investment of IPO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increased $3.3 million for the six months ended June 30, 2025, compared to the same period for fiscal year 2024. The increase in interest income was primarily due to higher balances of cash equivalents and marketable securities, resulting from the investment of IPO proceeds.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a summary of our cash flows for each of the periods presented (in thousands):</w:t>
      </w:r>
    </w:p>
    <w:p>
      <w:pPr>
        <w:pStyle w:val="TextBody"/>
        <w:bidi w:val="0"/>
        <w:jc w:val="both"/>
        <w:rPr/>
      </w:pPr>
      <w:r>
        <w:rPr/>
        <w:t> </w:t>
      </w:r>
    </w:p>
    <w:tbl>
      <w:tblPr>
        <w:tblW w:w="6134" w:type="dxa"/>
        <w:jc w:val="left"/>
        <w:tblInd w:w="0" w:type="dxa"/>
        <w:tblLayout w:type="fixed"/>
        <w:tblCellMar>
          <w:top w:w="28" w:type="dxa"/>
          <w:left w:w="28" w:type="dxa"/>
          <w:bottom w:w="28" w:type="dxa"/>
          <w:right w:w="28" w:type="dxa"/>
        </w:tblCellMar>
      </w:tblPr>
      <w:tblGrid>
        <w:gridCol w:w="3466"/>
        <w:gridCol w:w="146"/>
        <w:gridCol w:w="211"/>
        <w:gridCol w:w="841"/>
        <w:gridCol w:w="166"/>
        <w:gridCol w:w="146"/>
        <w:gridCol w:w="211"/>
        <w:gridCol w:w="73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during the six months ended June 30, 2025, consisted primarily of our net loss of $26.4 million, offset by non-cash charges of stock-based compensation of $5.5 million, and depreciation and amortization of $0.7 million. Additionally we had a net decrease in operating assets of $0.2 million and a net increase in operating liabilities of $1.4 million. Net operating assets decreased due to decreases in prepaid expenses and inventory due to lower inventory purchases in the six months ended June 30, 2025. Net operating liabilities decreased primarily due to timing of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during the six months ended June 30, 2024, consisted primarily of our net loss of $17.5 million, non-cash charges of stock-based compensation of $1.8 million, and a net decrease in operating liabilities of $1.0 million. Net operating liabilities decreased primarily due to timing of payments.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investing activities during the six months ended June 30, 2025 and 2024 was $137.3 million and $1.3 million, respectively, and consisted of purchases of marketable securities during the six months ended June 30, 2025, and purchases of equipment and recorders provided to customers for both periods.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in financing activities during the six months ended June 30, 2025, consisted of proceeds from the exercise of options, and offset by debt issuance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in financing activities during the six months ended June 30, 2024, consisted primarily of $0.6 million in proceeds from the exercise of options, $0.5 million in payments of deferred initial public offering costs, and $7.6 million in net proceeds from debt issuance.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financed operations primarily through the net proceeds we have received from the sales of our preferred stock and common stock as well as net proceeds from our term loans and cash generated from the sale of headbands and Clarity subscriptions. On October 15, 2024, we completed our IPO and received net proceeds of $187.8 million after deducting underwriting discounts, commissions and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losses primarily resulted from the costs incurred in the development and sales and marketing of our products and providing general and administrative support for our operations. We expect to continue to incur losses in the foreseeable future and to expend significant amounts of cash in the foreseeable future as we continue to scale our business, invest in research and development activities, increase sales and marketing expenses to support commercial expansion, and increase general and administrative expenses to support our transition into being a publicly-traded company.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2025, our principal sources of liquidity consisted of $177.4 million of cash and cash equivalents and marketable securities and $20.0 million of term loans.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6, 2024, we entered into the VLSA with SVB and Horizon. The VLSA provides a term loan commitment of $50.0 million. We drew $20.0 million of the $50.0 million term loan commitment at closing, (consisting of $6.0 million from SVB and $14.0 million from Horizon), which was used to retire our existing debt with Horizon, pay transaction fees, and for general corporate purposes. The remaining $30.0 million term loan commitment consists of three tranches of $10.0 million commitments. The maturity date of VLSA is March 1, 2029.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Concurrent with the VLSA, we also entered into the Revolving Facility for a line of credit of up to $10.0 million. The Revolving Facility matures on February 6, 2026.</w:t>
      </w:r>
    </w:p>
    <w:p>
      <w:pPr>
        <w:pStyle w:val="TextBody"/>
        <w:bidi w:val="0"/>
        <w:jc w:val="both"/>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our current operating plan, we believe that the net proceeds from our IPO together with the expected cash generated from revenue transactions with customers and our existing cash and cash equivalents,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generate and obtain adequate amounts of cash to meet requirements beyond the next 12 months, we may continue to seek funds through equity or debt financings, or through other sources of financing. Our future capital needs will depend upon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acceptance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and pace of developing new products 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and costs of supporting sales growth and expansion of our commercial organization;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any product recall that may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the manufacturing of our products at increased production levels or in different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attaining, defending, and enforcing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acquire third-party products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any other collaborative, licensing, and other arrangements that we may establish;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of competing technologies or other adverse market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additional funds to finance our operations should they be needed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debt service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contractual obligations at June 30, 2025 include: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Debt </w:t>
      </w:r>
      <w:r>
        <w:rPr>
          <w:rFonts w:ascii="Times New Roman" w:hAnsi="Times New Roman"/>
          <w:color w:val="000000"/>
          <w:sz w:val="20"/>
        </w:rPr>
        <w:t>— Principal payments required on long-term debt outstanding at June 30, 2025, was $20.0 million. Please refer to the section titled “Liquidity” in Note 1 for a discussion of changes in commitments.</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leases</w:t>
      </w:r>
      <w:r>
        <w:rPr>
          <w:rFonts w:ascii="Times New Roman" w:hAnsi="Times New Roman"/>
          <w:color w:val="000000"/>
          <w:sz w:val="20"/>
        </w:rPr>
        <w:t xml:space="preserve"> — As of June 30, 2025, estimated contractual obligations for operating lease payments were $2.0 million due within 19 months.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GAAP. The preparation of our financial statements and related disclosures requires us to make estimates and judgments that affect the reported amounts of assets, liabilities, expenses and the disclosure of our contingent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about our significant accounting policies and how estimates are involved in the preparation of our financial statements are described in our Annual Report on Form 10-K filed with the SEC on February 25, 2025. There have been no material changes to our significant accounting policies and estimates during the six months ended June 30,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2 to our financial statements included elsewhere in this </w:t>
      </w:r>
      <w:r>
        <w:rPr>
          <w:rFonts w:ascii="Times New Roman" w:hAnsi="Times New Roman"/>
          <w:color w:val="000000"/>
          <w:sz w:val="18"/>
        </w:rPr>
        <w:t xml:space="preserve">Quarterly Report on Form 10-Q </w:t>
      </w:r>
      <w:r>
        <w:rPr>
          <w:rFonts w:ascii="Times New Roman" w:hAnsi="Times New Roman"/>
          <w:color w:val="000000"/>
          <w:sz w:val="20"/>
        </w:rPr>
        <w:t>for a description of recent accounting pronouncements applicable to our financial statements.</w:t>
      </w:r>
    </w:p>
    <w:p>
      <w:pPr>
        <w:pStyle w:val="TextBody"/>
        <w:bidi w:val="0"/>
        <w:spacing w:before="360" w:after="283"/>
        <w:jc w:val="both"/>
        <w:rPr>
          <w:rFonts w:ascii="Times New Roman" w:hAnsi="Times New Roman"/>
          <w:b/>
          <w:color w:val="000000"/>
          <w:sz w:val="20"/>
        </w:rPr>
      </w:pPr>
      <w:bookmarkStart w:id="14" w:name="item_3_q_q_disclosures"/>
      <w:bookmarkEnd w:id="14"/>
      <w:r>
        <w:rPr>
          <w:rFonts w:ascii="Times New Roman" w:hAnsi="Times New Roman"/>
          <w:b/>
          <w:color w:val="000000"/>
          <w:sz w:val="20"/>
        </w:rPr>
        <w:t>Item 3. Quantitative and Qualitative Disclosures About Market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5" w:name="item_4_controls_and_procedures"/>
      <w:bookmarkEnd w:id="15"/>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 Executive Officer and Chief Financial Officer have concluded that these disclosure controls and procedures were effective at a reasonable assurance level as of June 30,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during the quarter ended June 30, 2025 by this Quarterly Report on Form 10-Q that have materially affected, or are reasonably likely to materially affect, our internal control over financial reporting.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6" w:name="part_ii_other_information"/>
      <w:bookmarkEnd w:id="16"/>
      <w:r>
        <w:rPr>
          <w:rFonts w:ascii="Times New Roman" w:hAnsi="Times New Roman"/>
          <w:b/>
          <w:color w:val="000000"/>
          <w:sz w:val="20"/>
        </w:rPr>
        <w:t>PART II—OTHER INFORMATION</w:t>
      </w:r>
    </w:p>
    <w:p>
      <w:pPr>
        <w:pStyle w:val="TextBody"/>
        <w:bidi w:val="0"/>
        <w:spacing w:before="360" w:after="283"/>
        <w:jc w:val="both"/>
        <w:rPr>
          <w:rFonts w:ascii="Times New Roman" w:hAnsi="Times New Roman"/>
          <w:b/>
          <w:color w:val="000000"/>
          <w:sz w:val="20"/>
        </w:rPr>
      </w:pPr>
      <w:bookmarkStart w:id="17" w:name="item_1_legal_proceedings"/>
      <w:bookmarkEnd w:id="17"/>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7, 2025, we filed patent infringement complaints against Natus Medical Incorporated and related subsidiaries (“Natus”) with the U.S. International Trade Commission (“USITC”) and the U.S. District Court for the District of Delaware (the “District Court”), alleging that Natus is infringing on six patents owned by us related to important features of the Ceribell EEG headband and electrode design, and that Natus is engaging in unfair competition. We have requested that the USITC investigate these claims and issue an exclusion order to bar the importation of any infringing Natus products into the United States. We have also requested an award of damages in the District Court sufficient to compensate us for the alleged infringement, as well as other costs and expenses in this 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involved in other various legal proceedings arising from the normal course of business activities. We are not presently a party to any litigation the outcome of which, we believe, if determined adversely to us, would individually or taken together, materially and adversely affect our business, financial condition, or results of operations. Involvement in legal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pStyle w:val="TextBody"/>
        <w:bidi w:val="0"/>
        <w:spacing w:before="360" w:after="283"/>
        <w:jc w:val="both"/>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Investing in our common stock involves a high degree of risk. You should carefully consider the risks described below, as well as the other information in this Quarterly Report, including our financial statements and the related notes and </w:t>
      </w:r>
      <w:r>
        <w:rPr>
          <w:rFonts w:ascii="Times New Roman" w:hAnsi="Times New Roman"/>
          <w:color w:val="000000"/>
          <w:sz w:val="20"/>
        </w:rPr>
        <w:t>“</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w:t>
      </w:r>
      <w:r>
        <w:rPr>
          <w:rFonts w:ascii="Times New Roman" w:hAnsi="Times New Roman"/>
          <w:i/>
          <w:color w:val="000000"/>
          <w:sz w:val="20"/>
        </w:rPr>
        <w:t>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and Industry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a limited operating history and have experienced periods of significant business changes in a short time, making it difficult for you to evaluate our business and future prospects. If we are unable to manage our business and any fluctuations in our business effectively, our business and growth prospects could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founded in 2014 and began selling Ceribell headbands, recorder, and portal in 2018. Since our formation in 2014, we have achieved several key operational milestones that we believe position us for continued growth and success, including our receipt of 510(k) clearance from the FDA for our recorder and headband in 2017, our first commercial sales in 2018, our receipt of 510(k) clearance from the FDA for an early version of Clarity in 2019, growing to over 280 employees in 2025. Accordingly, we have a limited operating history, which makes evaluation of our future prospects difficult. In that time, we have had periods of significant growth in revenue and employees, which have required us to scale the size of our organization as our business has rapidly changed. Any growth that we experience in the future will require us to further expand our sales and marketing and research and development personnel (including those with software and hardware expertise), our manufacturing operations, and our general and administrative infrastructure. While our quarterly revenues have generally increased each quarter since our commercial launch, our results of operations have fluctuated in the past, and our future quarterly and annual results of operations may fluctuate as we focus on increasing the demand for our products. We may need to make business decisions that could adversely affect our results of operations and prospects, such as modifications to our pricing and reimbursement strategy, business structure, or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challenges we face in managing our business, including the changing reimbursement and regulatory landscapes, place significant demands on our management, financial, operational, manufacturing, technological, and other resources, and we expect that managing our business will continue to place significant demands on our management and other resources and will require us to continue developing and improving our operational, financial and other internal controls, reporting systems, and procedures. In particular, continued growth increases the challenges involved in a number of areas, including recruiting and retaining sufficient skilled personnel, providing adequate training and supervision to maintain our high-quality product standards and regulatory compliance, and preserving our culture and values. We have also had, and may in the future experience, delays with onboarding new accounts due to scheduling and other logistical issues. We may not be able to address these challenges in a cost-effective manner, or at all. As we grow, we may also need to invest significant resources to improve and expand our manufacturing capabilities and technology, and we may not be able to do so in a cost-effective manner or at all. We cannot assure you that any changes in scale, related quality, or compliance assurance, including those related to any future additional indications for the Ceribell System, will be successfully implemented or that appropriate personnel will be available to facilitate the management of and changes to our business. Failure to implement necessary quality and compliance procedures, transition to new manufacturing processes or supply chains, or hire or maintain necessary personnel could result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higher costs or an inability to meet demand. In addition, our business is affected by general macroeconomic and business conditions around the world, including the impacts of inflation, increased interest rates, market instability, geopolitical conditions and conflicts, health crises, and natural disasters. If we do not effectively manage our business through the various challenges we face, we may not be able to execute on our business plan, respond to competitive pressures, take advantage of market opportunities, satisfy customer requirements, or maintain high-quality products,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a history of net losses, and we expect to incur additional substantial losses in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net losses since inception, and we expect to incur additional substantial losses in the foreseeable future. For the fiscal quarter ended June 30, 2025, we incurred a net loss of $13.6 million. As of June 30, 2025, we had an accumulated deficit of $193.4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significant amounts to develop the Ceribell System and related algorithms, to fund clinical studies, to develop and build our manufacturing capacities, to scale our commercial operations, and to recruit and retain key talent.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encountered and will continue to encounter risks and difficulties frequently experienced by growing companies, including increasing expenses as we continue to grow our business. We expect our operating expenses to increase significantly over the next several years as we continue to expand our operations and infrastructure and continue to develop the Ceribell System and related algorithms, including for any future additional indications. In addition to the anticipated costs of growing our business, we also expect to incur additional legal, accounting, and other expert expenses as we grow.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assure you that we will achieve profitability in the future or that, if we do become profitable, we will be able to sustain or increase profitability. Our prior losses, combined with potential future losses, have had and will continue to have an adverse effect on our stockholders’ equity and working capital.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sales from the use of the Ceribell System for our revenue. If we are unable to successfully achieve substantial market acceptance and adoption of the Ceribell System, or any of our future products, or if confidence in our products is diminished, our business, financial condition, results of operations, and prospects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revenue from sales of the Ceribell System will continue to account for almost all of our revenue for the foreseeable future. Continued and widespread market acceptance of alternatives to conventional EEG systems, particularly in the acute care setting, is critical to our future success. The size of our customer base and our ability to acquire new customers is critical to our success as well. Thus, our commercial success will depend in large part on further adoption of the Ceribell System by hospital customers and healthcare professionals and an increase in the number of patients evaluated with it in the acute care setting, as well as on our ability to retain existing customers. Existing customers may choose to terminate or not renew their subscription typically on 30 days’ notice to us without payment of a penalty or termination fee, and we may not be able to replace any customers that elect to terminate or not renew their subscriptions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factors can contribute to our ability to effectively engage and retain customers and their use of our products. For example, hospitals and healthcare professionals may be reluctant to purchase or use the Ceribell System due to familiarity with conventional EEG systems that are well-established and known to them, and because they must continue to use conventional EEG systems outside of the acute care setting. Our ability to grow sales of the Ceribell System and drive market acceptance will depend on successfully educating hospitals and healthcare professionals of the relative benefits of the Ceribell System compared to the standard of care, which includes conventional EEG systems in the acute care setting, as well as educating such hospitals or healthcare professionals regarding the uses and limitations of the Ceribell System. If healthcare professionals do not perceive our products to be useful, effective, reliable, and trustworthy, or if we are unable to provide sufficient training to healthcare professionals or harmonize our products with hospital information technology systems, we may not be able to attract or retain customers. Healthcare professionals may perceive the Ceribell System to be less useful if they do not subscribe for access to the Clarity algorithm as part of their use of the Ceribell System, whether because of incremental cost, lack of familiarity or trust in the algorithm’s diagnostic accuracy, or if, for similar reasons, they do not rely on the Clarity algorithm (including automated alerts) to interpret the EEG results produces by the Ceribell System. In addition, negative clinical research results or publicity or an adverse change to published or unpublished guidelines or recommendations from third parties (including, without limitation, medical societies) relating to the use, clinical benefit, or risk profile of the Ceribell System or AI-enabled devices, or reduced montage EEGs or rapid EEGs in general could result in negative perception by healthcare professionals and affect our brand and reputation. For example, Villamar et al. (2023), a study that retrospectively reviewed EEG recordings for 21 patients who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were admitted to a medical intensive care unit after cardiac arrest, found that the Clarity algorithm that was in use at the time of the study did not detect seizures in the four patients who were experiencing them. While we constantly work to improve our algorithm and overall system, the technologies we work with are novel and complex, and we cannot assure you that there will not be additional negative reports on the Ceribell System in the future. Further, customers who are dissatisfied with their experiences with the Ceribell System may post negative reviews, and we have been, and may in the future become, the subject of blog, forum, or other social media postings that contain negative statements about us, which are outside of our control and may be inaccurate. Any negative publicity, whether real or perceived, disseminated by word-of-mouth, the general media, electronic or social networking platforms, competitor materials, or other methods, could harm our reputation and brand and could severely diminish consumer confidence in our products. Further, a shortage of neurologists or other clinicians (if any) available to read the results of the Ceribell System, could negatively affect the timely assessment of data from the Ceribell System. Lack of support for our products from healthcare professionals can affect how receptive physicians will be to use our products for their patients and could result in decreased demand for our products. Negative healthcare professional perception could also render us less attractive to future hospital customers, which could result in decreased sales of our products. A number of other factors, including the impacts of economic conditions and regulatory changes on hospital budgets and spending patterns, could potentially negatively affect new customer acquisitions and demand for our products.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operate in a highly competitive industry, and competitive pressures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EEG alternatives is competitive in terms of development, availability, pricing, product quality, and time-to-market. Our primary competition is from conventional EEG systems, which are used in the majority of hospitals in the United States that have resources to purchase and support EEG systems. These competitors have greater name and brand recognition, greater market share, greater resources, stronger financial profiles, and may have larger sales forces than we do, as well as legacy status among hospitals. For example, the two primary conventional EEG providers in the United States are Natus and Nihon Kohden, both of which have much longer operating histories than we do. We also face competition from companies that provide or are developing rapid EEG systems, including Nihon Kohden, Natus, and other companies, that can be used in the acute care and other settings (e.g., home and ambulance), or EEG systems specifically for use in the acute care setting, and conventional EEG providers may also seek to develop additional EEG systems. Our competitors may be able to offer products similar or superior to ours at a more attractive price than we can. Our competitors could also be better positioned to serve certain segments of our market, which could create additional price pressure. In light of these factors, our competitors may be able to respond more quickly and effectively than we can to new or changing opportunities, technologies, standards, or customer requirements. As a result, even if the Ceribell System is more effective than our competitors’ products, current or potential customers may accept competitive products, including conventional EEG systems and rapid EEG systems that can be used in multiple settings, in lieu of purchasing and using our products. In addition, because the Ceribell System is supplemental to, and not a replacement for, conventional EEG systems for rapid acute care diagnosis, customers may view our products as an additional expense and choose to purchase and maintain only conventional EEG systems. If we are unable to successfully compete, our business, financial condition, results of operations, and prospects could be materially and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Adapting our manufacturing and production capacities to evolving patterns of demand is expensive, time-consuming, and subject to significant uncertainties. We may not be able to adequately predict existing customer trends and may be unable to adjust our production and inventory levels in a timely manner.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market the Ceribell System directly to potential customers in the United States, where we face the risk of significant changes in the demand for our products, including demand for our disposable headbands based on usage rates. If demand decreases, we will need to implement capacity and cost reduction measures involving restructuring costs. If demand increases, we will be required to make capital expenditures related to increased production and expenditures to hire and train production, sales and marketing, and product support personnel. This would put pressure on our internal and third-party manufacturing capabilities. For example, a sudden increase in demand could require increased production of components, such as our disposable headbands that are intended for single patient use, so that our customers can timely deliver care to their patients. Adapting to changes in demand inherently lags behind the actual changes because it takes time to identify the change the market is undergoing and to implement any measures to take as a result. Finally, capacity adjustments are inherently risky because there is imperfect information, and sales trends may rapidly intensify, ebb, or even reverse. We may be unable to accurately or timely predict trends in demand and customer behavior or to take appropriate measures to mitigate risks and react to opportunities resulting from such trends. Any inability in the future to identify or to adequately and effectively react to changes in demand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experience challenges managing the inventory of components of the Ceribell System, which can lead to excess inventory. Inventory levels in excess of customer demand may result in inventory write-downs or write-offs, which could impact our gross margins. Reserves and write-downs for discounts, promotions, and excess inventory are recorded based on our strategic plans and forecast of future demand. Actual future demand could be less than our forecast, which may result in additional reserves and write-downs in the future, or actual demand could be stronger than our forecast, which may result in a reduction to previously recorded reserves and write-downs in the future and increase the volatility of our operating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dependent on international manufacturers and suppliers, which exposes us to foreign operational risks and trade risks that may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manufacturers and third-party suppliers that are based outside of the United States, including in China, who complete the primary assembly and initial inspection of all of our headbands and supply a significant portion of the components used in the manufacturing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reliance on an international supply chain and operations exposes us to risks and uncertainties,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or material delays or disruption, including logistics challenges such as delays or disruptions in shipping;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higher prices for components used in the manufacturing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controlling quality of supplies and finished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trade protection measures, tariffs, and other duties, especially in light of trade disputes between the United States and several foreign countries, including China;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political, social, and economic instability;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outbreak of contagious diseases;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laws and business practices that favor local companies;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interruptions and limitations in telecommunication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import and export license requirements and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difficulties in the protection of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inflation and/or deflation;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threat of nationalization and expropriation;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exchange controls, currency restrictions, and fluctuations in currency values;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adverse tax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supplies being purchased through purchase orders without long-term guaranteed commitments from our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suppliers ceasing to do business with 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 disputes, terrorism, vandalism, natural disasters, or work stoppages.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 has recently signaled its intention to change U.S. trade policy, including potentially renegotiating or terminating existing trade agreements and leveraging tariffs. From February 2025 to April 2025, the U.S. imposed additional tariffs on imports from China and announced and subsequently paused implementation of tariffs on imports from Canada and Mexico. These additional tariffs, as well as a government’s adoption of “buy national” policies or retaliation by another government against such tariffs or policies have introduced significant uncertainty into the market and may affect the prices of and demand for the Company’s products, which could have a negative impact on the Company’s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any of these risks were to materialize, it could have a material adverse effect on our business, financial condition, results of operations, and prospects, including the potential costs of identifying new suppliers and/or new manufacturing partners and relocating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source and manufacture a substantial number of our products from third-party suppliers and manufacturers in China, which exposes us to risks inherent in doing business in China.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source and manufacture a substantial number of our products from third-party suppliers and manufacturers in China. We rely on two primary contract manufacturers in China to complete the manufacturing, primary assembly, and inspection of our headband. In addition, we have a team of contractors who are employed by an agency in China and perform monitoring and quality inspection services at the facilities of our manufacturers in China.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third-party suppliers and manufacturers in China expose us to political, legal, and economic risks. Our operations and the operations of our third-party suppliers and manufacturers in China may be adversely affected by deterioration of the U.S.-China relationship, adverse changes in U.S. economic and political policies relating to China (and vice versa), such as policies favoring domestically manufactured products, and changes in the United States and Chinese laws and regulations such as those related to, among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other things, sanctions, taxation, import and export restrictions, tariffs, environmental protection, land use rights, intellectual property, currency controls, network security, labor and human rights practices, privacy, public health, and other matters. For example, the tariffs imposed by the United States on products imported from China could have a material adverse effect on the businesses of our third-party suppliers and manufacturers in China, potentially causing them to go out of business, in which case we would be forced to transition to alternative suppliers and manufacturers. See the risk factor titled, “</w:t>
      </w:r>
      <w:r>
        <w:rPr>
          <w:rFonts w:ascii="Times New Roman" w:hAnsi="Times New Roman"/>
          <w:i/>
          <w:color w:val="000000"/>
          <w:sz w:val="20"/>
        </w:rPr>
        <w:t>We depend on a limited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December 2021, the U.S. Congress enacted the Uyghur Forced Labor Prevention Act in an effort to prevent what it viewed as forced labor and human rights abuses in the Xinjiang Uyghur Autonomous Region (“XUAR”). If it is determined that our third-party suppliers and manufacturers produce or manufacture our components or products wholly or in part from the XUAR, then we could be prohibited from importing such components or products into the United States. In addition, the political, legal, and economic climate in China, both nationally and regionally, is fluid and unpredictable. Chinese trade regulations are in a state of flux, and we or our third-party suppliers and manufacturers in China may become subject to additional taxation, tariffs, and duties, including retaliatory trade restrictions. Sustained uncertainty about or worsening of tensions between the United States and China could also result in a global economic slowdown and long-term changes to global trade. Furthermore, the third parties we rely on in China may disclose our confidential information or intellectual property to competitors or third parties, which could result in the illegal distribution and sale of counterfeit versions of our products. If any of these events occur, our business, financial condition, results of operations, and prospects could be materially and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with the rapid development of the Chinese economy, the cost of labor has increased and may continue to increase in the future. Our results of operations will be materially and adversely affected if the labor costs of our suppliers and manufacturers increase significantly and are passed on to us. In addition, our manufacturers and suppliers may not be able to find a sufficient number of qualified workers due to the intensely competitive and fluid market for skilled labor in China, which would negatively affect our manufacturers’ and suppliers’ ability to meet our needs. Any of these events may materially and adversely affect our business, financial condition, results of operations, and prospects.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trade policy and regulations in the United States and other countries, including changes in trade agreements and the imposition of tariffs, as well as retaliatory responses, may have adverse impacts on our business, results of operations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U.S. government has implemented or proposed changes to international trade policy through the renegotiation, and potential termination, of certain existing bilateral or multilateral trade agreements and treaties, along with the imposition of tariffs on a wide range of products and other goods from China, countries in EMEA, and other regions. In response, China and other countries have imposed or proposed additional tariffs and additional trade restrictions on certain imports from the U.S. The current trade relations between the U.S. and China, in particular, remain volatile and uncertain.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rely significantly on manufacturing facilities in China. In addition, we and our manufacturers rely on the availability of raw materials and components to produce a significant amount of our products. The imposition of increased tariffs and any countermeasures could increase the cost of our products, limit the availability of the materials or components we use, disrupt the global supply chain, increase market volatility, and create additional challenges to our operations. This could have a material adverse effect on the sales, cost, or gross margin of our products, and the demand from our customers may be diminished. In addition, uncertainty surrounding international trade policy and regulations as well as disputes and protectionist measures could also have an adverse effect on consumer confidence and spending.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Moreover, our ongoing efforts to address these risks may not be effective and may have long-term adverse effects on our operations and operating results that we may not be able to reverse. Such efforts may also take time to implement or to have an effect and may result in adverse financial results or fluctuations in our financial results. In addition, these tariffs and retaliatory actions could affect our long-term strategies. If we deem it necessary to alter all or a portion of our activities or operations in response to such policies, agreements or tariffs, our capital and operating costs may increase. As a result, changes in trade policy and regulations in the United States and other countries could adversely affect our business, results of operations and financial condition.</w:t>
      </w:r>
    </w:p>
    <w:p>
      <w:pPr>
        <w:pStyle w:val="TextBody"/>
        <w:bidi w:val="0"/>
        <w:spacing w:before="360" w:after="283"/>
        <w:jc w:val="both"/>
        <w:rPr>
          <w:rFonts w:ascii="Times New Roman" w:hAnsi="Times New Roman"/>
          <w:sz w:val="20"/>
        </w:rPr>
      </w:pPr>
      <w:r>
        <w:rPr>
          <w:rFonts w:ascii="Times New Roman" w:hAnsi="Times New Roman"/>
          <w:b/>
          <w:i/>
          <w:color w:val="000000"/>
          <w:sz w:val="20"/>
        </w:rPr>
        <w:t>If we cannot innovate at the pace of our competitors, we may not be able to develop or exploit new technologies in time to remain competitive.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us to remain competitive, it is essential to be at the forefront of new technologies, including in the rapidly evolving area of AI. If we are unable to meet customer demands for new technology, or if the technologies we introduce are viewed less favorably than our competitors’ products, our results of operations and future prospects may be negatively affected. To meet our customers’ needs in these areas, we must continuously work on our product design, develop our algorithms, and invest in and develop new technologies.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will also need to anticipate customer demand with respect to these technologies and which technological advances are most desirable in the EEG monitoring products and any future additional products we market. This need will result in requiring our employees to continue learning and adapting to new technologies, and us competing for highly skilled talent in a competitive market. Our operating results depend to a significant extent on our ability to anticipate and adapt to technological changes in the EEG monitoring market, maintain innovation, maintain a strong product pipeline, and reduce or maintain low costs for producing high-quality EEG monitoring products. Any inability to do so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Any future sales in international markets will subject us to additional costs and risks that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To date, all of our sales have been to customers in the United States. We intend to enter into international markets in the future, and there are significant costs and risks inherent in conducting business in international markets. Upon our expansion into foreign markets, we will be subject to new business risks, in addition to regulatory risks. See the risk factor titled, “</w:t>
      </w:r>
      <w:r>
        <w:rPr>
          <w:rFonts w:ascii="Times New Roman" w:hAnsi="Times New Roman"/>
          <w:i/>
          <w:color w:val="000000"/>
          <w:sz w:val="20"/>
        </w:rPr>
        <w:t>We face risks related to obtaining necessary foreign regulatory clearance or approvals</w:t>
      </w:r>
      <w:r>
        <w:rPr>
          <w:rFonts w:ascii="Times New Roman" w:hAnsi="Times New Roman"/>
          <w:color w:val="000000"/>
          <w:sz w:val="20"/>
        </w:rPr>
        <w:t xml:space="preserve">.” In addition, expansion into foreign markets will impose additional burdens on our executive and administrative personnel, finance and legal teams, sales and marketing teams, and general managerial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limited experience with international regulatory regimes and market practices, and we may not be able to penetrate or successfully generate sales in new markets. We may also encounter difficulty expanding into international markets because of limited brand recognition in certain parts of the world, leading to delayed acceptance of our products by potential customers in these international markets. In addition, international markets may have different reimbursement pathways that present additional challenges and make those markets less commercially viable. If we are unable to expand internationally and manage the complexity of international sales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attract and retain senior management and other key personnel, our business may be materially and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sales and marketing, and research and development personnel, including those with hardware expertise and software expertise, in particular in the area of AI. We are highly dependent upon our senior management team as well as our senior technology personnel. We have experienced, and may in the future experience, planned or unplanned departures of members of our senior management team or senior technology personnel. Any loss of services, whether planned or unplanned, of any of the members of our senior management team could adversely affect our business until a suitable replacement can be found.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Competition for qualified personnel in the medical device field in general and the EEG field specifically is intense, due to the limited number of individuals who possess the training, skills, and experience required by our industry. We intend to continue to review and, where necessary, strengthen our senior management as the needs of our business develop, including through internal promotion and external hires. However, there may be a limited number of people with the requisite competencies to serve in these positions, and we cannot assure you that we will be able to locate or employ such qualified personnel on terms acceptable to us or at all. We also face significant competition for personnel where our main office is located in the San Francisco Bay Area. To attract and maintain key personnel, we need to remain competitive in our “total rewards” offers to employees, including attractive cash compensation, equity, and benefits packages. While we regularly assess market trends for any changes in compensation across all functions, we need to remain diligent in our compensation benchmarking, especially for key personnel, to ensure we are providing attractive offers to new employees and compensating existing employees well. Therefore, the loss of one or more of our key personnel, whether planned or unplanned, or our failure to attract and retain additional key personnel, could have a material adverse effect on our business, financial condition, results of operations, and prospects. In addition, to the extent we hire personnel from competitors, we have been, and may in the future be, subject to allegations that they have been improperly solicited or that they have divulged proprietary or other confidential information, or that their former employers own their research output.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our culture, our business may be negatively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positive company culture is necessary to enable us to retain and hire key talent and have a cohesive, aligned employee base. Our ability to maintain this culture will directly affect the continued growth and success of our company. Our culture could face sustainability challenges as we continue to grow. Potential obstacles include reduced adoption of our culture by new employees, limited ability to maintain consistency of culture within business teams, and failure to attract and retain leaders who are mission-minded and support our culture.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unable to successfully develop new products and effectively manage their introduction or improve our existing products,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must successfully manage introductions of new or enhanced products or new or enhanced features of the Ceribell System and Clarity, including those related to any future indications in addition to seizure. Introductions of new products or features of the Ceribell System and Clarity could also adversely impact the sales of our existing products to customers. For instance, the introduction or announcement of a new or advanced Ceribell System could shorten the life cycle of our existing devices or reduce demand for them, potentially reducing any benefits of successful new product or enhancement introductions and leading to challenges in managing the inventory of existing products. In addition, new or enhanced products may have higher manufacturing, marketing, information technology, or other costs than our existing products, or lower market acceptance, which could negatively impact our gross margins and operating results. As the technological complexity of our products increases, the infrastructure to support our products, such as our design and manufacturing processes and technical support for our products, may also become more complex. Accordingly, if we fail to effectively manage introductions of new or advanced products, our business may be adversely affected.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spend significant amounts on marketing and brand-building initiatives to acquire and retain customers, which may not be successful or cost effective.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spend significant amounts in marketing initiatives to increase market awareness of the Ceribell System and the prevalence of seizures in critically ill patient populations. Through our marketing and educational efforts, we reinforce the prevalence and severity of non-convulsive status epilepticus, the importance of prompt diagnosis and treatment, and the limitations of conventional EEG systems in the acute care setting. We believe our marketing programs are essential to increasing adoption of our system and expanding the use of EEG monitoring to a greater number of at-risk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have developed robust marketing initiatives, we may fail to identify marketing opportunities that satisfy our anticipated return on marketing spend or accurately predict customer acquisition or product-related concerns. If any of our marketing efforts prove less successful than anticipated in attracting new or retaining existing customers, we may not be able to recover our marketing spend, and our rates of customer acquisition and/or customer retention may fail to meet market expectations, which could have a material adverse effect on our business, financial condition, results of operations, and prospects. Our marketing efforts may not result in increased sales of our products, and we may be unable to compete effectively in the long term.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believe that building a strong brand and developing and achieving broad awareness of the Ceribell System is critical to achieving market success. If any of our brand-building activities prove less successful than anticipated, or such activities are inhibited by the negative perceptions of healthcare professionals, including with respect to AI-enabled devices or reduced montage EEG in general, or the safety, reliability and efficacy of the Ceribell System, it could materially adversely impact our ability to attract new and retain existing customers and the rate of use of our products by existing customers. If this were to occur, we may not be able to recover our brand-building spend, and our rates of customer acquisition and retention and product usage may fail to meet market expectations, any of which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products are complex to design and manufacture and can contain defects. The production and sale of defective products could adversely affect our business, financial condition, results of operations, and prospects. If product liability lawsuits are brought against us, we may incur substantial liabilities and may be required to limit sales of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Ceribell System contains highly complex electronic components, which are sourced from external third parties, and there is an inherent risk that defects may occur in the production of any of our products. Although we rely on the suppliers’ internal procedures designed to minimize risks that may arise from quality issues, there can be no assurance that we or our suppliers will be able to eliminate or mitigate occurrences of these issues and associated liabilities. In addition to the risk of product returns by our customers due to product defects, we face exposure to product liability claims in the event that any of our devices are alleged to have resulted in personal injury, over- or under-reporting of seizures resulting in inappropriate diagnosis or treatment, damage to property, or otherwise to have caused harm. We may be sued if any of our devices allegedly causes injury or is found to be otherwise unsuitable during product testing, manufacturing, marketing, sale, or use. For example, Clarity is not designed to detect all short seizures, and users of the Ceribell System may allege the failure to detect all short seizures is a defect. Any such product liability claims may include allegations of defects in manufacturing, defects in design, a failure to warn of dangers or limitations inherent in the product, negligence, strict liability, and a breach of warranty. If we cannot successfully defend ourselves against product liability claims, we may incur substantial liabilities or be required to limit sales of our products. Even successful defense would require significant financial and management resources. Regardless of the merits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our current or future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customers and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investigations, product recalls, withdrawals or labeling, marketing or promotional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sell our current or any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obtain and maintain sufficient product liability insurance at an acceptable cost and scope of coverage to protect against potential product liability claims could prevent or inhibit the sale of our current or any future products we develop. Although we currently carry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The production and sale of defective products in the future could have a material adverse effect on our business, financial condition, results of operations, and prospects.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size and expected growth of our addressable market has not been established with precision, and may be smaller than we estimate.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the addressable market for our current products and any future products are based on a number of internal and third-party estimates and assumptions, including the prevalence of seizures in the acute care setting and additional indications we intend to expand into, and the level of underutilization of EEG in the acute care setting. While we believe our assumptions and the data underlying our estimates are reasonable, these assumptions and estimates may not be correct. As a result, our estimates of the addressable market for our current or future products may prove to be incorrect. If the actual number of patients who would benefit from our products and services, the price at which we can sell future products or services or the addressable market for our products or services is smaller than we estimate, it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Alternative technologies or therapies addressing seizure, non-convulsive status epilepticus or other indications we intend to expand into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medical research were to lead to the discovery of alternative therapies or technologies that address seizure, status epilepticus or other indications we intend to expand into in a way that is or is perceived to be more accurate, reliable, cost-effective, or otherwise improved relative to the Ceribell System, for example through alternative monitoring or testing technologies, medication, or therapies, the demand for our products could decrease significantly, leading to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in the future be deemed to manufacture or contract to manufacture products that contain conflict minerals.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be deemed to manufacture or contract to manufacture products that contain certain minerals that have been designated as “conflict minerals” under the Dodd-Frank Wall Street Reform and Consumer Protection Act. As a result, in future periods, we may be required to diligence the origin of such minerals and disclose and report whether or not such minerals originated in the Democratic Republic of the Congo or adjoining countries. The implementation of these new requirements could adversely affect the sourcing, availability, and pricing of materials used in the manufacture of our products. In addition, we may incur additional costs to comply with the disclosure requirements, including costs related to determining the source of any relevant minerals and metals used in our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continued rapid growth could strain our personnel resources and infrastructure, and if we are unable to manage the anticipated growth of our business, our business, financial condition, results of operations, and prospects could be materially adversely effected.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experienced rapid growth in business. Any growth that we experience in the future will pose challenges to our organization, requiring us to expand our sales personnel, manufacturing, and general and administrative infrastructure. In addition to the need to scale our operational capacity, future growth will impose significant added responsibilities on management, including the need to identify, recruit, train, and integrate additional employees. Rapid expansion in personnel could impact our capacity to manufacture, market, sell, and support our products, which could result in inefficiencies and unanticipated costs and disruptions to our operations. Additionally, rapid expansion could pose challenges to retaining our existing employees, for example, by requiring us to rely on overtime to increase capacity that could, in turn, result in greater employee attrition and/or a loss in productivity during the process of recruiting and training additional resources and add to our operating expenses. In addition, rapid and significant growth may strain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administrative and operational infrastructure, financial and management controls, and reporting systems and procedures. Our ability to manage our business and growth will depend on our ability to continue to improve our infrastructure, controls, systems, and procedures at a pace consistent with our growth. If we are unable to manage our growth effectively, it may be difficult for us to execute our business strategy and our business, financial condition, results of operations, and prospects may be materially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Macroeconomic conditions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and monetary and financial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Hospitals, in particular, are experiencing and may continue to experience financial and operational pressures as a result of staffing shortages, the supply chain environment, and high inflation, which could impact their ability to access capital markets and other funding sources, increase the cost of funding, or impede their ability to comply with debt covenants, all of which could impede their ability to provide patient care and impact their profitability. To the extent that hospitals face financial pressures, delayed access, or loss of access to uninsured deposits, reductions in government spending or higher interest rates, hospitals’ ability or willingness to spend on equipment may be adversely impacted, all of which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we have experienced, and may continue to experience, supply chain constraints, including difficulties obtaining a sufficient supply or increased prices of component materials used in our products. Increased interest rates may make access to credit more difficult, which may result in the insolvency of key suppliers, which would exacerbate supply chain challenges. Such supply chain constraints could cause us to fail to meet product demand or maintain our margins.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 Related to Regulatory Matters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adequate reimbursement becomes unavailable for the diagnostic tests using our products, it could diminish our sales or affect our ability to sell the Ceribell System profitably.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performed with the Ceribell System are generally reimbursed under existing physician and hospital codes. Our ability to increase sales of the Ceribell System depends, in significant part, on the availability of adequate coverage and reimbursement from third-party payers, including governmental payers (such as the Medicare and Medicaid programs in the United States), managed care organizations, and private health insurers. Third-party payers decide which diagnostic tests they will cover and establish reimbursement rates for those tests. We do not bill any third-party payers for the Ceribell System. Instead, we invoice healthcare providers and the cost is bundled into the reimbursement received by healthcare providers for the tests using the Ceribell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the Ceribell System will continue to be purchased by hospitals who will then seek reimbursement from third-party payers. Reimbursement for the hospital services during an inpatient stay generally is made under a prospective payment system that is determined by a classification system known as diagnosis-related groups, which are assigned using a number of factors including the principal diagnosis, major procedures, discharged status, patient age, and complicating secondary diagnoses, among other things. In August 2023, CMS approved an NTAP under the Medicare inpatient prospective payment system for our newest Clarity algorithm, effective October 1, 2023. The NTAP designation for a product lasts for no more than three years for a specific indication. Once our new Clarity algorithm is no longer eligible for NTAP, the additional cost associated with the use of our products could affect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customers’ profit margin. In light of the potential additional associated cost, some of our target customers may be unwilling to adopt our products and some of our existing customers may terminate their contracts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third-party payers currently cover and provide reimbursement for tests using the Ceribell System, we can give no assurance that these third-party payers will continue to provide coverage and adequate reimbursement, or that current reimbursement levels for the tests will continue. Third-party payers, whether foreign or domestic, or governmental or commercial, are developing increasingly sophisticated methods of controlling healthcare costs. In addition, no uniform policy of coverage and reimbursement for tests using our products exists among third-party payers. Therefore, coverage and reimbursement for tests using our products can differ significantly from payer to payer. Other competitive products may be more widely covered or subject to different reimbursement policies and requirements, which could impact demand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overall amount of reimbursement available for EEG monitoring and seizure diagnosis could decrease in the future. We cannot be sure that the reimbursement amounts available for hospital services and tests using the Ceribell System will not reduce or otherwise negatively impact the demand for our products. Further, coverage policies and third-party reimbursement rates may change at any time. Even if favorable coverage and reimbursement status is attained, less favorable coverage policies and reimbursement rates may be implemented in the future. Failure by users of the Ceribell System to obtain adequate reimbursement for these tests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continued commercialization of our products depends in part on the extent to which governmental authorities and health insurers provide coverage and adequate reimbursement levels. Failure to obtain and maintain coverage and adequate reimbursement for our products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third-party payers generally currently cover and provide reimbursement for diagnostic tests using the Ceribell System, there is significant uncertainty related to the insurance coverage and reimbursement of newly approved and launched products. In the United States, third-party payers, including private and governmental payers, such as the Medicare and Medicaid programs, play an important role in determining the extent to which new devices will be covered. The Medicare and Medicaid programs increasingly are used as models in the United States for how private payers and other governmental payers develop their coverage and reimbursement policies for medical devices. Some third-party payers may require pre-approval of coverage for new or innovative devices before they will reimburse healthcare providers who use such devices.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customers that use our products may be </w:t>
      </w:r>
      <w:r>
        <w:rPr>
          <w:rFonts w:ascii="Times New Roman" w:hAnsi="Times New Roman"/>
          <w:color w:val="231F20"/>
          <w:sz w:val="20"/>
        </w:rPr>
        <w:t>subject to reimbursement claim denials upon submission of their claims. Customers may also be subject to recovery of overpayments if a payer makes payment for the claim and subsequently determines that the payer’s coding, billing, or coverage policies were not followed. These events, or any other decline in the amount payers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Obtaining coverage and reimbursement can be a time-consuming process that could require us to provide supporting scientific, clinical, and cost-effectiveness data for the use of our products. We may not be able to provide data sufficient to satisfy governmental and other third-party payers that diagnostic tests using our products should be covered and reimbursed. In addition, payers continually review new and existing technologies for possible coverage and can, without notice, deny or reverse coverage for new or existing products and tests. There can also be no assurance that third-party payer policies will provide coverage for tests using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believe that future coverage and reimbursement may be subject to increased restrictions, such as additional prior authorization requirements, both in the United States and in international markets, which may impact utilization of our products and have a material adverse effect on our business, financial condition, results of operations, and prospects. In Europe, reimbursement is entirely regulated at member state level, varies significantly between countries, and member states are facing increased pressure to limit public healthcare spending. Third-party coverage and reimbursement for our products or any of our products in development for which we may receive regulatory clearance, certification, or approval may not be available or adequate in either the United States or international markets. If demand for our products is adversely affected by third-party reimbursement policies and decisions, it could have a material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federal and state fraud and abuse laws and transparency laws, and any failure to comply could subject us to substantial penalties or other adverse consequences. In addition, any challenge to or investigation into our practices under these laws could cause adverse publicity and be costly to respond to, and thus could harm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There are numerous U.S. federal and state laws pertaining to healthcare fraud and abuse, including anti-kickback, false claims, and transparency laws regarding payments and other transfers of value made to physicians and other healthcare professionals. Our business practices and </w:t>
      </w:r>
      <w:r>
        <w:rPr>
          <w:rFonts w:ascii="Times New Roman" w:hAnsi="Times New Roman"/>
          <w:color w:val="231F20"/>
          <w:sz w:val="20"/>
        </w:rPr>
        <w:t>relationships with providers are subject to scrutiny under these laws. The healthcare laws and regulations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The U.S. government has interpreted this law broadly to apply to the marketing and sales activities of medical device manufacturers. In addition,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certain marketing practices that, for example, induce providers to upcode to a higher reimbursement service or site of service, may also violate false claims laws.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Health Insurance Portability and Accountability Act of 1996, as amended by the Health Information Technology for Economic and Clinical Health Act of 2009, and regulations implemented thereunder (collectively, “HIPAA”), which, in addition to privacy protections applicable to healthcare providers and other entities, prohibits,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and to report annually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federal consumer protection and unfair competition laws, which broadly regulate marketplace activities and activities that potentially harm customers;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These laws and regulations, among other things, constrain our business, marketing and other promotional and research activities by limiting the kinds of financial arrangements, including sales programs, we may have with hospitals, physicians, or other potential purchasers of our products. In particular, these </w:t>
      </w:r>
      <w:r>
        <w:rPr>
          <w:rFonts w:ascii="Times New Roman" w:hAnsi="Times New Roman"/>
          <w:color w:val="231F20"/>
          <w:sz w:val="20"/>
        </w:rPr>
        <w:t xml:space="preserve">laws and regulations may restrict or prohibit a wide range of pricing, discounting, marketing and promotion, sales commission, customer incentive programs, and other business arrangements, as well as interactions with healthcare professionals through consultant arrangements, product training, sponsorships, or other activities. </w:t>
      </w:r>
      <w:r>
        <w:rPr>
          <w:rFonts w:ascii="Times New Roman" w:hAnsi="Times New Roman"/>
          <w:color w:val="000000"/>
          <w:sz w:val="20"/>
        </w:rPr>
        <w:t xml:space="preserve">Efforts to ensure that our business arrangements with third parties will comply with applicable healthcare and other laws and regulations will involve substantial costs. It is possible that governmental authorities will conclude that our business practices, including arrangements with teleneurology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providers and customers for the provision of remote EEG interpretation services or agreements we have entered into with physicians who are paid, in part, in the form of stock or stock options, do not comply with current or future statutes, regulations, agency guidance, or case law involving applicable fraud and abuse or other healthcare laws and regulations. Due to the breadth of these laws, the narrowness of statutory exceptions and regulatory safe harbors available, and the range of interpretations to which they are subject, governmental authorities may possibly conclude that our business practices may not comply with healthcare laws and regulations.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We may be subject to private qui tam actions brought by individual whistleblowers on behalf of the federal or state governments, with potential liability under the federal False Claims Act including mandatory treble damages and significant per-claim penalties. </w:t>
      </w:r>
      <w:r>
        <w:rPr>
          <w:rFonts w:ascii="Times New Roman" w:hAnsi="Times New Roman"/>
          <w:color w:val="231F20"/>
          <w:sz w:val="20"/>
        </w:rPr>
        <w:t>In addition, as a result of these investigations and qui tam actions, we may have to agree to additional compliance and reporting requirements as part of a consent decree or corporate integrity agreement. Any such investigation or settlement could increase our costs or otherwise have a material adverse effect on our business, financial condition, results of operations, and prospects. Even an unsuccessful challenge or investigation into our practices could cause adverse publicity and be costly to respond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federal and state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oversight if we become subject to a consent decree or corporate integrity agreement, or disgorgement, and we could be required to curtail, restructure or cease our operations. Any of the foregoing consequences will have an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consultants and other commercial partners may engage in misconduct or other improper activities, including non-compliance with regulatory standards and requirements.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exposed to the risk that our employees, consultants, and other commercial partners and business associates may engage in fraudulent or illegal activity. Misconduct by these parties could include intentional, reckless, or negligent conduct or other unauthorized activities that violate the regulations of the FDA and other regulators (both domestic and foreign), 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information or data. In particular, sales, marketing, and business arrangements in the healthcare </w:t>
      </w:r>
      <w:r>
        <w:rPr>
          <w:rFonts w:ascii="Times New Roman" w:hAnsi="Times New Roman"/>
          <w:color w:val="231F20"/>
          <w:sz w:val="20"/>
        </w:rPr>
        <w:t xml:space="preserve">industry, including the sale of medical devices, are subject to extensive laws and regulations intended to prevent fraud, misconduct, kickbacks, self-dealing, and other abusive practices.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w:t>
      </w:r>
      <w:r>
        <w:rPr>
          <w:rFonts w:ascii="Times New Roman" w:hAnsi="Times New Roman"/>
          <w:color w:val="000000"/>
          <w:sz w:val="20"/>
        </w:rPr>
        <w:t xml:space="preserve">oversight if we become subject to a consent decree or corporate integrity agreement, </w:t>
      </w:r>
      <w:r>
        <w:rPr>
          <w:rFonts w:ascii="Times New Roman" w:hAnsi="Times New Roman"/>
          <w:color w:val="231F20"/>
          <w:sz w:val="20"/>
        </w:rPr>
        <w:t>and curtailment of operations, any of which could adversely affect our business, financial condition, results of operations, and prospects.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policy changes, including recently enacted legislation reforming the U.S. healthcare system,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and regulatory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diagnostic tests associated with the use of our products. The cost containment measures that payers and providers are instituting and the effect of any healthcare reform initiative implemented in the future could impact our revenue from the sale of our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way of example, in the United States, the Affordable Care Act (the “ACA”) made a number of substantial changes in the way healthcare is financed by both governmental and private insurers. Among other ways in which it may affect our business, the ACA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 There have been executive, judicial, and Congressional challenges to certain aspects of the ACA. On June 17, 2021, the U.S. Supreme Court dismissed the most recent challenge on procedural grounds that argued the ACA is unconstitutional in its entirety because the “individual mandate” was repealed by Congress.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unless additional Congressional action is taken. In addition, the American Taxpayer Relief Act of 2012, among other things, further reduced Medicare payments to several providers, including hospitals, and increased the statute of limitations period for the government to recover overpayments to providers from three to five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the effect of any future legislation or regulation in the United States may negatively affect our business, financial condition, results of operations, and prospects. The continuing efforts of the government, insurance companies, managed care organizations, and other payers of healthcare services to contain or reduce costs of healthcare may adversely affect our ability to set a price that we believe is fair for our products, our ability to generate revenue and achieve or maintain profitability, and the availability of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changes of, or uncertainty with respect to, future coverage or reimbursement rates could affect demand for our products,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relationships with contracted physicians to provide remote EEG interpretation services to certain customers must be structured in compliance with state laws prohibiting the corporate practice of medicine or fee splitting and could be found to violate such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physicians providing remote EEG interpretation services to certain customers may implicate certain state laws that generally prohibit non-professional entities from providing licensed medical services or exercising control over licensed physicians or other healthcare professionals (such activities generally referred to as the “corporate practice of medicine”) or engaging in certain practices such as fee-splitting with such licensed professionals. The interpretation and enforcement of these laws vary significantly from state to state. There can be no assurance that these laws will be interpreted in a manner consistent with our practices or that other laws or regulations will not be enacted in the future that could have a material adverse effect on our business, financial condition, results of operations, and prospects. Regulatory authorities, state boards of medicine, state attorneys general, and other parties may assert that, despite the agreements through which we operate, we are nonetheless engaged in the provision of medical services and/or that our arrangements with the physicians constitute the unlawful practice of medicine and/or fee-splitting. If a jurisdiction’s prohibition on the corporate practice of medicine or fee-splitting is interpreted in a manner that is inconsistent with our practices, we would be required to restructure or terminate our arrangements with our employed and contracted physicians to bring our activities into compliance with such laws. A determination of non-compliance, or the termination of or failure to successfully restructure these relationships, could result in disciplinary action, penalties, damages, fines, and/or a loss of revenue, any of which could have a material adverse effect on our business, financial condition, results of operations, and prospects. State corporate practice and fee-splitting prohibitions also often impose penalties on healthcare professionals for aiding in the improper rendering of professional services, which could discourage physicians from providing reading services to our customers with whom we contract.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United States, and our failure to comply with applicable requirements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classification, and approval or certification; recordkeeping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contract manufacturers will be found compliant in connection with any future FDA or foreign inspections. Failure to comply with applicable regulations could jeopardize our ability to sell our products and result in enforcement actions such as: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Failure to maintain marketing authorizations for our products, or to timely obtain necessary marketing authorizations for our future products, may have a material adverse effect on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the United States, before we can market a new medical device, or a new use of, or other significant modification to an existing, marketed medical device, we must first receive either clearance under Section 510(k) of the Federal Food, Drug and Cosmetic Act (the “FDCA”), approval of a premarket approval application (“PMA”), or grant of a </w:t>
      </w:r>
      <w:r>
        <w:rPr>
          <w:rFonts w:ascii="Times New Roman" w:hAnsi="Times New Roman"/>
          <w:i/>
          <w:color w:val="000000"/>
          <w:sz w:val="20"/>
        </w:rPr>
        <w:t xml:space="preserve">de novo </w:t>
      </w:r>
      <w:r>
        <w:rPr>
          <w:rFonts w:ascii="Times New Roman" w:hAnsi="Times New Roman"/>
          <w:color w:val="000000"/>
          <w:sz w:val="20"/>
        </w:rPr>
        <w:t xml:space="preserve">classification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In the </w:t>
      </w:r>
      <w:r>
        <w:rPr>
          <w:rFonts w:ascii="Times New Roman" w:hAnsi="Times New Roman"/>
          <w:i/>
          <w:color w:val="000000"/>
          <w:sz w:val="20"/>
        </w:rPr>
        <w:t xml:space="preserve">de novo </w:t>
      </w:r>
      <w:r>
        <w:rPr>
          <w:rFonts w:ascii="Times New Roman" w:hAnsi="Times New Roman"/>
          <w:color w:val="000000"/>
          <w:sz w:val="20"/>
        </w:rPr>
        <w:t xml:space="preserve">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w:t>
      </w:r>
      <w:r>
        <w:rPr>
          <w:rFonts w:ascii="Times New Roman" w:hAnsi="Times New Roman"/>
          <w:i/>
          <w:color w:val="000000"/>
          <w:sz w:val="20"/>
        </w:rPr>
        <w:t xml:space="preserve">de novo </w:t>
      </w:r>
      <w:r>
        <w:rPr>
          <w:rFonts w:ascii="Times New Roman" w:hAnsi="Times New Roman"/>
          <w:color w:val="000000"/>
          <w:sz w:val="20"/>
        </w:rPr>
        <w:t>classification request, the applicant will receive authorization to market the device. This device type may be used subsequently as a predicate device for future 510(k) submissions.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PMA approval, 510(k) clearance and </w:t>
      </w:r>
      <w:r>
        <w:rPr>
          <w:rFonts w:ascii="Times New Roman" w:hAnsi="Times New Roman"/>
          <w:i/>
          <w:color w:val="000000"/>
          <w:sz w:val="20"/>
        </w:rPr>
        <w:t xml:space="preserve">de novo </w:t>
      </w:r>
      <w:r>
        <w:rPr>
          <w:rFonts w:ascii="Times New Roman" w:hAnsi="Times New Roman"/>
          <w:color w:val="000000"/>
          <w:sz w:val="20"/>
        </w:rPr>
        <w:t xml:space="preserve">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w:t>
      </w:r>
      <w:r>
        <w:rPr>
          <w:rFonts w:ascii="Times New Roman" w:hAnsi="Times New Roman"/>
          <w:i/>
          <w:color w:val="000000"/>
          <w:sz w:val="20"/>
        </w:rPr>
        <w:t xml:space="preserve">de novo </w:t>
      </w:r>
      <w:r>
        <w:rPr>
          <w:rFonts w:ascii="Times New Roman" w:hAnsi="Times New Roman"/>
          <w:color w:val="000000"/>
          <w:sz w:val="20"/>
        </w:rPr>
        <w:t>request. Despite the time, effort and cost, a device may not obtain marketing authorization by the FDA. We have obtained 510(k) clearances for our commercialized medical devices, and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the United States, any modification to a medical device for which we have obtained marketing authorization may require us to submit a new 510(k) premarket notification and obtain clearance, to submit a PMA and obtain FDA approval, or to submit a </w:t>
      </w:r>
      <w:r>
        <w:rPr>
          <w:rFonts w:ascii="Times New Roman" w:hAnsi="Times New Roman"/>
          <w:i/>
          <w:color w:val="000000"/>
          <w:sz w:val="20"/>
        </w:rPr>
        <w:t xml:space="preserve">de novo </w:t>
      </w:r>
      <w:r>
        <w:rPr>
          <w:rFonts w:ascii="Times New Roman" w:hAnsi="Times New Roman"/>
          <w:color w:val="000000"/>
          <w:sz w:val="20"/>
        </w:rPr>
        <w:t xml:space="preserve">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We may make modifications or add additional features in the future to our medical devices that we believe do not require a new 510(k) clearance, </w:t>
      </w:r>
      <w:r>
        <w:rPr>
          <w:rFonts w:ascii="Times New Roman" w:hAnsi="Times New Roman"/>
          <w:i/>
          <w:color w:val="000000"/>
          <w:sz w:val="20"/>
        </w:rPr>
        <w:t xml:space="preserve">de novo </w:t>
      </w:r>
      <w:r>
        <w:rPr>
          <w:rFonts w:ascii="Times New Roman" w:hAnsi="Times New Roman"/>
          <w:color w:val="000000"/>
          <w:sz w:val="20"/>
        </w:rPr>
        <w:t>request, or approval of a PMA. If the FDA disagrees with our determination and requires us to seek new marketing authorizations for the modifications for which we have concluded that new marketing authorizations are unnecessary, we may be required to cease marketing 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can delay, limit or deny marketing authorization of a device for many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to the satisfaction of the FDA that our products are substantially equivalent to a predicate device or are safe and effective for their intended uses;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disagreement of the FDA with the design or implementation of our clinical trials or the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data from our preclinical studies and clinical trials may be insufficient to support clearance,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 or approval, where required;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manufacturing process or facilities we use may not meet applicable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marketing authorization regulations of the FDA to change significantly in a manner rendering our clinical data or regulatory filings insufficient for marketing authorization.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September 2022, we received Breakthrough Device Designation from the FDA for the detection and monitoring of delirium using our Ceribell System. Breakthrough Device Designation provides certain benefits, including more interactive and timely communications with FDA staff, potential use of post-market data collection to facilitate expedited development and review, opportunities for more efficient and flexible clinical study design, and prioritized review of premarket submissions. However, there can be no guarantee that these benefits will materialize or significantly impact our development and regulatory approval process. We may not experience a faster development process, review, or approval compared to conventional FDA procedures. Breakthrough Device Designation does not alter the regulatory standards for marketing authorization or guarantee that we will ultimately obtain FDA clearance or approval for the detection and monitoring of delirium using our Ceribell System. Furthermore, the FDA may rescind Breakthrough Device Designation if it believes that the designation is no longer supported by data from our clinical development program. As with all FDA marketing authorizations, we will need to continue to comply with applicable regulations and standards, which may change over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successfully apply for marketing authorization for future products, there is no guarantee that we will obtain the marketing authorizations within the expected timeline, or at all. Staff reductions in the FDA office charged with regulating devices may cause delay.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clinical testing process is complex, lengthy, can be expensive, and carries uncertain outcomes. Future trials and studies by us or others may fail to replicate positive results observed to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conduct our own clinical studies and provide support for third party–initiated trials that evaluate different aspects of the Ceribell System. Clinical testing is difficult to design and implement, can take many years, can be expensive, and carries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The data and results from our clinical studies do not ensure that we will achieve similar results in future clinical trials, are not head to head studies and not directly comparable with each other, as they have different sample sizes, designs, limitations, assumptions, and objectives, and are conducted on different patient populations at different sites by different researchers. In addition, as some of these studies are prospective studies, they may not reflect real-world performance. Some of our studies have not been peer reviewed or published, and peer reviewers may disagree with the methodologies or conclusions of such studies and may not deem them worthy of publication.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or have viewed such data in different ways than regulators. The risk that future trials and studies of the Ceribell System fail to replicate positive results observed to date is increased because most of our studies and trials are conducted on small samples, not powered for statistical significance, controlled for other clinical variables, or have other design limitations and almost all such studies were conducted or sponsored by us. Independent studies with larger samples or different designs may not replicate results observed to date. In addition, the performance of the Clarity algorithm is typically evaluated by comparing the algorithm results to a retrospective review of the EEG by a panel of neurologists. There is a high degree of inter-rater variability in the interpretation of EEGs by clinicians, such that Ceribell System study results may vary from study to study depending on the size and composition of the neurologist panel. Clinical studies or investigations on the Ceribell System have produced, and may in the future produce, negative or inconclusive results. Furthermore, others, including healthcare professionals and regulators, may perceive a conflict of interest with studies supported, sponsored, or funded by us or conducted by our employees or consultants, and may not find results of such studies to be compelling or credible. As a result of the foregoing, we may decide, or regulators may require us, to conduct additional clinical and nonclinical testing in addition to those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planned. The initiation and completion of clinical studies may be prevented, delayed, or halted for numerous reasons. We may experience delays in our clinical trials for a number of reasons, which could adversely affect the costs, timing, or successful completion of our clinical trials, including related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disagree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and/or institutional review boards (“IRBs”), or other bodies may not authorize us or our investigators to commence a clinical trial, or to conduct or continue a clinical trial at a prospective or specific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reach agreement on acceptable terms with third-party researchers, clinical trial sites, or prospective contract research organizations (“CROs”), the terms of which can be subject to extensive negotiation and may vary significantly among different researchers, trial sites, and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have to suspend or terminate clinical trials for various reasons, including occurrence of adverse events or other findings that the subjects in our clinical trials are being exposed to unacceptable health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bodies and/or regulatory authorities for re-examination;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other bodies, or other parties may require or recommend that we or our investigators suspend or terminate clinical research for various reasons, including safety signals or noncompliance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may be greater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sites may not adhere to the clinical protocol or may drop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or other bodies may fail to approve or subsequently find fault with our manufacturing processes or facilities of third-party manufacturers with which we enter into agreements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authorization or regulations of FDA may change in a manner rendering our clinical data insufficient for marketing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submit an investigational device exemption (“IDE”) application to the FDA, which must become effective prior to commencing certain human clinical trials of medical devices, and the FDA may reject our IDE application and notify us that we may not begin clinical trials, or place restrictions on the conduct of such trials; similar requirements may apply in foreign jurisdictions;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significantly harm our business, financial condition, results of operations, and prospects. In addition, many of the factors that cause, or lead to, a delay in the commencement or completion of clinical trials may also ultimately lead to the denial of marketing authorization of any medical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 enrollment in clinical trials, and completion of patient follow-up, if applicable, depend on many factors, including the size of the patient population, the nature of the trial protocol, the eligibility criteria for the clinical trial, competing clinical trials, and clinicians’ and patients’ perceptions as to the potential advantages of the product being studied. Patients participating in our clinical trials may drop out before completion of the trial or experience adverse medical events unrelated to an investigational device.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Clinical trials must be conducted in accordance with the laws and regulations of the FDA and other applicable regulatory authorities’ legal requirements, regulations, or guidelines, and are subject to oversight by these governmental agencies and IRBs, or other bodies at the medical institutions where the clinical trials are conducted. In addition, clinical trials must be conducted with supplies of our devices produced under current good manufacturing practice (“cGMP”) or similar foreign requirements, and other regulations applicable to the location where the clinical trial is conducted. We rely on third-party researchers and clinical trial sites, and may in the future rely on CROs, to ensure the proper and timely conduct of our clinical trials, and while we have agreements governing their committed activities, we have limited influence over their actual performance. We depend on these third parties to conduct our clinical trials in compliance with good clinical practice (“GCP”), requirements. To the extent they fail to enroll participants for our clinical trials, fail to conduct the study to GCP standards or are delayed for a significant time in the execution of trials, including achieving full enrollment, we may be affected by increased costs, trial delays or both. In addition, if we conduct clinical trials in other countries in the future, we may be subject to further delays and expenses as a result of increased shipment costs and additional regulatory requirements, and the engagement of non-U.S. third-party contractors may expose us to risks associated with clinical investigators who are unknown to the FDA, and different standards of diagnosis, screening, and medical care. See the risk factor titled, “</w:t>
      </w:r>
      <w:r>
        <w:rPr>
          <w:rFonts w:ascii="Times New Roman" w:hAnsi="Times New Roman"/>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trial or additional data collected at a later time.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interim, top-line, or preliminary data we previously announced. As a result, interim,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our share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or other bodies, may not accept or agree with our assumptions, estimates, calculations, conclusions, or analyses or may interpret or weigh the importance of data differently, which could impact the value of the particular trial, or the approvability or potential for commercialization of the particular medical device.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The interim, top-line, or preliminary data that we report may differ from final results, and regulatory authorities and other bodies may disagree with the conclusions reached, which may harm our ability to obtain marketing authorization for, and commercialize, our future products, which could harm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ongoing and extensive regulatory requirements governing, among other things, the manufacture, marketing, advertising, medical device reporting, sale, promotion, import, export, registration, and listing of devices. For example, medical device 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changes could result in restrictions on our ability to continue or expand our operations, higher than anticipated costs, or lower than anticipated sales. 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any of the following or other sanctions: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untitled letters or warning letters;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injunctions, consent decrees, and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recalls, termination of distribution, administrative detention, or seizure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notifications or repair, replacement, or refunds;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delays in or refusal to grant our requests for future clearances,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classifications or approvals, or comparable foreign marketing authorizations of new products, new intended uses, or modifications to existing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withdrawals or suspensions of any granted marketing authorizations, resulting in prohibitions on sales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sanctions could result in negative publicity, higher than anticipated costs or lower than anticipated sales and have a material adverse effect on our reputation,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FDA may change its marketing authorization policies affecting future products,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we have obtained. See the risk factor titled, “</w:t>
      </w:r>
      <w:r>
        <w:rPr>
          <w:rFonts w:ascii="Times New Roman" w:hAnsi="Times New Roman"/>
          <w:i/>
          <w:color w:val="000000"/>
          <w:sz w:val="20"/>
        </w:rPr>
        <w:t>Legislative or regulatory reforms in the United States may make it more difficult and costly for us to manufacture, market, or distribute our products, or to obtain marketing authorizations for any future products.</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must be manufactured in accordance with applicable laws and regulations, and we could be forced to recall our devices or terminate production if we fail to comply with these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the methods used in, and the facilities used for, the manufacture of medical devices must comply with the FDA’s cGMPs for medical devices, known as the Quality System Regulation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governing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seizures or recalls of our products; total or 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If any of these events occurs, our reputation could be harmed, we could be exposed to product liability claims and we could lose customers and experience reduced sales and increased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may cause or contribute to adverse medical events which we may be required to report to the FDA, and if we fail to do so, we would be subject to sanctions that could harm our reputation, business, financial condition, results of operations, and prospects. In addition, the discovery of serious safety issues with our products, or a recall of our products either voluntarily or at the direction of the FDA, could have a negative impact on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possible that there may be side effects and adverse events associated with the use of our medical devices or any future devices we develop. For example, the Ceribell System has in certain instances issued false alarms, i.e., report seizure activity when there is no seizure, and in other instances has failed to report or under-reported seizure activity when there is seizure, and may continue to do so, all of which may lead to patients being misdiagnosed, receiving unnecessary medical procedures or treatments, or experiencing delays in receiving necessary medical procedures or treatments. Additionally, the headband used as part of the Ceribell System may cause skin irritation to patients or break down sooner than expected. Use of the Ceribell System, including both the headband and EEG recorder, may present infection control hazards to both patients and healthcare staff. The EEG recorder may also present additional hazards to patients and healthcare staff, including mechanical hazards, electrical hazards, and thermal hazards relating to the device’s integrated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lithium-ion battery. Failure of the EEG recorder to transmit data to our portal due to software or hardware problems, incorrect setup or configuration, network incompatibility, or user error may lead to patients experiencing delays in receiving necessary medical procedures or treatments.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event as well as the nature of the event. We may fail to report events of which we become aware within the prescribed timeframe. We may also fail to recognize that we have become aware of a reportable event, especially if it is not reported to us as an adverse event or if it is an adverse event that is unexpected or removed in time from the use of the product. The FDA may also disagree with our determinations that an event was not reportable. To date, we have not filed any medical device reports with the FDA.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corrective action we take to redress a product’s deficiencies or defects, the FDA may require,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products, and any marketing authorization we may receive for future products, are, and will be, limited to specified indications for use. Our sales and marketing personnel, as well as our direct sales force, are trained to not promote our devices for uses outside of the FDA-authorized indications for use, known as “off-label uses.” We cannot, however, prevent a healthcare professional from using our devices off-label, when in the healthcare professional’s independent professional judgment he or she deems it appropriate. There may be increased risk of injury to patients if healthcare professionals attempt to use our devices off-label, which could harm our reputation in the marketplace among healthcare professionals and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or state enforcement authorities might take action under other regulatory authority, such as false advertising and consumer protection laws, or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healthcare professionals may misuse our products or use improper techniques if they are not adequately trained, potentially leading to injury and an increased risk of product liability. For example, healthcare professionals may misuse our single use, disposable headbands by using them on more than one patient.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 covered by insurance, all of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Legislative or regulatory reforms in the United States may make it more difficult and costly for us to manufacture, market, or distribute our products, or to obtain marketing authorizations for any future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regulation of medical devices. In addition, the FDA may change its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For example, on January 31, 2024, the FDA issued a final rule to amend the QSR, which establishes current good manufacturing practice requirements for medical device manufacturers, to align more closely with the International Organization for Standardization standards. This new final rule, referred to as the Quality Management System Regulation, will take effect on February 2, 2026. Accordingly, it is unclear the extent to which any other legislative or regulatory proposal, if adopted, could impose additional or different regulatory requirements on us that could increase the costs of compliance or otherwise create competition that may negatively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risks related to obtaining necessary foreign regulatory clearance or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enter into international markets in the future. Upon our expansion into foreign markets, we will be subject to foreign regulatory requirements that we have limited experience with and vary widely from country to country and from the United States. The time required to obtain clearances or approvals required by other countries may be longer than that required for FDA clearance or approval, and requirements for such approvals may differ from FDA requirements. We may be unable to obtain regulatory approvals and may also incur significant costs in attempting to obtain foreign regulatory approvals. If we experience delays in receipt of approvals to market our products in new jurisdictions, or if we fail to receive these approvals, we may be unable to market our products in international markets in a timely manner, if at all, which could materially impact our international expansion and adversely affect our business as a whole. If any of these risks were to materialize, they could limit our expected international growth and profitability,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Failure to comply with the Foreign Corrupt Practices Act (the “FCPA”), economic and trade sanctions regulations, and similar laws could subject us to penalties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the FCPA and other laws in the United States and elsewhere that prohibit improper payments or offers of payments to foreign governments and their officials and political parties for the purpose of obtaining or retaining business. Certain suppliers and manufacturers of our devices and components of our devices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For example, in December 2021, the U.S. Congress enacted the Uyghur Forced Labor Prevention Act in an effort to prevent what it views as forced labor and human rights abuses in the XUAR. If it is determined that our third-party suppliers and manufacturers produce or manufacture our components or products wholly or in part from the XUAR, then we could be prohibited from importing such components or products into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Various factors outside our direct control may negatively impact our manufacturing of the Ceribell System, which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the Ceribell System at our manufacturing facilities in Sunnyvale, California, using headbands supplied by third-party manufacturers located in China and components for our recorder procured from various suppliers and shipped to our facility for final assembly. While we believe that we currently have adequate manufacturing capacity and supplies for our products sufficient to meet our demand forecasts, if demand for the Ceribell System increases more rapidly than we anticipate, if we encounter problems with one or more of our manufacturers, including as a result of trade restrictions related to China, or if we secure regulatory approval to commercialize our products in additional geographies or indications, we may need to either expand our manufacturing capabilities, qualify new suppliers, or outsource to other manufacturers.</w:t>
      </w:r>
    </w:p>
    <w:p>
      <w:pPr>
        <w:pStyle w:val="TextBody"/>
        <w:bidi w:val="0"/>
        <w:spacing w:before="240" w:after="283"/>
        <w:jc w:val="both"/>
        <w:rPr>
          <w:rFonts w:ascii="Times New Roman" w:hAnsi="Times New Roman"/>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The methods used in, and the facilities used for, the manufacture of medical devices sold in the United States must comply with the QSR. See the risk factor titled, “</w:t>
      </w:r>
      <w:r>
        <w:rPr>
          <w:rFonts w:ascii="Times New Roman" w:hAnsi="Times New Roman"/>
          <w:i/>
          <w:color w:val="000000"/>
          <w:sz w:val="20"/>
        </w:rPr>
        <w:t>Our products must be manufactured in accordance with applicable laws and regulations, and we could be forced to recall our devices or terminate production if we fail to comply with these regulations.</w:t>
      </w:r>
      <w:r>
        <w:rPr>
          <w:rFonts w:ascii="Times New Roman" w:hAnsi="Times New Roman"/>
          <w:color w:val="000000"/>
          <w:sz w:val="20"/>
        </w:rPr>
        <w:t xml:space="preserve">”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 to the extent applicable. If we fail to manufacture our products in compliance with the QSR, or if our or our third-party suppliers’ manufacturing facilities suffer disruptions, supply chain issues, machine failures, slowdowns, or disrepair, we may not be able to fulfill customer demand and our business would be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contamination of the controlled environment, equipment malfunction, supply issues, natural disasters (including wildfires or earthquakes, to which our manufacturing facility in Sunnyvale, California may be especially susceptible), public health emergencies, personnel issues, including human error, or failure to strictly follow procedures can significantly reduce our yield. A drop in yield can increase our cost to manufacture our products or, in more severe cases, require us to halt the manufacture of our products until the problem is resolved. Identifying and resolving the cause of a drop in yield can require substantial time and resources. In addition, if demand for our products shifts such that our manufacturing facilities are operated below our forecasts for an extended period, we may adjust our manufacturing operations to reduce fixed costs, which could lead to uncertainty and delays in manufacturing times and quality during any transition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manufacturing and distribution of our products are technically challenging. Changes that our suppliers may make, or additional requirements from regulatory agencies, outside of our direct control can have an impact on our processes, on quality and on the successful or timely delivery of our products to our customers. Mistakes and mishandling may occur, which can affect supply and delivery. As a result, our dependence on third-party, including single-source suppliers, subjects us to a number of risks that could impact our ability to manufacture our products and harm our business, financial condition,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 of supply resulting from modifications to, or discontinuation of, a supplier’s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product shipments resulting from uncorrected defects, reliability issues, or a supplier’s failure to produce components that consistently meet our quality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analytical results or failure of analytical techniques that we depend on for quality control and release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fluctuations due to a lack of long-term supply arrangements with our suppliers for key component or other supply chain constraints;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adequate supply in a timely manner or on commercially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identifying and qualifying alternative suppliers for components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suppliers to comply with applicable provisions of the QSR or other applicable laws or regulations enforced by the FDA and other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regulatory approvals of any changes to manufacturing, including the use of new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latent defects that may become apparent after our products have been released and that may result in an adverse event or a recall of such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inclusion of vendors of raw materials not in compliance with regulatory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or other disasters, global pandemics, labor disputes, financial distress, lack of raw material supply, issues with facilities and equipment, international conflict or war, or other forms of disruption to business operations affecting our manufacturing operations and those of our third-party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delays related to the evaluation and testing of our products or the use of components from alternative suppliers;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delivery by our suppliers of components, materials or services due to changes in demand from us or their other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any of these issues could significantly harm our ability to manufacture our products and maintain sufficient quality standards,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a limited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source and rely upon components and sub-assemblies of the Ceribell System, as well as manufacturing services from approved manufacturers and suppliers, some of which are single-source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components, sub-assemblies and services are critical to us, and there are relatively few alternative sources of supply. Our suppliers generally are not under long-term contracts with us, and may experience delays or issues, stop producing our components or sub-assemblies, increase the prices they charge us, or elect to terminate their relationships with us. In any of these cases, we could face a delay of several months to identify, perform appropriate testing and qualify alternative manufacturers and suppliers with regulatory authorities, as we currently have transition plans for some but not all of our manufacturers and suppliers. In addition, the failure of our third-party manufacturers and suppliers to maintain acceptable quality requirements could result in quality issues, including recalls of our products. If one of our manufacturers or suppliers fails to maintain acceptable quality requirements, we may have to identify and qualify a new manufacturer or supplier. Although we require our third-party manufacturers and suppliers to supply us with materials, components, and services that meet our specifications and comply with applicable provisions of the QSR and other applicable legal and regulatory requirements in our agreements and contracts, and we perform incoming inspection, testing, or other acceptance activities to ensure the materials and components meet our requirements, there is a risk that they may not supply components that meet our requirements or supply components in a timely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number of third-party manufacturers and suppliers with the necessary manufacturing and regulatory expertise and facilities to produce our device components is limited and certification of a new manufacturer or supplier may be complex and time consuming. Any delay or interruption would likely lead to a delay or interruption in our manufacturing operations. The inclusion of substitute components must meet our product specifications and could require us to qualify the new manufacturer or supplier with the appropriate regulatory authorities, including the FDA. The added time and cost to arrange for alternative manufacturers or suppliers could harm our business. New manufacturers of any planned product would be required to qualify under applicable regulatory requirements and would need to have sufficient rights under applicable intellectual property laws to the method of manufacturing the planned product. Obtaining the necessary FDA or international approvals or other qualifications under applicable regulatory requirements and ensuring non-infringement of third-party intellectual property or other proprietary rights could result in a significant interruption of supply and could require the new manufacturer to bear significant additional costs that may be passed on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utilize and depend upon independent investigators and collaborators, such as third-party researchers, medical institutions, and strategic partners, to conduct and support portions of our preclinical studies and clinical trials under agreements with us, and may in the future rely on CROs. For some clinical research projects, we provide funding and for others, such as those supported by grants, we only provide access to our data or supply the Ceribell System at a discount. The terms of these agreements generally include joint publication rights and sole ownership of background intellectual property, as well as indemnification and insurance terms so that risk of injury or damages claims is appropriately allocated, guidelines for dispute resolution to address conflicts, and grounds for contract termination by each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negotiate budgets and contracts with these third parties and may not be able to do so on favorable terms, which may result in delays to our development timelines and increased costs. We have relied heavily on these third parties for our preclinical studies and expect to continue to do so, and we control only certain aspects of their activities. As a result, we have less direct control over the conduct, timing, and completion of these preclinical studies and clinical trials and the management of data developed through preclinical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medical devices in clinical development. Regulatory authorities enforce these GCP requirements through periodic inspections of trial sponsors, principal investigators and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any of these third parties fail to comply with applicable GCP regulations, the clinical data generated in our clinical trials may be deemed unreliable, and the FDA or other bodies may require us to perform additional clinical trials. We cannot assure you that, upon inspection, such regulatory authorities will determine that any of our clinical trials comply with the GCP regulations. In addition, our investigational devices must be produced in accordance with cGMP requirements known as the QSR. Our failure or any failure by these third parties to comply with these regulations or to recruit a sufficient number of patients may require us to repeat clinical trials, which would delay the marketing authorization process. Moreover, our business may be implicated if any of these third parties violates federal, state or foreign fraud and abuse or false claims laws and regulations or healthcare privacy and security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conducting or supporting portions of our clinical trials are not our employees and, except for remedies available to us under our agreements with such third parties, we cannot control whether or not they devote sufficient time and resources to our investigational products. These third parties may also have relationships with other commercial entities, including our competitors, for whom they may also be conducting clinical trials, or other product development activities, which could affect their performance on our behalf. These third parties may not successfully carry out their contractual duties or obligations or meet expected deadlines. They may need to be replaced or the quality or accuracy of the clinical data they obtain may be compromised due to the failure to adhere to our clinical protocols or regulatory requirements or for other reasons. Accordingly, our clinical trials may be extended, delayed or terminated and we may not be able to complete development of, obtain marketing authorizations for or successfully commercialize our future devices.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Switching or adding third parties to conduct or support portions of our preclinical studies and clinical trials involves substantial cost and requires extensive management time and focus. In addition, there is a natural transition period when a new third party commences work. As a result, delays may occur, which could have an adverse impact on our product development,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relationships with contracted physicians to provide remote EEG reading services to certain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contract directly or indirectly with physicians to provide remote EEG reading services to certain customers. If these physicians terminate their contracts, we or our partners may not be able to contract with alternative physicians to provide such services in a timely manner, or at all, which would impact our ability to provide services to certain customers and could adversely affect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color w:val="000000"/>
          <w:sz w:val="20"/>
        </w:rPr>
        <w:t>Data Privacy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Actual or perceived failures to comply with applicable data privacy and security laws, regulations, standards and other requirements could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we, and the third-party service providers on which we rely, are or may become subject to numerous state, federal, and foreign laws, requirements, and regulations, as well as contractual obligations and research protocols governing the collection, use, disclosure, retention, processing, maintenance, transfer, and security of personal information, such as information that we and our third-party service providers collect in connection with the use and development of the Ceribell System and the Clarity algorithm and in clinical trials or studies, including patient EEG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us or our service providers’ and contractors’ ability to operate in certain jurisdictions or to collect, store, transfer, use, process, and share personal information; necessitate the acceptance of more onerous obligations in our contracts; result in liability; impose additional costs on us; necessitate changes to our information technologies, systems and practices and those of third parties that process personal information on our behalf; and may require us to change our business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numerous state and federal laws, regulations, standards, and other legal obligations, including consumer protection laws and regulations, which govern the collection, dissemination, use, access to, confidentiality, security, transfer, disclosure, and processing of personal information, including health-related information, could apply to our operations or the operations of our customers. 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entities, and their covered subcontractors. Among other requirements, HIPAA requires business associates to develop and maintain policies with respect to the protection of, use and disclosure of protected health information (“PHI”), including the adoption of administrative, physical, and technical safeguards to protect such information, certain notification requirements in the event of a breach of unsecured PHI, and requirements to report breaches of unsecured PHI to covered entities within 60 days of discovery of the breach by the business associate or its agents. Depending on the facts and circumstances, we could be subject to significant civil, criminal, and administrative fines and penalties and/or additional reporting and oversight obligations if found to be in violation of HIPAA.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states have also adopted comparable privacy and security laws and regulations, which govern the privacy, collection, use, processing, disclosure, and protection of health-related and other personal information. Such laws and regulations will be subject to interpretation by various courts and other governmental authorities, thus creating potentially complex compliance issues for us and our customers.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in the future become subject to rapidly evolving data protection laws, rules and regulations in foreign jurisdictions, many of which have developed privacy and data protection requirements that impose requirements that differ substantially from those that apply within the United States. For example, in Europe, the European Union General Data Protection Regulation (the “EU GDPR”) went into effect in May 2018 and governs the collection, use, disclosure, transfer, and other processing of personal data of individuals within the European Economic Area (the “EEA”) and imposes stringent requirements for data processors and controllers of such personal data or in the context of their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undertaking, whichever is greater. In addition to fines, a breach of the EU GDPR may result in regulatory investigations, reputational damage, orders to cease/ change our data processing activities, enforcement notices, assessment notices (for a compulsory audit), and/or civil claims (including class actions). The processing of “special category personal data” (such as personal data related to health and genetic information), which could become relevant to our operations in the context of our conduct of clinical trials, may also impose heightened compliance burdens under European data protection laws and is of interest to relevant regulators. Among other requirements, the EU GDPR regulates transfers of personal data subject to the EU GDPR to third countries that have not been found to provide adequate protection to such personal data, including the United States, and the efficacy and longevity of current transfer mechanisms between the EEA, and the United States remains uncertain. In addition, since early 2021, after the end of the transition period following the United Kingdom’s departure from the European Union, the EU GDPR continues to apply in substantially equivalent form in the context of the United Kingdom under the United Kingdom General Data Protection Regulation and Data Protection Act 2018 (the “UK GDPR”), which imposes separate but similar obligations to those under the EU GDPR and comparable penalties, including fines of up to £17.5 million or 4% of a noncompliant company’s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 As we expand into foreign countries and jurisdictions, we will become subject to additional laws and regulations that will affect how we conduct business, and we expect the existing legal complexity and uncertainty regarding international personal data transfers to continue. As supervisory authorities issue further guidance on personal data export mechanisms, including circumstances where the standard contractual clauses cannot be used, and/or start taking enforcement action, we could suffer additional costs, complaints and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Trade Commission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research protocols, and other legal obligations, these requirements are evolving and may be modified, interpreted and applied in an inconsistent manner from one jurisdiction to another, and may conflict with one another or other legal obligations with which we must comply. Any actual or perceived failure by us or our employees, representatives, contractors, consultants, or other third parties to comply with such requirements or adequately address data privacy and security concerns, even if unfounded, could result in, among other adverse impacts, significant regulatory penalties and fines, our compliance with contracts entered into with our partners, collaborators, and other third-party payors,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face risks associated with our use and development of AI and machine learning models.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and develop AI, machine learning and automated decision-making technologies, including proprietary AI and machine learning algorithms and models (collectively, “AI Technologies”), throughout our business, and are making significant investments in this area. For example, we use AI Technologies to power our Clarity algorithm and drive continuous improvements in the performance of the Ceribell System. New products that we develop, including expansion into new indications, are also likely to incorporate AI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that increased investment will be required in the future to continuously improve our use and development of AI Technologies. As with many technological innovations, there are significant risks involved in developing, maintaining, and deploying these technologies and there can be no assurance that the usage of or our investments in such technologies will always enhance our products or be beneficial to our business, including our efficiency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 regulatory authorizations; and/or adversely impacted by unforeseen defects, technical challenges, cybersecurity threats, or material performance issues, the performance of our products and business, as well as our reputation and the reputations of our customers, could suffer or we could incur liability resulting from the violation of laws or contracts to which we are a party, regulatory enforcement actions, or civil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Clarity algorithm, as well as for any potential future AI Technology driven products, performance of the algorithm is generally assessed by comparing the output of the algorithm against a clinically derived reference standard (“ground truth”) for a specified dataset. This applies to internal evaluation of an algorithm’s performance, supporting external presentations and publications, and testing to support regulatory submissions. The Clarity algorithm output will not always agree with the opinion of a qualified neurologist, and in some cases multiple qualified neurologists will not agree with each other. While we constantly work to improve our product and algorithm, the AI Technologies we work with are novel and complex, and we cannot assure you that our AI Technologies will be able to perform as intended under all circumstances.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an earlier version of the Clarity algorithm was found to be unable to detect seizure or status epilepticus in certain ICU patients who had cardiac arrest. Further, the data that we use to train our AI Technologies includes data collected from EEGs performed on patients by our customers, and we are dependent upon our ability to obtain the right to use such patient data to continue to develop our products, including within appropriate time frames and on commercially reasonable terms. If we are unable to obtain sufficient rights to use such data under applicable regulatory frameworks or our agreements with our customers, or our customers were to withdraw or withhold their data from us, our ability to continue to develop our products and services to our customers, and our revenue prospects, could be materially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The FDA has issued guidance documents relating to the incorporation of AI Technologies into medical devices. In addition,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federal level and is advancing at the state level. Such additional regulations may impact our ability to develop, use, and commercialize AI Technologies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and operations may suffer in the event of information technology system failures, cyber attacks, or deficiencies in our cybersecurity.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transmit, and process large amounts of confidential information, including intellectual property, proprietary business information, preclinical and clinical trial data, and personal information of clinical trial participants, patients of our customers, and our employees and contractors (confidentially, “Confidential Information”). We may also share Confidential Information with our partners or other third parties in conjunction with our business. It is critical that we do so in a secure manner to maintain the confidentiality and integrity of such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information technology systems and those of our customers, third-party service providers, manufacturers, and other contractors or consultants are vulnerable to attack, damage and interruption from computer viruses and malware (e.g. ransomware), misconfigurations, “bugs” or other vulnerabilities, malicious code, natural disasters, terrorism, war, telecommunication and electrical failures, hacking, cyber attacks, phishing attacks and other social engineering schemes, employee theft or misuse, human error, unauthorized access, fraud, denial or degradation of service attacks, and sophisticated nation-state and nation-state-supported actors. We have also outsourced elements of our information technology infrastructure, and as a result a number of third-party vendors may or could have access to our confidential information. The risk of a security breach or disruption, particularly through cyber 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 There can also be no assurance that our and our customers’, third-party service providers’, contractors’, and consultants’ cybersecurity risk management programs and processes, including policies, controls, or procedures, will be fully implemented, complied with or effective in protecting our systems, networks, and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certain of our customers and service providers may be subject to cyber attacks and security incidents from time to time.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or misappropriation of our trade secrets, personal information, patient data collected from our customers or other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result in the unauthorized access to or unauthorized use, disclosure, release, or other processing of personal information, including the patient data of our customers, it may be necessary to notify individuals, governmental authorities, supervisory bodies, the media, and other parties pursuant to privacy and security laws and the costs associated with the investigation, remediation, and potential notification of the breach to third-parties and data subjects could be material.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information technology systems or Confidential Information, whether actual or perceived, could result in liability,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which could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and service providers, fail to protect against unauthorized access, attacks (which may include sophisticated cyber attacks), and the mishandling of data, then our reputation, business, financial condition, results of operations, and prospects could be materially and adversely affected.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sz w:val="20"/>
        </w:rPr>
      </w:pPr>
      <w:r>
        <w:rPr>
          <w:rFonts w:ascii="Times New Roman" w:hAnsi="Times New Roman"/>
          <w:b/>
          <w:i/>
          <w:color w:val="000000"/>
          <w:sz w:val="20"/>
        </w:rPr>
        <w:t>Our success will depend on our and our licensors’ ability to obtain, maintain, enforce, and protect our intellectual property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and ability to compete depends in part on our and our licensors’ ability to obtain, maintain, enforce, and protect issued patents, trademarks, trade secret,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our business, financial condition, results of operations, and prospects could be materially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contractual provisions, confidentiality procedures, and patent, trademark, copyright, trade secret and other intellectual property laws to protect the proprietary aspects of the Ceribell System, brand,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the issued claims cover relevant product, service, or the technology. 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issued patents may later be found invalid or unenforceable or may be modified or revoked in proceedings instituted by third parties before various patent offices or in courts. The degree of future protection for our and our licensors’ intellectual property or other proprietary rights is uncertain. Only limited protection may be available and may not adequately protect our rights or permit us to gain or keep any competitive advantage. These uncertainties and/or limitations in our ability to properly protect the intellectual property or other proprietary rights relating to our products, services and technologies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be certain that the claims in our U.S. pending patent applications, corresponding international patent applications and patent applications in certain foreign territories, or those of our licensors, will be considered patentable by the U.S. Patent and Trademark Office (the “USPTO”) courts in the United States or by the patent offices and courts in foreign countries, nor can we be certain that the claims in our future issued patents will not be found invalid or unenforceable if challenged. Our ability to obtain and maintain valid and enforceable patents depends in part on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 Therefore, we cannot be certain that we or our licensors were the first to make the inventions claimed in any of our owned or in-licensed patents or pending patent applications, or that we or our licensors were the first to file for patent protection of such inventions.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intellectual property rights is uncertain, and we cannot ensure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will not develop, manufacture and/or commercialize similar or alternative products, services, or technologies that do not infringe, misappropriate, or violate any patents or other intellectual property rights that we own or have rights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patents issued to us will provide a basis for an exclusive market for our products, services, or technologies, will provide us with any competitive advantages or will not be challenged, invalidated, modified, revoked, or circumvented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challenged patents will be found to ultimately be valid and enforceable;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patents, or any of our pending patent applications, if issued, will include claims having a scope sufficient to protect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pending patent applications will issue as patents, or even if issued, will include claims with a scope sufficient to protect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able to successfully develop, manufacture, and commercialize our products, services, or technologies on a substantial scale before relevant patents we may have expire;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the first to make the inventions covered by each of our patents and pending patent applications or we were the first to file patent applications for such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develop additional proprietary inventions, products, services, or technologies that are separately patentable;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activities, products, services, or technologies will not infringe upon the patents of others.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identify our patentable inventions or adequately protect our patent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 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for sale, or sell our products or services or otherwise practice our technology,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own or in-license may not provide the anticipated level of, or any, protection against competitors. Furthermore, an adverse decision may result in a third party receiving a patent right sought by us, which in turn could affect our ability to develop, manufacture, commercialize, import, or otherwise use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services, or technologies. In addition, we may need the cooperation of any such co-owners of our patents to enforce such patents against third parties, and such cooperation may not be provided to 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patent licensors fail to maintain the patents and patent applications that we in-license, we may not be able to stop a competitor from marketing products, services, or technologies that are the same as or similar to our products, services, or technologies,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U.S. Supreme Court has ruled on several patent cases in recent years, either narrowing the scope of patent protection available in certain circumstances or weakening the rights of patent owners in certain situations.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We cannot predict future changes in the interpretation of patent laws in the United States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whether to opt-in or opt-out of Unitary Patent practice entail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on our products, services, and technologies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the laws of some foreign countries do not protect intellectual property rights to the same extent as federal and state laws in the United States. Consequently, we may not be able to prevent third-parties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but enforcement is not as strong as that in the United States. These products, services, or technologies may compete with our products, services, or technologies, and our patents or other intellectual property rights may not be effective or sufficient to prevent such 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in the United States,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United States and other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Various countries outside the United States, including certain countries in Europe, India, and China, have compulsory licensing laws under which a patent owner may be compelled to grant licenses to third parties. If we are forced to grant a license to third parties with respect to any patents relevant to our business, our competitive position may be impaired, and our business, financial condition, results of operations, and prospects may be adversely affected. In addition, many countries limit the enforceability of patents against government agencies or government contractors. As a result, a patent owner in such countries may have limited remedies in certain circumstances, which could materially diminish the value of such patent.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cannot successfully enforce our intellectual property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services, and technologies. We are currently involved in litigation to protect or enforce our intellectual property rights, and we may initiate or become subject to additional litigation in the future. Litigation is inherently uncertain, may result in counterclaims or challenges to the validity of our patents, and can be costly and time-consuming.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 amount of any monetary damages may be inadequate to compensate us for damage as a result of the infringement and the proceedings.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services, or technologies,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finding of infringement or an unfavorable interference or derivation proceedings outcome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services, or technologies they use. If we cannot obtain all necessary licenses on commercially reasonable terms, our customers may be forced to stop using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may be the subject of claims that our products, services, or technologies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In addition,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lawsuits relating to intellectual property rights could subject us to significant liability for damages and invalidate our intellectual property. Any potential intellectual property litigation also could force us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stop developing, making, selling, importing, or using products, services, or technologies that allegedly infringe, misappropriate, or otherwise violate the asserted intellectual property right;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 or royalties to the party whose intellectual property rights we may be found to be infringing, misappropriating, or otherwise violating;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lose the opportunity to license our intellectual property rights to others or to collect royalty payments based upon successful protection and assertion of our intellectual property rights against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significant legal expenses;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the attorney’s fees and costs of litigation to the party whose intellectual property rights we may be found to be infringing, misappropriating, or otherwise violating.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also raise similar claims before administrative bodies in the United States or abroad, even outside the context of litigation. Such mechanisms include re-examination, post 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also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services, or technologies. Although it is our policy to require our employees and contractors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in addition to paying monetary damages, we may lose valuable intellectual property rights, such as exclusive ownership of, or the right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be subject to claims from third parties challenging inventorship or ownership of intellectual property rights we regard as our own, based on claims that our agreements with employees or consultants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 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business, financial condition, results of operations, and prospects.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collaborators, partners, services provides,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“brain stethoscope” EEG sonification technology, which processes data and turns it into sound, that is used in the Ceribell System is protected by intellectual property rights that we in-license from Stanford University. See the section titled “Business—Stanford Agreement” in our Annual Report on Form 10-K. During the quarter ended June 30, 2025, we exercised our option to extend exclusivity under certain licensed patent rights owned or controlled by Stanford University through the expiration date of the last-to-expire licensed patent. While we believe this extension strengthens our intellectual property position, there can be no assurance that such exclusivity will be effective in all jurisdictions or that the underlying patents will not be challenged. Our rights to use such intellectual property rights in our business are also subject to the continuation of and our compliance with the terms of the license agreements between us and each of our licensors. In addition, the agreements under which we in-license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in-licensed, or in-license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our best efforts, our current or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this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third party may hold intellectual property rights, including patent rights, that are important or necessary to the development, manufacture, commercialization, import or use of our current and/or future products, services, or technologies, in which case we would need to acquire or obtain a license to such intellectual property rights from such third party. A third party that perceives us to be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 may be unwilling to license or assign its intellectual property rights to us. In addition, the licensing or acquisition of third-party intellectual property rights is a competitive area, and other companies may also pursue similar strategies to license or acquire such third party’s intellectual property rights. Some of these companies may have a competitive advantage over us due to their size, capital resources and greater development, manufacturing, and commercialization capabilities. We also may be unable to license or acquire third party intellectual property rights on commercially reasonable terms that would allow us to make an appropriate return on our investment, or we may be unable to obtain any such license or acquisition at all. If we are unable to successfully license or acquire necessary third-party intellectual property rights, we may not be able to develop, manufacture, commercialize, import, or use our current and/or future products, services, or technologies,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protect the disclosure and use of our confidential information and trade secrets, the value of our products, services, and technologies and our business and competitive position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other intellectual property rights, including trade secrets, know-how, and/or other proprietary information that is not patentable or that we elect not to patent. However, trade secrets can be difficult to protect, and some 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despite the protections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or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violations are often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some courts are less willing or unwilling to protect trade secrets and agreement terms that address non-competition are difficult to enforce in many jurisdictions and might not be enforceable in certain cases. Finally, even if we were to be successful on the enforcement of our claims, we may not be able to obtain adequate remedies.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also possible that others may independently develop information or technologies that are the same as or similar to our trade secrets or other proprietary technologies and develop products, services, or technologies without obtaining access to our trade secrets or other proprietary information in which case we could not assert any intellectual property rights, including trade secret rights, against such parties in a manner that could prevent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brand name recognition in our markets of interest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trademarks could be challenged, opposed, invalidated, infringed, and circumvented by third parties, and our trademarks could also be diluted,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our trademarks, trade names, and brand names, such as our Clarity mark, to distinguish our products, services, and technologies from the products, services, and technologies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all of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have opposed and may oppose in the future further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combine our proprietary software with open 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typically review our use of open source software to avoid subjecting our products, services or technology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or technology. Moreover, our processes for monitoring and controlling our use of open source software in our products, services or technology may not be effective.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manufacturing restrictions related to licensed intellectual property rights that were developed with the financial assistance of United States government grants.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Bayh-Dole Act, the federal government retains a “nonexclusive, nontransferable, irrevocable, paid-up license” in inventions produced with its financial assistance (“Government Funded Inventions”) for its own benefit. The Bayh-Dole Act provides federal agencies with march-in rights (“March-In Rights”), which allows a government agency, in specified circumstances, to require the patent owner or successors in title to the patent directed to such Government Funded Inventions (“Patent Owner”) to grant a “nonexclusive, partially exclusive or exclusive license” to a “responsible applicant or applicants,” which if exercised, would allow such government agency to require such Patent Owner to grant a non-exclusive, partially exclusive, or exclusive license in any field of use to a third-party designated by such agency. The Bayh-Dole Act also provides that the Patent Owner manufacture products embodying the respective Government Funded Inventions domestically in accordance with certain requirements. If this domestic manufacturing requirement is not met, the government agency that funded the relevant grant is entitled to exercise March-In Rights. We are subject to the Bayh-Dole Act with respect to licensed technology that was developed with United States government grants. Such licensed technology is used in our recorders. Further, we cannot be sure that if we acquire intellectual property rights in the future they will be free from government rights or regulations pursuant to the Bayh-Dole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own, co-own, or in-license Government Funded Inventions that are critical to our business, our ability to enforce or otherwise exploit patents covering such technology may be adversely affected. Further, the exercise of March-In Rights, the requirement that we grant additional licenses to third parties, or the termination of our license of the relevant technologies could materially adversely affect our business, financial condition, results of operations and prospects. The restrictions of the Bayh-Dole Act may also limit our ability to manufacture our products in locations where it may be otherwise more favorable for us to do so, which could limit our ability to respond to competitive developments or otherwise adversely affect our results of operations. Any of the foregoing could have a material adverse effect on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Financial and Accounting Matters</w:t>
      </w:r>
    </w:p>
    <w:p>
      <w:pPr>
        <w:pStyle w:val="TextBody"/>
        <w:bidi w:val="0"/>
        <w:spacing w:before="120" w:after="283"/>
        <w:jc w:val="both"/>
        <w:rPr>
          <w:rFonts w:ascii="Times New Roman" w:hAnsi="Times New Roman"/>
          <w:sz w:val="20"/>
        </w:rPr>
      </w:pPr>
      <w:r>
        <w:rPr>
          <w:rFonts w:ascii="Times New Roman" w:hAnsi="Times New Roman"/>
          <w:b/>
          <w:i/>
          <w:color w:val="000000"/>
          <w:sz w:val="20"/>
        </w:rPr>
        <w:t>Our ability to use our net operating loss carryforwards and other tax attributes may be limited due to certain provisions of the Internal Revenue Code or state tax law.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 As of December 31, 2024, we had NOLs of approximately $127.1 million for federal income tax purposes and $126.9 million for state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Realization of these NOLs depends on future taxable income, and there is a risk that our existing NOLs could expire unused and be unavailable to offset future taxable income, which could adversely affect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Transactions that have occurred since our formation may result in an ownership change. In addition,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Our effective tax rate may vary significantly from period to period.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or tax rulings could adversely affect our effective tax rates,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 Furthermore, on July 4, 2025, the OBBB Act was enacted, introducing amendments to U.S. tax laws with various effective dates from 2025 to 2027, including changes to the treatment of research and development expenses under Section 174 of the Internal Revenue Code of 1986, as amended, modifications to the global intangible low-taxed income regime, new minimum or book-based taxes, and limitations on interest deductibility.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spacing w:before="360" w:after="283"/>
        <w:jc w:val="both"/>
        <w:rPr>
          <w:rFonts w:ascii="Times New Roman" w:hAnsi="Times New Roman"/>
          <w:sz w:val="20"/>
        </w:rPr>
      </w:pPr>
      <w:r>
        <w:rPr>
          <w:rFonts w:ascii="Times New Roman" w:hAnsi="Times New Roman"/>
          <w:b/>
          <w:i/>
          <w:color w:val="000000"/>
          <w:sz w:val="20"/>
        </w:rPr>
        <w:t>Our venture loan and security agreement contains restrictions that limit our flexibility in operating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entered into a venture loan and security agreement, dated as of February 6, 2024, by and among us, Horizon Technology Finance Corporation, as a lender and collateral agent, and Silicon Valley Bank, a division of First-Citizens Bank &amp; Trust Company (“SVB”), as a lender (the “VLSA”). Concurrent with the VLSA, we also entered into a Loan and Security Agreement with SVB for a senior revolving line of credit of up to $10.0 million (the “Revolving Facility”). As of December 31, 2024, $20.0 million in aggregate principal amount was outstanding under the VLSA, and no amount was outstanding under the Revolving Facility. The VLSA and the Revolving Facility contain various covenants that limit our ability to engage in specified types of transactions. These covenants limit our ability to,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sell, transfer, lease, or dispose of our assets subject to certain exclusions;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create, incur, assume, guarantee, or assume additional indebtedness, other than certain permitted indebtedness;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encumber or permit liens on any of our assets other than certain permitted liens;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restricted payments, including paying dividends on, repurchasing, or making distributions with respect to any of our capital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specified investments;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 merge with, or acquire any other entity, or sell or otherwise dispose of all or substantially all of our assets;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certain transactions with our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also “Management’s Discussion and Analysis of Financial Condition and Results of Operations”—“Liquidity and Capital Resources” for more information regarding the covenants under the VLSA and the Revolving Facility. The covenants in the VLSA and the Revolving Facility limit our ability to take certain actions and, in the event that we breach one or more covenants, the lenders may choose to declare an event of default and require that we immediately repay all amounts outstanding of the aggregate principal amount, plus accrued interest, and foreclose on the collateral granted to it to secure such indebtedness. Such repayment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cash deposits with financial institutions exceed insured limits.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JOBS Act. We will remain an “emerging growth company” until the earliest to occur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during which our total annual revenue equals or exceeds $1.235 billion (subject to adjustment for inflation);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following the fifth anniversary of the completion of our initial public offering (“IPO”);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have, during the previous three-year period, issued more than $1 billion in non-convertible debt;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are deemed to be a “large accelerated filer”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are a “smaller reporting company” as defined in the Exchange Act.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incur increased costs and are subject to additional regulations and requirements as a result of becoming a public company, which could lower our profits or make it more difficult to run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including costs associated with public company reporting requirements. We have also incurred and will continue to incur costs associated with the Sarbanes-Oxley Act and related rules implemented by the Securities and Exchange Commission (the “SEC”) and the exchange on which our securities are listed. The expenses generally incurred by public companies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design, implement, and maintain effective internal control over financial reporting in the future, investors may lose confidence in the accuracy and completeness of our financial reports and the market price of our common stock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are required to maintain internal control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We have in the past identified control deficiencies including material weaknesses and may identify control deficiencies, including material weaknesses in our internal control over financial reporting, in the future. Any failure to maintain internal control over financial reporting could severely inhibit our ability to accurately report our financial condition, results of operations, or cash flows. Further, if we identify one or more material weaknesses in our internal control over financial reporting, if we are unable to comply with the requirements of Section 404 of the Sarbanes-Oxley Act in a timely manner, or if we or, if required, our auditors,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both"/>
        <w:rPr>
          <w:rFonts w:ascii="Times New Roman" w:hAnsi="Times New Roman"/>
          <w:sz w:val="20"/>
        </w:rPr>
      </w:pPr>
      <w:r>
        <w:rPr>
          <w:rFonts w:ascii="Times New Roman" w:hAnsi="Times New Roman"/>
          <w:b/>
          <w:i/>
          <w:color w:val="000000"/>
          <w:sz w:val="20"/>
        </w:rPr>
        <w:t>We do not intend to pay dividends in the foreseeable future. As a result, your ability to achieve a return on your investment will depend on appreciation in the market price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VLSA,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 </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operating and financial performance in any given period does not meet the guidance provided to the public or the expectations of investment analysts, the market price of our common stock may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but are not obligated to, provide public guidance on our expected operating and financial results for future periods. Any such guidance will be comprised of forward-looking statements subject to the risks and uncertainties described in this Quarterly Report and in our other public filings and public statements. The ability to provide this public guidance, and the ability to accurately forecast our results of operations, will be impacted by a number of factors, many of which are out of our control. Our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investors generally, or if we reduce our guidance for future periods, the market price of our common stock may decline. Even if we do issue public guidance, there can be no assurance that we will continue to do so in the future.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Future securities issuances could result in significant dilution to our stockholders and impair the market price of our common stock.</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 of our common stock bear the risk that future issuances of debt or equity securities may reduce the value of our common stock and further dilute their ownership interest.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April 30, 2025, our executive officers, directors, owners of more than 5% of our capital stock and their respective affiliates beneficially owned approximately 60%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360" w:after="283"/>
        <w:jc w:val="both"/>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to repeal certain provisions of our amended and restated certificate of incorporation;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Board of Directors, which may delay the ability of our stockholders to force consideration of a proposal or to take action, including the removal of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360" w:after="283"/>
        <w:jc w:val="both"/>
        <w:rPr>
          <w:rFonts w:ascii="Times New Roman" w:hAnsi="Times New Roman"/>
          <w:sz w:val="20"/>
        </w:rPr>
      </w:pPr>
      <w:r>
        <w:rPr>
          <w:rFonts w:ascii="Times New Roman" w:hAnsi="Times New Roman"/>
          <w:b/>
          <w:i/>
          <w:color w:val="000000"/>
          <w:sz w:val="20"/>
        </w:rPr>
        <w:t>Claims for indemnification by our directors, officers, and other employees or agents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officers and certain other employees provide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retroactively amend our amended and restated bylaws provisions to reduce our indemnification obligations to directors, officers, employees, and agents.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is the exclusive forum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is the exclusive forum for the resolution of any complaint asserting a cause of action against us or any of our directors,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contains the choice of forum provision described above, it is possible that a court could find that such a provision is inapplicable for a particular claim or action or that such provision is unenforceable.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The market price of our common stock may be volatile, which could cause the value of your investment to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may be highly volatile and could fluctuate or decline significantly in response to numerous factor, many of which are beyond our control,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financial condition or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variance in our financial performance from expectations of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shares of our common stock by us or our stockholders, or the anticipation of such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hedging activities by market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products or features, technical innovations, acquisitions, strategic partnerships, joint ventures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operating performance and stock market valuations of companies in our industry, including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third-party payor reimbursement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industry and market conditions, including price and volume fluctuations in the overall stock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new legislation and pending lawsuits or regulatory actions, including interim or final rulings by judicial or regulatory bodies;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or factors, including those resulting from political conditions, election cycles, geopolitical actions, including unexpected changes in tariffs, trade barriers, price and exchange controls, and other regulatory requirements, war or incidents of terrorism, or responses to these events, many of which are outside of our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extreme price and volume fluctuations in the stock markets have affected and continue to affect many medical devices and technology companies’ stock prices. Stock prices often fluctuate in ways unrelated or disproportionate to the companies’ operating performance. In the past, stockholders have filed securities class action litigation following periods of market volatility. This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before="360" w:after="283"/>
        <w:jc w:val="both"/>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If we engage in acquisitions or strategic partnerships, it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evaluate various acquisitions and strategic partnerships, including licensing or acquiring complementary offerings, intellectual property rights, technologies, or businesses. Any acquisition or strategic partnership may entail numerous risks,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diversion of our management’s attention from our existing operations in pursuing such a strategic merger or acquisition;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key personnel and uncertainties in our ability to maintain key business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uncertainties associated with the other party to such a transaction, including the prospects of that party and their existing products or future products and regulatory approvals;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if we undertake acquisitions or strategic partnerships, we may issue dilutive securities, assume or incur debt obligations, incur large one-time expenses, and acquire intangible assets that could result in significant future amortization expense. Moreover, we may not be able to locate suitable acquisition or partnership opportunities, and even if we do locate such opportunities, we may not be able to successfully bid for or obtain them due to competitive factors or lack of sufficient resources. This inability could impair our ability to grow or obtain access to technology or products that may be important to the development of our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components or other materials for our products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operations, or the operations of third parties who manufacture or supply components or other materials for our products, and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corporate headquarters and manufacturing facilities are located in Sunnyvale,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risks from legal and arbitration proceedings that may prevent us from pursuing our business activities or require us to incur additional costs in defending against claims or paying damages.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insurance may not cover all potential losses or liabilities that may arise.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insured against all potential losses or liabilities that may arise, as insurance coverage may be unavailable, not cost-effective, or subject to significant limitations. For example, we are not insured against business interruptions suffered by third parties that we depend on, environmental liabilities or patent infringement, among other types of risks. Furthermore, no assurance can be given that an insurance carrier will not seek to cancel or deny coverage after a claim has occurred. If a loss or liability occurs that is not or not fully covered by insurance, we may be required to pay substantial amounts, which could adversely affect its cash position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9" w:name="item_2_unregistered_sales_of_equity"/>
      <w:bookmarkEnd w:id="19"/>
      <w:r>
        <w:rPr>
          <w:rFonts w:ascii="Times New Roman" w:hAnsi="Times New Roman"/>
          <w:b/>
          <w:color w:val="000000"/>
          <w:sz w:val="20"/>
        </w:rPr>
        <w:t>Item 2. Unregistered Sales of Equity Securities and Use of Proceeds.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Unregistered Sale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15, 2024, we completed our IPO, in which we issued and sold 12,196,969 shares of our common stock, which includes an additional 1,590,909 shares of common stock purchased by the underwriters pursuant to their option to purchase additional shares, at a price to the public of $17.00 per share. The proceeds to the Company from the IPO were approximately $188.2 million, net of underwriting discounts and commissions and estimated offering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net proceeds from our IPO have been used and will be used, together with our existing cash and cash equivalents: (i) to fund sales and marketing efforts; (ii) to fund research and product development activities, including to advance our delirium and ischemic stroke indications through completion of clinical studies related to our Clarity algorithm; and (iii) for general corporate purposes, including working capital, operating expenses, and capital expenditures.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has been no material change in the intended use of proceeds from our IPO as described in our Prospectus.</w:t>
      </w:r>
    </w:p>
    <w:p>
      <w:pPr>
        <w:pStyle w:val="TextBody"/>
        <w:bidi w:val="0"/>
        <w:spacing w:before="360" w:after="283"/>
        <w:jc w:val="both"/>
        <w:rPr>
          <w:rFonts w:ascii="Times New Roman" w:hAnsi="Times New Roman"/>
          <w:b/>
          <w:color w:val="000000"/>
          <w:sz w:val="20"/>
        </w:rPr>
      </w:pPr>
      <w:bookmarkStart w:id="20" w:name="item_3_defaults_upon_senior_securities"/>
      <w:bookmarkEnd w:id="20"/>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1" w:name="item_4_mine_safety_disclosures"/>
      <w:bookmarkEnd w:id="21"/>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2" w:name="item_5_other_information"/>
      <w:bookmarkEnd w:id="22"/>
      <w:r>
        <w:rPr>
          <w:rFonts w:ascii="Times New Roman" w:hAnsi="Times New Roman"/>
          <w:b/>
          <w:color w:val="000000"/>
          <w:sz w:val="20"/>
        </w:rPr>
        <w:t>Item 5. Other Information.</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Rule 10b5-1 Trading Plans</w:t>
      </w:r>
    </w:p>
    <w:tbl>
      <w:tblPr>
        <w:tblW w:w="10205" w:type="dxa"/>
        <w:jc w:val="left"/>
        <w:tblInd w:w="0" w:type="dxa"/>
        <w:tblLayout w:type="fixed"/>
        <w:tblCellMar>
          <w:top w:w="28" w:type="dxa"/>
          <w:left w:w="28" w:type="dxa"/>
          <w:bottom w:w="28" w:type="dxa"/>
          <w:right w:w="28" w:type="dxa"/>
        </w:tblCellMar>
      </w:tblPr>
      <w:tblGrid>
        <w:gridCol w:w="2936"/>
        <w:gridCol w:w="1046"/>
        <w:gridCol w:w="931"/>
        <w:gridCol w:w="965"/>
        <w:gridCol w:w="1395"/>
        <w:gridCol w:w="1487"/>
        <w:gridCol w:w="1445"/>
      </w:tblGrid>
      <w:tr>
        <w:trPr/>
        <w:tc>
          <w:tcPr>
            <w:tcW w:w="293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2936" w:type="dxa"/>
            <w:vMerge w:val="restart"/>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46"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w:t>
            </w:r>
          </w:p>
        </w:tc>
        <w:tc>
          <w:tcPr>
            <w:tcW w:w="931"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360" w:type="dxa"/>
            <w:gridSpan w:val="2"/>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Arrangement</w:t>
            </w:r>
          </w:p>
        </w:tc>
        <w:tc>
          <w:tcPr>
            <w:tcW w:w="1487"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Shares to be Sold</w:t>
            </w:r>
          </w:p>
        </w:tc>
        <w:tc>
          <w:tcPr>
            <w:tcW w:w="1445"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Expiration Date</w:t>
            </w:r>
          </w:p>
        </w:tc>
      </w:tr>
      <w:tr>
        <w:trPr/>
        <w:tc>
          <w:tcPr>
            <w:tcW w:w="29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10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93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9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w:t>
            </w:r>
          </w:p>
        </w:tc>
        <w:tc>
          <w:tcPr>
            <w:tcW w:w="139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Non-Rule 10b5-1**</w:t>
            </w:r>
          </w:p>
        </w:tc>
        <w:tc>
          <w:tcPr>
            <w:tcW w:w="1487"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445"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r>
      <w:tr>
        <w:trPr/>
        <w:tc>
          <w:tcPr>
            <w:tcW w:w="2936"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Josef Parvizi, M.D., Ph.D.</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 Chief Medical Advisor, and Co-Founder</w:t>
            </w:r>
          </w:p>
        </w:tc>
        <w:tc>
          <w:tcPr>
            <w:tcW w:w="1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9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22, 2025</w:t>
            </w:r>
          </w:p>
        </w:tc>
        <w:tc>
          <w:tcPr>
            <w:tcW w:w="9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39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180,000</w:t>
            </w:r>
          </w:p>
        </w:tc>
        <w:tc>
          <w:tcPr>
            <w:tcW w:w="144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2026</w:t>
            </w:r>
          </w:p>
        </w:tc>
      </w:tr>
      <w:tr>
        <w:trPr/>
        <w:tc>
          <w:tcPr>
            <w:tcW w:w="2936"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Josef Parvizi, M.D., Ph.D.</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 Chief Medical Advisor, and Co-Founder</w:t>
            </w:r>
          </w:p>
        </w:tc>
        <w:tc>
          <w:tcPr>
            <w:tcW w:w="1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Terminate</w:t>
            </w:r>
            <w:r>
              <w:rPr>
                <w:rFonts w:ascii="Times New Roman" w:hAnsi="Times New Roman"/>
                <w:color w:val="000000"/>
                <w:sz w:val="13"/>
              </w:rPr>
              <w:t>(1)</w:t>
            </w:r>
          </w:p>
        </w:tc>
        <w:tc>
          <w:tcPr>
            <w:tcW w:w="9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25, 2025</w:t>
            </w:r>
          </w:p>
        </w:tc>
        <w:tc>
          <w:tcPr>
            <w:tcW w:w="9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39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180,000</w:t>
            </w:r>
          </w:p>
        </w:tc>
        <w:tc>
          <w:tcPr>
            <w:tcW w:w="1445"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April 30, 2026</w:t>
            </w:r>
          </w:p>
          <w:p>
            <w:pPr>
              <w:pStyle w:val="TableContents"/>
              <w:bidi w:val="0"/>
              <w:spacing w:before="0" w:after="283"/>
              <w:jc w:val="left"/>
              <w:rPr/>
            </w:pPr>
            <w:r>
              <w:rPr/>
              <w:t> </w:t>
            </w:r>
          </w:p>
        </w:tc>
      </w:tr>
      <w:tr>
        <w:trPr/>
        <w:tc>
          <w:tcPr>
            <w:tcW w:w="2936"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Raymond Woo, Ph.D.</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Technology Officer</w:t>
            </w:r>
          </w:p>
        </w:tc>
        <w:tc>
          <w:tcPr>
            <w:tcW w:w="1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9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28, 2025</w:t>
            </w:r>
          </w:p>
        </w:tc>
        <w:tc>
          <w:tcPr>
            <w:tcW w:w="9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39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120,008</w:t>
            </w:r>
          </w:p>
        </w:tc>
        <w:tc>
          <w:tcPr>
            <w:tcW w:w="144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19, 2026</w:t>
            </w:r>
          </w:p>
        </w:tc>
      </w:tr>
    </w:tbl>
    <w:p>
      <w:pPr>
        <w:pStyle w:val="TextBody"/>
        <w:bidi w:val="0"/>
        <w:jc w:val="left"/>
        <w:rPr>
          <w:rFonts w:ascii="Times New Roman" w:hAnsi="Times New Roman"/>
          <w:color w:val="000000"/>
          <w:sz w:val="20"/>
        </w:rPr>
      </w:pPr>
      <w:r>
        <w:rPr>
          <w:rFonts w:ascii="Times New Roman" w:hAnsi="Times New Roman"/>
          <w:color w:val="000000"/>
          <w:sz w:val="20"/>
        </w:rPr>
        <w:t>* Intended to satisfy the affirmative defense of Rule 10b5-1(c).</w:t>
      </w:r>
    </w:p>
    <w:p>
      <w:pPr>
        <w:pStyle w:val="TextBody"/>
        <w:bidi w:val="0"/>
        <w:jc w:val="left"/>
        <w:rPr>
          <w:rFonts w:ascii="Times New Roman" w:hAnsi="Times New Roman"/>
          <w:color w:val="000000"/>
          <w:sz w:val="20"/>
        </w:rPr>
      </w:pPr>
      <w:r>
        <w:rPr>
          <w:rFonts w:ascii="Times New Roman" w:hAnsi="Times New Roman"/>
          <w:color w:val="000000"/>
          <w:sz w:val="20"/>
        </w:rPr>
        <w:t>** Not intended to satisfy the affirmative defense of Rule 10b5-1(c).</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Dr. Parvizi's trading plan, originally adopted on May 22, 2025, was terminated on June 25, 2025 due to a clerical error in the drafting of the plan. No trades were executed under the plan prior to its termination.</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3" w:name="item_6_exhibits"/>
      <w:bookmarkEnd w:id="23"/>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6465"/>
        <w:gridCol w:w="543"/>
        <w:gridCol w:w="826"/>
        <w:gridCol w:w="691"/>
        <w:gridCol w:w="828"/>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8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w:t>
              <w:br/>
              <w:t>Herewith</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4 to the Exclusive (Equity) Agreement effective June 15, 2015, by and between the Board of Trustees of the Leland</w:t>
              </w:r>
            </w:hyperlink>
            <w:hyperlink r:id="rId6">
              <w:r>
                <w:rPr>
                  <w:rStyle w:val="InternetLink"/>
                  <w:rFonts w:ascii="Times New Roman" w:hAnsi="Times New Roman"/>
                  <w:color w:val="0000FF"/>
                  <w:sz w:val="20"/>
                </w:rPr>
                <w:t xml:space="preserve"> </w:t>
              </w:r>
            </w:hyperlink>
          </w:p>
        </w:tc>
        <w:tc>
          <w:tcPr>
            <w:tcW w:w="5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6/20/2025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
        <w:gridCol w:w="146"/>
        <w:gridCol w:w="8665"/>
        <w:gridCol w:w="146"/>
        <w:gridCol w:w="146"/>
        <w:gridCol w:w="146"/>
        <w:gridCol w:w="287"/>
      </w:tblGrid>
      <w:tr>
        <w:trPr/>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Stanford Junior University and Ceribell, Inc., dated June 12,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Portions of the exhibit, marked by brackets, have been omitted because the omitted information is (i) not material and (ii) the type of information that the registrant customarily and actually treats as private or confidential.</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The certification attached as Exhibit 32.1 and Exhibit 32.2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4" w:name="signatures"/>
      <w:bookmarkEnd w:id="24"/>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09" w:type="dxa"/>
        <w:jc w:val="left"/>
        <w:tblInd w:w="0" w:type="dxa"/>
        <w:tblLayout w:type="fixed"/>
        <w:tblCellMar>
          <w:top w:w="28" w:type="dxa"/>
          <w:left w:w="28" w:type="dxa"/>
          <w:bottom w:w="28" w:type="dxa"/>
          <w:right w:w="28" w:type="dxa"/>
        </w:tblCellMar>
      </w:tblPr>
      <w:tblGrid>
        <w:gridCol w:w="1846"/>
        <w:gridCol w:w="146"/>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CERIBELL,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bll-ex31_1.htm"/>
      <w:bookmarkStart w:id="26" w:name="kscbllex31_1"/>
      <w:bookmarkEnd w:id="25"/>
      <w:bookmarkEnd w:id="26"/>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Xingjuan (Jane) Chao,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29" w:type="dxa"/>
        <w:jc w:val="left"/>
        <w:tblInd w:w="0" w:type="dxa"/>
        <w:tblLayout w:type="fixed"/>
        <w:tblCellMar>
          <w:top w:w="28" w:type="dxa"/>
          <w:left w:w="28" w:type="dxa"/>
          <w:bottom w:w="28" w:type="dxa"/>
          <w:right w:w="28" w:type="dxa"/>
        </w:tblCellMar>
      </w:tblPr>
      <w:tblGrid>
        <w:gridCol w:w="1846"/>
        <w:gridCol w:w="146"/>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bll-ex31_2.htm"/>
      <w:bookmarkStart w:id="28" w:name="kscbllex31_2"/>
      <w:bookmarkEnd w:id="27"/>
      <w:bookmarkEnd w:id="28"/>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Scott Blumberg,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64" w:type="dxa"/>
        <w:jc w:val="left"/>
        <w:tblInd w:w="0" w:type="dxa"/>
        <w:tblLayout w:type="fixed"/>
        <w:tblCellMar>
          <w:top w:w="28" w:type="dxa"/>
          <w:left w:w="28" w:type="dxa"/>
          <w:bottom w:w="28" w:type="dxa"/>
          <w:right w:w="28" w:type="dxa"/>
        </w:tblCellMar>
      </w:tblPr>
      <w:tblGrid>
        <w:gridCol w:w="1846"/>
        <w:gridCol w:w="1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cbll-ex32_1.htm"/>
      <w:bookmarkStart w:id="30" w:name="kscbllex32_1"/>
      <w:bookmarkEnd w:id="29"/>
      <w:bookmarkEnd w:id="30"/>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CeriBell, Inc. (the “Company”) on Form 10-Q for the period ending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cbll-ex32_2.htm"/>
      <w:bookmarkStart w:id="32" w:name="kscbllex32_2"/>
      <w:bookmarkEnd w:id="31"/>
      <w:bookmarkEnd w:id="32"/>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CeriBell, Inc. (the “Company”) on Form 10-Q for the period ending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107/000095017024114767/cbll-ex3_1.htm" TargetMode="External"/><Relationship Id="rId3" Type="http://schemas.openxmlformats.org/officeDocument/2006/relationships/hyperlink" Target="https://www.sec.gov/Archives/edgar/data/1861107/000095017024114767/cbll-ex3_2.htm" TargetMode="External"/><Relationship Id="rId4" Type="http://schemas.openxmlformats.org/officeDocument/2006/relationships/hyperlink" Target="https://www.sec.gov/Archives/edgar/data/1861107/000095017024108128/cbll-ex4_01.htm" TargetMode="External"/><Relationship Id="rId5" Type="http://schemas.openxmlformats.org/officeDocument/2006/relationships/hyperlink" Target="https://www.sec.gov/Archives/edgar/data/1861107/000095017025088309/cbll-ex10_1.htm" TargetMode="External"/><Relationship Id="rId6" Type="http://schemas.openxmlformats.org/officeDocument/2006/relationships/hyperlink" Target="https://www.sec.gov/Archives/edgar/data/1861107/000095017025088309/cbll-ex10_1.htm" TargetMode="External"/><Relationship Id="rId7" Type="http://schemas.openxmlformats.org/officeDocument/2006/relationships/hyperlink" Target="https://www.sec.gov/Archives/edgar/data/1861107/000095017025088309/cbll-ex10_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59948</Words>
  <Characters>333709</Characters>
  <CharactersWithSpaces>394160</CharactersWithSpaces>
  <Paragraphs>6442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