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Blumberg Scott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CERIBELL,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360 N. PASTORIA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SUNNYVALE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Ceribell,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CBLL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11/20/2025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12/29/2025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3.65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12/22/2025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4,752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06/10/2031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4,752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24,543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3.65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12/22/2025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11,529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12/02/2031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11,529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10,198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4.7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12/22/2025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19,719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02/16/2033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19,719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44,093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transactions reported in this Form 4 were effected pursuant to a Rule 10b5-1 trading plan adopted by the Reporting Person on March 14,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stock option is fully vested and currently exercisable.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option vests with respect to 1/48 of the shares subject thereto on each monthly anniversary of April 1, 2023, subject to the Reporting Person's continued employment or service relationship with the Issuer on each such vesting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This Form 4/A is being filed to correct an error in the original Form 4 filed on December 29, 2025. The amounts reported in Column 9 of Table II inadvertently omitted the incentive stock option portion of the applicable grants and reflected only the non-qualified stock option portion. The corrected aggregate amounts are reflected herein. No other changes have been made.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Louisa Daniels, Attorney-in-Fact for Scott Blumberg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035786" TargetMode="External"/><Relationship Id="rId5" Type="http://schemas.openxmlformats.org/officeDocument/2006/relationships/hyperlink" Target="http://www.sec.gov/cgi-bin/browse-edgar?action=getcompany&amp;CIK=000186110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747</Words>
  <Characters>4021</Characters>
  <CharactersWithSpaces>4668</CharactersWithSpaces>
  <Paragraphs>128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